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BE45FD" w:rsidP="00BE3D69">
      <w:pPr>
        <w:spacing w:after="0" w:line="240" w:lineRule="auto"/>
        <w:jc w:val="center"/>
      </w:pPr>
      <w:r>
        <w:t>November 19</w:t>
      </w:r>
      <w:r w:rsidRPr="00BE45FD">
        <w:rPr>
          <w:vertAlign w:val="superscript"/>
        </w:rPr>
        <w:t>th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</w:p>
    <w:p w:rsidR="0003225B" w:rsidRDefault="00D86895" w:rsidP="00E24B1C">
      <w:pPr>
        <w:spacing w:after="0" w:line="240" w:lineRule="auto"/>
      </w:pPr>
      <w:r>
        <w:t xml:space="preserve">Members in attendance:  </w:t>
      </w:r>
      <w:r w:rsidR="00E24B1C">
        <w:t xml:space="preserve">Jessica Dale, Lindsey Manfrin, Michael Baker, Muriel </w:t>
      </w:r>
      <w:proofErr w:type="spellStart"/>
      <w:r w:rsidR="00E24B1C">
        <w:t>DeLaVergne</w:t>
      </w:r>
      <w:proofErr w:type="spellEnd"/>
      <w:r w:rsidR="00E24B1C">
        <w:t xml:space="preserve">-Brow, Heather </w:t>
      </w:r>
      <w:proofErr w:type="spellStart"/>
      <w:r w:rsidR="00E24B1C">
        <w:t>Kaisner</w:t>
      </w:r>
      <w:proofErr w:type="spellEnd"/>
      <w:r w:rsidR="00E24B1C">
        <w:t xml:space="preserve">, Tatiana </w:t>
      </w:r>
      <w:proofErr w:type="spellStart"/>
      <w:r w:rsidR="00E24B1C">
        <w:t>Dierwechter</w:t>
      </w:r>
      <w:proofErr w:type="spellEnd"/>
    </w:p>
    <w:p w:rsidR="00E24B1C" w:rsidRDefault="00F20CAB" w:rsidP="00E24B1C">
      <w:pPr>
        <w:spacing w:after="0" w:line="240" w:lineRule="auto"/>
      </w:pPr>
      <w:r>
        <w:t>State Public Health D</w:t>
      </w:r>
      <w:r w:rsidR="00E24B1C">
        <w:t>ivision Lead: Sara Beaudrault</w:t>
      </w:r>
    </w:p>
    <w:p w:rsidR="00A718E5" w:rsidRDefault="00A718E5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3870"/>
        <w:gridCol w:w="270"/>
        <w:gridCol w:w="1620"/>
        <w:gridCol w:w="250"/>
      </w:tblGrid>
      <w:tr w:rsidR="00BE3D69" w:rsidRPr="00BE3D69" w:rsidTr="007F1163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666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25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</w:p>
        </w:tc>
      </w:tr>
      <w:tr w:rsidR="00BE3D69" w:rsidTr="007F1163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Welcome, Introductions (as needed) and roll call</w:t>
            </w:r>
          </w:p>
          <w:p w:rsidR="0072686B" w:rsidRPr="0072686B" w:rsidRDefault="0072686B" w:rsidP="00BE3D69">
            <w:pPr>
              <w:rPr>
                <w:b/>
              </w:rPr>
            </w:pPr>
            <w:r w:rsidRPr="0072686B">
              <w:rPr>
                <w:b/>
                <w:color w:val="FF0000"/>
              </w:rPr>
              <w:t>(6:07)</w:t>
            </w:r>
          </w:p>
        </w:tc>
        <w:tc>
          <w:tcPr>
            <w:tcW w:w="6660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  <w:p w:rsidR="00C353CC" w:rsidRDefault="00C353CC" w:rsidP="00BE3D69"/>
          <w:p w:rsidR="00C353CC" w:rsidRDefault="00D86895" w:rsidP="00BE3D69">
            <w:r>
              <w:t>Quorum was not achieved.</w:t>
            </w:r>
          </w:p>
        </w:tc>
        <w:tc>
          <w:tcPr>
            <w:tcW w:w="270" w:type="dxa"/>
          </w:tcPr>
          <w:p w:rsidR="00BE3D69" w:rsidRDefault="00BE3D69" w:rsidP="00BE3D69"/>
        </w:tc>
        <w:tc>
          <w:tcPr>
            <w:tcW w:w="1620" w:type="dxa"/>
          </w:tcPr>
          <w:p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250" w:type="dxa"/>
          </w:tcPr>
          <w:p w:rsidR="00BE3D69" w:rsidRDefault="00BE3D69" w:rsidP="00BE3D69"/>
        </w:tc>
      </w:tr>
      <w:tr w:rsidR="00BE3D69" w:rsidTr="007F1163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6660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A718E5">
              <w:t>August</w:t>
            </w:r>
            <w:r w:rsidR="009C2EE8">
              <w:t xml:space="preserve"> </w:t>
            </w:r>
            <w:r w:rsidR="009721E7">
              <w:t>and October meeting</w:t>
            </w:r>
          </w:p>
          <w:p w:rsidR="007F1163" w:rsidRDefault="007F1163" w:rsidP="00545CB5"/>
          <w:p w:rsidR="00C70035" w:rsidRDefault="00D86895" w:rsidP="00545CB5">
            <w:r>
              <w:t>Minutes not posted to the website as yet.</w:t>
            </w:r>
          </w:p>
        </w:tc>
        <w:tc>
          <w:tcPr>
            <w:tcW w:w="270" w:type="dxa"/>
          </w:tcPr>
          <w:p w:rsidR="00BE3D69" w:rsidRDefault="00BE3D69" w:rsidP="00BE3D69"/>
        </w:tc>
        <w:tc>
          <w:tcPr>
            <w:tcW w:w="1620" w:type="dxa"/>
          </w:tcPr>
          <w:p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250" w:type="dxa"/>
          </w:tcPr>
          <w:p w:rsidR="00BE3D69" w:rsidRDefault="00BE3D69" w:rsidP="00BE3D69"/>
        </w:tc>
      </w:tr>
      <w:tr w:rsidR="00F26C92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F26C92" w:rsidRPr="00F26C92" w:rsidRDefault="00F26C92" w:rsidP="00A718E5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9C2EE8">
              <w:rPr>
                <w:b/>
              </w:rPr>
              <w:t xml:space="preserve">  </w:t>
            </w:r>
          </w:p>
        </w:tc>
      </w:tr>
      <w:tr w:rsidR="00822285" w:rsidTr="007F1163">
        <w:trPr>
          <w:jc w:val="center"/>
        </w:trPr>
        <w:tc>
          <w:tcPr>
            <w:tcW w:w="2695" w:type="dxa"/>
          </w:tcPr>
          <w:p w:rsidR="00822285" w:rsidRDefault="009721E7" w:rsidP="00822285">
            <w:r>
              <w:t>Program Element (PE) 51</w:t>
            </w:r>
          </w:p>
        </w:tc>
        <w:tc>
          <w:tcPr>
            <w:tcW w:w="6660" w:type="dxa"/>
            <w:gridSpan w:val="2"/>
          </w:tcPr>
          <w:p w:rsidR="006950FF" w:rsidRDefault="009721E7" w:rsidP="00822285">
            <w:r>
              <w:t>Request to change the due date of the Health Equity action plan from December 2018 to March 2019</w:t>
            </w:r>
            <w:r w:rsidR="00325607" w:rsidRPr="00325607">
              <w:rPr>
                <w:b/>
                <w:color w:val="FF0000"/>
              </w:rPr>
              <w:t xml:space="preserve"> (9:46)</w:t>
            </w:r>
          </w:p>
          <w:p w:rsidR="006758D1" w:rsidRDefault="006758D1" w:rsidP="00822285"/>
          <w:p w:rsidR="006758D1" w:rsidRPr="00822285" w:rsidRDefault="00C6772C" w:rsidP="00AC36C6">
            <w:r>
              <w:t xml:space="preserve">Changing the due date for the Health Equity Action </w:t>
            </w:r>
            <w:r w:rsidR="0076358B">
              <w:t>Plan 6c to March 31, 201</w:t>
            </w:r>
            <w:r w:rsidR="00BB5C38">
              <w:t>9</w:t>
            </w:r>
            <w:r w:rsidR="0076358B">
              <w:t xml:space="preserve">. </w:t>
            </w:r>
            <w:r w:rsidR="00AC36C6">
              <w:t xml:space="preserve">The original due date </w:t>
            </w:r>
            <w:r w:rsidR="00BB5C38">
              <w:t xml:space="preserve">was </w:t>
            </w:r>
            <w:r w:rsidR="00AC36C6">
              <w:t xml:space="preserve">December 31, 2018. </w:t>
            </w:r>
            <w:r w:rsidR="0076358B">
              <w:t>The learning collaborative on November 16</w:t>
            </w:r>
            <w:r w:rsidR="0076358B" w:rsidRPr="0076358B">
              <w:rPr>
                <w:vertAlign w:val="superscript"/>
              </w:rPr>
              <w:t>th</w:t>
            </w:r>
            <w:r w:rsidR="0076358B">
              <w:t xml:space="preserve"> was focused on health equity and community engagement. </w:t>
            </w:r>
            <w:r w:rsidR="00BB5C38">
              <w:t xml:space="preserve">OHA </w:t>
            </w:r>
            <w:r w:rsidR="0076358B">
              <w:t>want</w:t>
            </w:r>
            <w:r w:rsidR="00BB5C38">
              <w:t>s</w:t>
            </w:r>
            <w:r w:rsidR="0076358B">
              <w:t xml:space="preserve"> to allow the grantees enough time to use that information</w:t>
            </w:r>
            <w:r w:rsidR="00BB5C38">
              <w:t xml:space="preserve"> when </w:t>
            </w:r>
            <w:proofErr w:type="gramStart"/>
            <w:r w:rsidR="00BB5C38">
              <w:t xml:space="preserve">developing </w:t>
            </w:r>
            <w:r w:rsidR="0076358B">
              <w:t xml:space="preserve"> their</w:t>
            </w:r>
            <w:proofErr w:type="gramEnd"/>
            <w:r w:rsidR="0076358B">
              <w:t xml:space="preserve"> action plan. </w:t>
            </w:r>
            <w:r w:rsidR="007F1163">
              <w:t>The committee approves this</w:t>
            </w:r>
            <w:r w:rsidR="00BB5C38">
              <w:t xml:space="preserve"> and requests that OHA try to get this in the December contract amendment</w:t>
            </w:r>
          </w:p>
        </w:tc>
        <w:tc>
          <w:tcPr>
            <w:tcW w:w="270" w:type="dxa"/>
          </w:tcPr>
          <w:p w:rsidR="00822285" w:rsidRDefault="00822285" w:rsidP="00D230D8"/>
        </w:tc>
        <w:tc>
          <w:tcPr>
            <w:tcW w:w="1620" w:type="dxa"/>
          </w:tcPr>
          <w:p w:rsidR="00822285" w:rsidRDefault="009721E7" w:rsidP="00822285">
            <w:r>
              <w:t>Sara Beaudrault</w:t>
            </w:r>
          </w:p>
        </w:tc>
        <w:tc>
          <w:tcPr>
            <w:tcW w:w="250" w:type="dxa"/>
          </w:tcPr>
          <w:p w:rsidR="00822285" w:rsidRDefault="00822285" w:rsidP="009721E7"/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916BA2" w:rsidTr="007F1163">
        <w:trPr>
          <w:jc w:val="center"/>
        </w:trPr>
        <w:tc>
          <w:tcPr>
            <w:tcW w:w="2695" w:type="dxa"/>
          </w:tcPr>
          <w:p w:rsidR="00916BA2" w:rsidRDefault="009721E7" w:rsidP="00BB449F">
            <w:r>
              <w:t>Duplicate Expenditure Reporting</w:t>
            </w:r>
          </w:p>
        </w:tc>
        <w:tc>
          <w:tcPr>
            <w:tcW w:w="6660" w:type="dxa"/>
            <w:gridSpan w:val="2"/>
          </w:tcPr>
          <w:p w:rsidR="00A718E5" w:rsidRDefault="009721E7" w:rsidP="00BB449F">
            <w:r>
              <w:t xml:space="preserve">Update from the Public Health Division on </w:t>
            </w:r>
            <w:r w:rsidR="00844B98">
              <w:t>the fact findings to date</w:t>
            </w:r>
          </w:p>
          <w:p w:rsidR="00147262" w:rsidRDefault="00147262" w:rsidP="00BB449F"/>
          <w:p w:rsidR="00147262" w:rsidRDefault="00050398" w:rsidP="00BB449F">
            <w:r>
              <w:t xml:space="preserve">Since our October meeting, </w:t>
            </w:r>
            <w:r w:rsidR="000321B8">
              <w:t>OHA has</w:t>
            </w:r>
            <w:r>
              <w:t xml:space="preserve"> put together a list of program elements that requite reporting additional to the quarterly </w:t>
            </w:r>
            <w:r w:rsidR="00BB5C38">
              <w:t xml:space="preserve">revenue and expenditures </w:t>
            </w:r>
            <w:r>
              <w:t>reporting: PE 8, Ryan White; PE 27, Prescription Drug Overdose Prevention; PE 44 School Based Health Centers; PE 51 and 52 Public Health Modernization. If you think there are other</w:t>
            </w:r>
            <w:r w:rsidR="00BB5C38">
              <w:t xml:space="preserve"> Program Elements that require additional reporting</w:t>
            </w:r>
            <w:r>
              <w:t xml:space="preserve">, please contact Sara. </w:t>
            </w:r>
            <w:r w:rsidR="000321B8">
              <w:t xml:space="preserve">OHA is looking at each of these to determine whether the additional reporting can be eliminated now that the new quarterly revenue and expenditures report is being used. OHA </w:t>
            </w:r>
            <w:proofErr w:type="gramStart"/>
            <w:r w:rsidR="000321B8">
              <w:t xml:space="preserve">will </w:t>
            </w:r>
            <w:r w:rsidR="001B605A">
              <w:t xml:space="preserve"> report</w:t>
            </w:r>
            <w:proofErr w:type="gramEnd"/>
            <w:r w:rsidR="001B605A">
              <w:t xml:space="preserve"> back on this at the December meeting. </w:t>
            </w:r>
          </w:p>
          <w:p w:rsidR="000321B8" w:rsidRDefault="000321B8" w:rsidP="00BB449F"/>
          <w:p w:rsidR="006F4C3C" w:rsidRPr="009C2EE8" w:rsidRDefault="00674523" w:rsidP="004E3E03">
            <w:r>
              <w:t xml:space="preserve">Family Planning may need to be on this list also. </w:t>
            </w:r>
            <w:r w:rsidR="00632916">
              <w:t xml:space="preserve">Orpheus </w:t>
            </w:r>
            <w:r w:rsidR="000321B8">
              <w:t xml:space="preserve">data use agreements </w:t>
            </w:r>
            <w:r w:rsidR="00632916">
              <w:t xml:space="preserve">may also be able to be streamlined. The emerging equity initiatives could be similar. </w:t>
            </w:r>
          </w:p>
        </w:tc>
        <w:tc>
          <w:tcPr>
            <w:tcW w:w="270" w:type="dxa"/>
          </w:tcPr>
          <w:p w:rsidR="00916BA2" w:rsidRDefault="00916BA2" w:rsidP="00A718E5"/>
        </w:tc>
        <w:tc>
          <w:tcPr>
            <w:tcW w:w="1620" w:type="dxa"/>
          </w:tcPr>
          <w:p w:rsidR="00916BA2" w:rsidRDefault="00844B98" w:rsidP="00BB449F">
            <w:r>
              <w:t>Sara</w:t>
            </w:r>
          </w:p>
        </w:tc>
        <w:tc>
          <w:tcPr>
            <w:tcW w:w="250" w:type="dxa"/>
          </w:tcPr>
          <w:p w:rsidR="00916BA2" w:rsidRDefault="00916BA2" w:rsidP="00BB449F"/>
        </w:tc>
      </w:tr>
      <w:tr w:rsidR="00A718E5" w:rsidTr="007F1163">
        <w:trPr>
          <w:jc w:val="center"/>
        </w:trPr>
        <w:tc>
          <w:tcPr>
            <w:tcW w:w="2695" w:type="dxa"/>
          </w:tcPr>
          <w:p w:rsidR="00A718E5" w:rsidRDefault="00844B98" w:rsidP="00BB449F">
            <w:r>
              <w:t>Funding formula checklist</w:t>
            </w:r>
          </w:p>
        </w:tc>
        <w:tc>
          <w:tcPr>
            <w:tcW w:w="6660" w:type="dxa"/>
            <w:gridSpan w:val="2"/>
          </w:tcPr>
          <w:p w:rsidR="00A718E5" w:rsidRDefault="00844B98" w:rsidP="00844B98">
            <w:r>
              <w:t>Update on the use of the checklist by the co-facilitators of the TPEP funding formula workgroup</w:t>
            </w:r>
          </w:p>
          <w:p w:rsidR="007C2710" w:rsidRDefault="007C2710" w:rsidP="00844B98"/>
          <w:p w:rsidR="007C2710" w:rsidRDefault="007C2710" w:rsidP="00844B98">
            <w:r>
              <w:t>Rescheduling for next meeting.</w:t>
            </w:r>
          </w:p>
        </w:tc>
        <w:tc>
          <w:tcPr>
            <w:tcW w:w="270" w:type="dxa"/>
          </w:tcPr>
          <w:p w:rsidR="00A718E5" w:rsidRDefault="00A718E5" w:rsidP="00A718E5"/>
        </w:tc>
        <w:tc>
          <w:tcPr>
            <w:tcW w:w="1620" w:type="dxa"/>
          </w:tcPr>
          <w:p w:rsidR="00A718E5" w:rsidRDefault="00504486" w:rsidP="00BB449F">
            <w:r>
              <w:t xml:space="preserve">Ashley Thirstrup </w:t>
            </w:r>
            <w:r w:rsidR="00844B98">
              <w:t>Tanya Phillips</w:t>
            </w:r>
          </w:p>
          <w:p w:rsidR="00504486" w:rsidRDefault="00504486" w:rsidP="00BB449F">
            <w:r>
              <w:t>Kirsten Aird</w:t>
            </w:r>
          </w:p>
        </w:tc>
        <w:tc>
          <w:tcPr>
            <w:tcW w:w="250" w:type="dxa"/>
          </w:tcPr>
          <w:p w:rsidR="00A718E5" w:rsidRDefault="00A718E5" w:rsidP="00BB449F"/>
        </w:tc>
      </w:tr>
      <w:tr w:rsidR="009C2EE8" w:rsidTr="007F1163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9C2EE8" w:rsidRDefault="00D553A4" w:rsidP="009C2EE8">
            <w:r>
              <w:lastRenderedPageBreak/>
              <w:t xml:space="preserve"> </w:t>
            </w:r>
            <w:r w:rsidR="009C2EE8">
              <w:t>To do item for next meeting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</w:tcPr>
          <w:p w:rsidR="009C2EE8" w:rsidRDefault="009C2EE8" w:rsidP="009C2EE8">
            <w:r>
              <w:t>Discuss to do items for next meeting – if any</w:t>
            </w:r>
          </w:p>
          <w:p w:rsidR="007C2710" w:rsidRDefault="007C2710" w:rsidP="009C2EE8"/>
          <w:p w:rsidR="007C2710" w:rsidRDefault="007C2710" w:rsidP="009C2EE8">
            <w:r>
              <w:t>None heard. Adjourned.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C2EE8" w:rsidRDefault="009C2EE8" w:rsidP="009C2EE8"/>
        </w:tc>
        <w:tc>
          <w:tcPr>
            <w:tcW w:w="162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Mike/Florence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:rsidR="009C2EE8" w:rsidRDefault="009C2EE8" w:rsidP="009C2EE8"/>
        </w:tc>
      </w:tr>
      <w:tr w:rsidR="009C2EE8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BE45FD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</w:t>
            </w:r>
            <w:r w:rsidR="00BE45FD">
              <w:rPr>
                <w:b/>
              </w:rPr>
              <w:t>December 17</w:t>
            </w:r>
            <w:r w:rsidR="00BE45FD" w:rsidRPr="00BE45FD">
              <w:rPr>
                <w:b/>
                <w:vertAlign w:val="superscript"/>
              </w:rPr>
              <w:t>th</w:t>
            </w:r>
            <w:r w:rsidR="00BE45FD">
              <w:rPr>
                <w:b/>
              </w:rPr>
              <w:t xml:space="preserve"> </w:t>
            </w:r>
            <w:r>
              <w:rPr>
                <w:b/>
              </w:rPr>
              <w:t xml:space="preserve">2018 2 to 3:30 pm                                                                                                                                   </w:t>
            </w:r>
          </w:p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433804" w:rsidP="009C2EE8">
            <w:hyperlink r:id="rId6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Florence Pourtal-Stevens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433804" w:rsidP="009C2EE8">
            <w:hyperlink r:id="rId7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8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  <w:bookmarkEnd w:id="0"/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40" w:rsidRDefault="00BA7F40" w:rsidP="00BE3D69">
      <w:pPr>
        <w:spacing w:after="0" w:line="240" w:lineRule="auto"/>
      </w:pPr>
      <w:r>
        <w:separator/>
      </w:r>
    </w:p>
  </w:endnote>
  <w:endnote w:type="continuationSeparator" w:id="0">
    <w:p w:rsidR="00BA7F40" w:rsidRDefault="00BA7F40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40" w:rsidRDefault="00BA7F40" w:rsidP="00BE3D69">
      <w:pPr>
        <w:spacing w:after="0" w:line="240" w:lineRule="auto"/>
      </w:pPr>
      <w:r>
        <w:separator/>
      </w:r>
    </w:p>
  </w:footnote>
  <w:footnote w:type="continuationSeparator" w:id="0">
    <w:p w:rsidR="00BA7F40" w:rsidRDefault="00BA7F40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Nbc0NjM1NLRQ0lEKTi0uzszPAykwrgUAgPEwQywAAAA="/>
  </w:docVars>
  <w:rsids>
    <w:rsidRoot w:val="00BE3D69"/>
    <w:rsid w:val="00027F1E"/>
    <w:rsid w:val="000321B8"/>
    <w:rsid w:val="0003225B"/>
    <w:rsid w:val="00035B7B"/>
    <w:rsid w:val="00050398"/>
    <w:rsid w:val="000B1F93"/>
    <w:rsid w:val="000B453D"/>
    <w:rsid w:val="000C5C50"/>
    <w:rsid w:val="000D774E"/>
    <w:rsid w:val="00147262"/>
    <w:rsid w:val="001B605A"/>
    <w:rsid w:val="0024084C"/>
    <w:rsid w:val="00251149"/>
    <w:rsid w:val="00263D21"/>
    <w:rsid w:val="002A7CBF"/>
    <w:rsid w:val="002C6EE0"/>
    <w:rsid w:val="002F082A"/>
    <w:rsid w:val="00325607"/>
    <w:rsid w:val="00326F29"/>
    <w:rsid w:val="003B2CA8"/>
    <w:rsid w:val="003D7594"/>
    <w:rsid w:val="004161E8"/>
    <w:rsid w:val="00424719"/>
    <w:rsid w:val="00433804"/>
    <w:rsid w:val="00477042"/>
    <w:rsid w:val="004C33BF"/>
    <w:rsid w:val="004D045C"/>
    <w:rsid w:val="004D22E0"/>
    <w:rsid w:val="004E3E03"/>
    <w:rsid w:val="00504486"/>
    <w:rsid w:val="005223DF"/>
    <w:rsid w:val="00545CB5"/>
    <w:rsid w:val="005B2BC5"/>
    <w:rsid w:val="005C3FD9"/>
    <w:rsid w:val="005D62D5"/>
    <w:rsid w:val="00600C8F"/>
    <w:rsid w:val="00632916"/>
    <w:rsid w:val="00674523"/>
    <w:rsid w:val="006758D1"/>
    <w:rsid w:val="006950FF"/>
    <w:rsid w:val="006F4C3C"/>
    <w:rsid w:val="0072686B"/>
    <w:rsid w:val="00730F03"/>
    <w:rsid w:val="0076358B"/>
    <w:rsid w:val="0078045B"/>
    <w:rsid w:val="00780914"/>
    <w:rsid w:val="00797129"/>
    <w:rsid w:val="007C2710"/>
    <w:rsid w:val="007F1163"/>
    <w:rsid w:val="00822285"/>
    <w:rsid w:val="008439B6"/>
    <w:rsid w:val="008448B1"/>
    <w:rsid w:val="00844B98"/>
    <w:rsid w:val="008E6E17"/>
    <w:rsid w:val="00916BA2"/>
    <w:rsid w:val="009721E7"/>
    <w:rsid w:val="00974A37"/>
    <w:rsid w:val="009A2408"/>
    <w:rsid w:val="009C2EE8"/>
    <w:rsid w:val="00A006FA"/>
    <w:rsid w:val="00A43730"/>
    <w:rsid w:val="00A643F6"/>
    <w:rsid w:val="00A718E5"/>
    <w:rsid w:val="00AA257E"/>
    <w:rsid w:val="00AC36C6"/>
    <w:rsid w:val="00AC528F"/>
    <w:rsid w:val="00B010B8"/>
    <w:rsid w:val="00B710DE"/>
    <w:rsid w:val="00BA7F40"/>
    <w:rsid w:val="00BB5C38"/>
    <w:rsid w:val="00BD470D"/>
    <w:rsid w:val="00BE3D69"/>
    <w:rsid w:val="00BE45FD"/>
    <w:rsid w:val="00C353CC"/>
    <w:rsid w:val="00C6772C"/>
    <w:rsid w:val="00C70035"/>
    <w:rsid w:val="00C72E1D"/>
    <w:rsid w:val="00C76927"/>
    <w:rsid w:val="00C96DB1"/>
    <w:rsid w:val="00CC1886"/>
    <w:rsid w:val="00CD48AA"/>
    <w:rsid w:val="00CF2991"/>
    <w:rsid w:val="00D230D8"/>
    <w:rsid w:val="00D553A4"/>
    <w:rsid w:val="00D86895"/>
    <w:rsid w:val="00DB70E1"/>
    <w:rsid w:val="00DE2A31"/>
    <w:rsid w:val="00E20415"/>
    <w:rsid w:val="00E24217"/>
    <w:rsid w:val="00E24B1C"/>
    <w:rsid w:val="00E9183A"/>
    <w:rsid w:val="00E9478D"/>
    <w:rsid w:val="00F20CAB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eaudrault@dhsoha.state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lorence.pourtal-stevens@chw.coos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baker@co.jefferson.or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2018-12-04T20:11:00Z</dcterms:created>
  <dcterms:modified xsi:type="dcterms:W3CDTF">2018-12-04T20:11:00Z</dcterms:modified>
</cp:coreProperties>
</file>