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551F40" w:rsidP="00BE3D69">
      <w:pPr>
        <w:spacing w:after="0" w:line="240" w:lineRule="auto"/>
        <w:jc w:val="center"/>
      </w:pPr>
      <w:r>
        <w:t>December 17</w:t>
      </w:r>
      <w:r w:rsidR="00BE45FD" w:rsidRPr="00BE45FD">
        <w:rPr>
          <w:vertAlign w:val="superscript"/>
        </w:rPr>
        <w:t>th</w:t>
      </w:r>
      <w:r w:rsidR="00730F03">
        <w:t>,</w:t>
      </w:r>
      <w:r w:rsidR="002C6EE0"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:rsidR="00BE3D69" w:rsidRDefault="00BE3D69" w:rsidP="00336D8E">
      <w:pPr>
        <w:spacing w:after="0" w:line="240" w:lineRule="auto"/>
        <w:jc w:val="center"/>
      </w:pPr>
      <w:r>
        <w:t>PSOB room 915</w:t>
      </w:r>
    </w:p>
    <w:p w:rsidR="0003225B" w:rsidRDefault="00E776A8" w:rsidP="002C0069">
      <w:pPr>
        <w:spacing w:after="0" w:line="240" w:lineRule="auto"/>
      </w:pPr>
      <w:r>
        <w:t xml:space="preserve">Members present: Florence </w:t>
      </w:r>
      <w:proofErr w:type="spellStart"/>
      <w:r>
        <w:t>Pourtal</w:t>
      </w:r>
      <w:proofErr w:type="spellEnd"/>
      <w:r>
        <w:t xml:space="preserve">-Stevens, Muriel </w:t>
      </w:r>
      <w:proofErr w:type="spellStart"/>
      <w:r>
        <w:t>DeLaVergne</w:t>
      </w:r>
      <w:proofErr w:type="spellEnd"/>
      <w:r>
        <w:t xml:space="preserve">-Brown, Jessica Dale, Tanya (Jackson County), </w:t>
      </w:r>
      <w:r w:rsidR="00897D28">
        <w:t>Mike (Jefferson County)</w:t>
      </w:r>
    </w:p>
    <w:p w:rsidR="00E776A8" w:rsidRDefault="00E776A8" w:rsidP="002C0069">
      <w:pPr>
        <w:spacing w:after="0" w:line="240" w:lineRule="auto"/>
      </w:pPr>
      <w:r>
        <w:t xml:space="preserve">Guests: Danna Drum, </w:t>
      </w:r>
      <w:r w:rsidR="00067DF4">
        <w:t xml:space="preserve">Karen Slothower, Ashley </w:t>
      </w:r>
      <w:proofErr w:type="spellStart"/>
      <w:r w:rsidR="00067DF4">
        <w:t>Thristrup</w:t>
      </w:r>
      <w:proofErr w:type="spellEnd"/>
      <w:r w:rsidR="00067DF4">
        <w:t xml:space="preserve">, Luci Longoria, </w:t>
      </w:r>
    </w:p>
    <w:p w:rsidR="00067DF4" w:rsidRDefault="00067DF4" w:rsidP="002C0069">
      <w:pPr>
        <w:spacing w:after="0" w:line="240" w:lineRule="auto"/>
      </w:pPr>
      <w:r>
        <w:t>State Public Health Lead: Sara Beaudrault</w:t>
      </w:r>
    </w:p>
    <w:p w:rsidR="00A718E5" w:rsidRDefault="00A718E5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05"/>
        <w:gridCol w:w="2880"/>
        <w:gridCol w:w="3690"/>
        <w:gridCol w:w="270"/>
        <w:gridCol w:w="1800"/>
        <w:gridCol w:w="250"/>
      </w:tblGrid>
      <w:tr w:rsidR="00BE3D69" w:rsidRPr="00BE3D69" w:rsidTr="002C0069">
        <w:trPr>
          <w:trHeight w:val="432"/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657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</w:p>
        </w:tc>
      </w:tr>
      <w:tr w:rsidR="00BE3D69" w:rsidTr="002C0069">
        <w:trPr>
          <w:jc w:val="center"/>
        </w:trPr>
        <w:tc>
          <w:tcPr>
            <w:tcW w:w="260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6570" w:type="dxa"/>
            <w:gridSpan w:val="2"/>
          </w:tcPr>
          <w:p w:rsidR="00F26C92" w:rsidRDefault="00E24217" w:rsidP="00BE3D69">
            <w:r>
              <w:t>Quorum is 50% +1 of committee membership</w:t>
            </w:r>
          </w:p>
          <w:p w:rsidR="00E33F86" w:rsidRDefault="00055230" w:rsidP="00BE3D69">
            <w:r>
              <w:t>Quorum was not reached.</w:t>
            </w:r>
          </w:p>
        </w:tc>
        <w:tc>
          <w:tcPr>
            <w:tcW w:w="270" w:type="dxa"/>
          </w:tcPr>
          <w:p w:rsidR="00BE3D69" w:rsidRDefault="00BE3D69" w:rsidP="00BE3D69"/>
        </w:tc>
        <w:tc>
          <w:tcPr>
            <w:tcW w:w="1800" w:type="dxa"/>
          </w:tcPr>
          <w:p w:rsidR="00BE3D69" w:rsidRDefault="00BE3D69" w:rsidP="00BE3D69"/>
        </w:tc>
        <w:tc>
          <w:tcPr>
            <w:tcW w:w="250" w:type="dxa"/>
          </w:tcPr>
          <w:p w:rsidR="00BE3D69" w:rsidRDefault="00BE3D69" w:rsidP="00BE3D69"/>
        </w:tc>
      </w:tr>
      <w:tr w:rsidR="00BE3D69" w:rsidTr="002C0069">
        <w:trPr>
          <w:jc w:val="center"/>
        </w:trPr>
        <w:tc>
          <w:tcPr>
            <w:tcW w:w="260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6570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A718E5">
              <w:t>August</w:t>
            </w:r>
            <w:r w:rsidR="009C2EE8">
              <w:t xml:space="preserve"> </w:t>
            </w:r>
            <w:r w:rsidR="009721E7">
              <w:t>and October</w:t>
            </w:r>
            <w:r w:rsidR="00551F40">
              <w:t xml:space="preserve"> and November</w:t>
            </w:r>
            <w:r w:rsidR="009721E7">
              <w:t xml:space="preserve"> meeting</w:t>
            </w:r>
            <w:r w:rsidR="00551F40">
              <w:t>s</w:t>
            </w:r>
          </w:p>
          <w:p w:rsidR="00C70035" w:rsidRDefault="00055230" w:rsidP="00545CB5">
            <w:r>
              <w:t>Not reviewed or approved due to lack of quorum.</w:t>
            </w:r>
          </w:p>
        </w:tc>
        <w:tc>
          <w:tcPr>
            <w:tcW w:w="270" w:type="dxa"/>
          </w:tcPr>
          <w:p w:rsidR="00BE3D69" w:rsidRDefault="00BE3D69" w:rsidP="00BE3D69"/>
        </w:tc>
        <w:tc>
          <w:tcPr>
            <w:tcW w:w="1800" w:type="dxa"/>
          </w:tcPr>
          <w:p w:rsidR="00BE3D69" w:rsidRDefault="00BE3D69" w:rsidP="00F26C92"/>
        </w:tc>
        <w:tc>
          <w:tcPr>
            <w:tcW w:w="250" w:type="dxa"/>
          </w:tcPr>
          <w:p w:rsidR="00BE3D69" w:rsidRDefault="00BE3D69" w:rsidP="00BE3D69"/>
        </w:tc>
      </w:tr>
      <w:tr w:rsidR="00F26C92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822285" w:rsidTr="002C0069">
        <w:trPr>
          <w:jc w:val="center"/>
        </w:trPr>
        <w:tc>
          <w:tcPr>
            <w:tcW w:w="2605" w:type="dxa"/>
          </w:tcPr>
          <w:p w:rsidR="00822285" w:rsidRDefault="00551F40" w:rsidP="00822285">
            <w:r>
              <w:t>Fiscal reporting and audit issues</w:t>
            </w:r>
          </w:p>
        </w:tc>
        <w:tc>
          <w:tcPr>
            <w:tcW w:w="6570" w:type="dxa"/>
            <w:gridSpan w:val="2"/>
          </w:tcPr>
          <w:p w:rsidR="00D91BE4" w:rsidRDefault="00BA69D4" w:rsidP="00551F40">
            <w:r>
              <w:t>Discuss</w:t>
            </w:r>
            <w:r w:rsidR="00D91BE4">
              <w:t xml:space="preserve"> potential fiscal reporting changes for WIC due to federal audit findings.</w:t>
            </w:r>
          </w:p>
          <w:p w:rsidR="00067DF4" w:rsidRDefault="00067DF4" w:rsidP="00551F40"/>
          <w:p w:rsidR="006950FF" w:rsidRPr="00822285" w:rsidRDefault="00055230" w:rsidP="00551F40">
            <w:r>
              <w:t xml:space="preserve">The Department of Agriculture management reviewed our fiscal monitoring and tracking of sub-recipients and sub-contractors. We have not been reviewing general ledger entry. </w:t>
            </w:r>
            <w:r w:rsidR="0029434A">
              <w:t>They found we needed to do this to assure charges were allowable under the conditions of the grants. Our current practice of every other year review is not sufficient.</w:t>
            </w:r>
            <w:r w:rsidR="002450CF">
              <w:t xml:space="preserve"> We have another review this summer and will need to prove that we have addressed this finding. Sue Woodbury will present a revision to the WIC program element</w:t>
            </w:r>
            <w:r w:rsidR="00897D28">
              <w:t xml:space="preserve"> stating the general ledger </w:t>
            </w:r>
            <w:r w:rsidR="00F00C89" w:rsidRPr="00F00C89">
              <w:t xml:space="preserve">of expenditure and revenue </w:t>
            </w:r>
            <w:r w:rsidR="00897D28">
              <w:t xml:space="preserve">for the quarter will need to be submitted </w:t>
            </w:r>
            <w:r w:rsidR="00F00C89">
              <w:t xml:space="preserve">along </w:t>
            </w:r>
            <w:r w:rsidR="00897D28">
              <w:t xml:space="preserve">with </w:t>
            </w:r>
            <w:r w:rsidR="00F00C89">
              <w:t>a</w:t>
            </w:r>
            <w:r w:rsidR="00897D28">
              <w:t xml:space="preserve"> quarterly report</w:t>
            </w:r>
            <w:r w:rsidR="00F00C89">
              <w:t xml:space="preserve"> validating those expenditures and revenues</w:t>
            </w:r>
            <w:r w:rsidR="00897D28">
              <w:t xml:space="preserve">. We are currently working on the requirement for expenditure testing. </w:t>
            </w:r>
            <w:r w:rsidR="008307E1">
              <w:t>This will start with your third quarter submission.</w:t>
            </w:r>
            <w:r w:rsidR="00551F40">
              <w:t xml:space="preserve"> </w:t>
            </w:r>
          </w:p>
        </w:tc>
        <w:tc>
          <w:tcPr>
            <w:tcW w:w="270" w:type="dxa"/>
          </w:tcPr>
          <w:p w:rsidR="00822285" w:rsidRDefault="00822285" w:rsidP="00D230D8"/>
        </w:tc>
        <w:tc>
          <w:tcPr>
            <w:tcW w:w="1800" w:type="dxa"/>
          </w:tcPr>
          <w:p w:rsidR="00822285" w:rsidRDefault="00551F40" w:rsidP="00822285">
            <w:r>
              <w:t>Danna Drum and Karen Slothower</w:t>
            </w:r>
          </w:p>
        </w:tc>
        <w:tc>
          <w:tcPr>
            <w:tcW w:w="250" w:type="dxa"/>
          </w:tcPr>
          <w:p w:rsidR="00822285" w:rsidRDefault="00822285" w:rsidP="009721E7"/>
        </w:tc>
      </w:tr>
      <w:tr w:rsidR="00D230D8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822285">
              <w:rPr>
                <w:b/>
              </w:rPr>
              <w:t xml:space="preserve"> – </w:t>
            </w:r>
          </w:p>
        </w:tc>
      </w:tr>
      <w:tr w:rsidR="00916BA2" w:rsidTr="002C0069">
        <w:trPr>
          <w:jc w:val="center"/>
        </w:trPr>
        <w:tc>
          <w:tcPr>
            <w:tcW w:w="2605" w:type="dxa"/>
          </w:tcPr>
          <w:p w:rsidR="00916BA2" w:rsidRDefault="009721E7" w:rsidP="00BB449F">
            <w:r>
              <w:t>Duplicate Expenditure Reporting</w:t>
            </w:r>
          </w:p>
        </w:tc>
        <w:tc>
          <w:tcPr>
            <w:tcW w:w="6570" w:type="dxa"/>
            <w:gridSpan w:val="2"/>
          </w:tcPr>
          <w:p w:rsidR="00A718E5" w:rsidRDefault="00D91BE4" w:rsidP="00BB449F">
            <w:pPr>
              <w:rPr>
                <w:b/>
                <w:color w:val="FF0000"/>
              </w:rPr>
            </w:pPr>
            <w:r>
              <w:t>Review supplemental fiscal reporting requirements for some program elements.</w:t>
            </w:r>
            <w:r w:rsidR="001256E6">
              <w:t xml:space="preserve"> </w:t>
            </w:r>
            <w:r w:rsidR="00202D11" w:rsidRPr="002C0069">
              <w:rPr>
                <w:b/>
                <w:color w:val="FF0000"/>
              </w:rPr>
              <w:t>(17:55)</w:t>
            </w:r>
          </w:p>
          <w:p w:rsidR="005C7E03" w:rsidRDefault="005C7E03" w:rsidP="00BB449F">
            <w:pPr>
              <w:rPr>
                <w:b/>
                <w:color w:val="FF0000"/>
              </w:rPr>
            </w:pPr>
          </w:p>
          <w:p w:rsidR="005C7E03" w:rsidRDefault="005C7E03" w:rsidP="00BB449F">
            <w:r w:rsidRPr="002C0069">
              <w:t>Program Element 46 Reproductive Health</w:t>
            </w:r>
            <w:r w:rsidR="00E409CC">
              <w:t>: S</w:t>
            </w:r>
            <w:r w:rsidRPr="002C0069">
              <w:t>ubmit your usual quarterly report.</w:t>
            </w:r>
          </w:p>
          <w:p w:rsidR="005C7E03" w:rsidRDefault="005C7E03" w:rsidP="00BB449F">
            <w:r>
              <w:t>PE Ryan White supplemental report</w:t>
            </w:r>
            <w:r w:rsidR="00E409CC">
              <w:t>: T</w:t>
            </w:r>
            <w:r>
              <w:t xml:space="preserve">he funding must be tied to specific client services. The quarterly report does not provide that information. </w:t>
            </w:r>
          </w:p>
          <w:p w:rsidR="005C7E03" w:rsidRDefault="005C7E03" w:rsidP="00BB449F">
            <w:r>
              <w:t>School-based Health Centers</w:t>
            </w:r>
            <w:r w:rsidR="00E409CC">
              <w:t>: R</w:t>
            </w:r>
            <w:r>
              <w:t xml:space="preserve">evenue dollars from the prior year must be reported through a separate process. </w:t>
            </w:r>
            <w:r w:rsidR="00E409CC">
              <w:t xml:space="preserve">Legislature needs to see additional funding streams. </w:t>
            </w:r>
          </w:p>
          <w:p w:rsidR="00E409CC" w:rsidRDefault="00E409CC">
            <w:r>
              <w:t>PE 27</w:t>
            </w:r>
            <w:r w:rsidR="00ED593C">
              <w:t xml:space="preserve"> Prescription Drug Overdose</w:t>
            </w:r>
            <w:r>
              <w:t xml:space="preserve">: </w:t>
            </w:r>
            <w:r w:rsidR="00635FC9">
              <w:t xml:space="preserve">This one is complex. </w:t>
            </w:r>
            <w:r w:rsidR="00093E88">
              <w:t xml:space="preserve">There is a separate form in addition to the quarterly form. </w:t>
            </w:r>
            <w:r w:rsidR="00635FC9">
              <w:t xml:space="preserve">There are multiple funding streams, some of which have no quarter end dates. </w:t>
            </w:r>
            <w:r w:rsidR="00093E88">
              <w:t xml:space="preserve">Additionally, there are carry-over dollars. </w:t>
            </w:r>
            <w:r w:rsidR="00635FC9">
              <w:t xml:space="preserve">We need to account for which funding stream is used at which time </w:t>
            </w:r>
            <w:r w:rsidR="00093E88">
              <w:t>to</w:t>
            </w:r>
            <w:r w:rsidR="00635FC9">
              <w:t xml:space="preserve"> close out the federal </w:t>
            </w:r>
            <w:r w:rsidR="00635FC9">
              <w:lastRenderedPageBreak/>
              <w:t xml:space="preserve">grant. </w:t>
            </w:r>
            <w:r w:rsidR="00093E88">
              <w:t xml:space="preserve">We are working to incorporate this additional form request into the quarterly report. </w:t>
            </w:r>
          </w:p>
          <w:p w:rsidR="00093E88" w:rsidRDefault="00EA6B6B">
            <w:r>
              <w:t xml:space="preserve"> PE 51and 52</w:t>
            </w:r>
            <w:r w:rsidR="00093E88">
              <w:t xml:space="preserve"> Modernization: </w:t>
            </w:r>
            <w:r w:rsidR="00515DF8">
              <w:t>The s</w:t>
            </w:r>
            <w:r>
              <w:t xml:space="preserve">upplemental expenditure report </w:t>
            </w:r>
            <w:r w:rsidR="00515DF8">
              <w:t>is not necessary. The r</w:t>
            </w:r>
            <w:r>
              <w:t xml:space="preserve">evenue and expenditure report </w:t>
            </w:r>
            <w:proofErr w:type="gramStart"/>
            <w:r w:rsidR="00515DF8">
              <w:t>is</w:t>
            </w:r>
            <w:proofErr w:type="gramEnd"/>
            <w:r w:rsidR="00515DF8">
              <w:t xml:space="preserve"> sufficient although the supplemental report provides valuable information. We ask that the supplemental report be continued through the end of the biennium. </w:t>
            </w:r>
          </w:p>
          <w:p w:rsidR="00F34406" w:rsidRDefault="00F34406">
            <w:r>
              <w:t xml:space="preserve">Can we incorporate the additional reports into the quarterly reports for </w:t>
            </w:r>
            <w:r w:rsidR="00ED593C">
              <w:t>Ryan White and School-based Health Centers? No, Ryan White is client specific and School-based Health is reported yearly through a different process</w:t>
            </w:r>
            <w:r w:rsidR="00CB6FFE">
              <w:t xml:space="preserve"> and for a different purpose</w:t>
            </w:r>
            <w:r w:rsidR="00ED593C">
              <w:t xml:space="preserve">. </w:t>
            </w:r>
          </w:p>
          <w:p w:rsidR="00BD4196" w:rsidRPr="009C2EE8" w:rsidRDefault="00B65D59">
            <w:r>
              <w:t xml:space="preserve">How can we make the review process less disruptive? We are losing Kim La </w:t>
            </w:r>
            <w:proofErr w:type="gramStart"/>
            <w:r>
              <w:t>Croix</w:t>
            </w:r>
            <w:proofErr w:type="gramEnd"/>
            <w:r>
              <w:t xml:space="preserve"> so our capacity is reduced by 50% until that position is filled. </w:t>
            </w:r>
          </w:p>
        </w:tc>
        <w:tc>
          <w:tcPr>
            <w:tcW w:w="270" w:type="dxa"/>
          </w:tcPr>
          <w:p w:rsidR="00916BA2" w:rsidRDefault="00916BA2" w:rsidP="00A718E5"/>
        </w:tc>
        <w:tc>
          <w:tcPr>
            <w:tcW w:w="1800" w:type="dxa"/>
          </w:tcPr>
          <w:p w:rsidR="00916BA2" w:rsidRDefault="00D91BE4" w:rsidP="00BB449F">
            <w:r>
              <w:t>Danna Drum and Karen Slothower</w:t>
            </w:r>
          </w:p>
        </w:tc>
        <w:tc>
          <w:tcPr>
            <w:tcW w:w="250" w:type="dxa"/>
          </w:tcPr>
          <w:p w:rsidR="00916BA2" w:rsidRDefault="00916BA2" w:rsidP="00BB449F"/>
        </w:tc>
      </w:tr>
      <w:tr w:rsidR="00A718E5" w:rsidTr="002C0069">
        <w:trPr>
          <w:jc w:val="center"/>
        </w:trPr>
        <w:tc>
          <w:tcPr>
            <w:tcW w:w="2605" w:type="dxa"/>
          </w:tcPr>
          <w:p w:rsidR="00A718E5" w:rsidRDefault="00844B98" w:rsidP="00BB449F">
            <w:r>
              <w:t>Funding formula checklist</w:t>
            </w:r>
          </w:p>
        </w:tc>
        <w:tc>
          <w:tcPr>
            <w:tcW w:w="6570" w:type="dxa"/>
            <w:gridSpan w:val="2"/>
          </w:tcPr>
          <w:p w:rsidR="00A718E5" w:rsidRDefault="00844B98" w:rsidP="00844B98">
            <w:pPr>
              <w:rPr>
                <w:b/>
                <w:color w:val="FF0000"/>
              </w:rPr>
            </w:pPr>
            <w:r>
              <w:t xml:space="preserve">Update on the use of the checklist by the co-facilitators of the TPEP funding formula </w:t>
            </w:r>
            <w:r w:rsidR="00551F40">
              <w:t xml:space="preserve">(FF) </w:t>
            </w:r>
            <w:r>
              <w:t>workgroup</w:t>
            </w:r>
            <w:r w:rsidR="00747E4D">
              <w:t xml:space="preserve"> </w:t>
            </w:r>
            <w:r w:rsidR="00747E4D" w:rsidRPr="002C0069">
              <w:rPr>
                <w:b/>
                <w:color w:val="FF0000"/>
              </w:rPr>
              <w:t>(34:00)</w:t>
            </w:r>
          </w:p>
          <w:p w:rsidR="001941D8" w:rsidRDefault="001941D8" w:rsidP="00844B98">
            <w:pPr>
              <w:rPr>
                <w:b/>
                <w:color w:val="FF0000"/>
              </w:rPr>
            </w:pPr>
          </w:p>
          <w:p w:rsidR="001941D8" w:rsidRPr="002C0069" w:rsidRDefault="00127D3A" w:rsidP="00844B98">
            <w:r w:rsidRPr="002C0069">
              <w:t xml:space="preserve">It is not actually a checklist and is still in its draft form. </w:t>
            </w:r>
            <w:r w:rsidR="00B722DA" w:rsidRPr="002C0069">
              <w:t xml:space="preserve">Any revisions to the checklist are due from the workgroup by February. </w:t>
            </w:r>
            <w:r w:rsidR="001941D8" w:rsidRPr="002C0069">
              <w:t xml:space="preserve">The first meeting centered around </w:t>
            </w:r>
            <w:r w:rsidR="00B722DA" w:rsidRPr="002C0069">
              <w:t xml:space="preserve">shared values and data. Some counties do not feel they have capacity to align with modernization as they perceive it. We are looking to </w:t>
            </w:r>
            <w:proofErr w:type="gramStart"/>
            <w:r w:rsidR="00B722DA" w:rsidRPr="002C0069">
              <w:t>partner</w:t>
            </w:r>
            <w:proofErr w:type="gramEnd"/>
            <w:r w:rsidR="00B722DA" w:rsidRPr="002C0069">
              <w:t xml:space="preserve"> with other entities to further work.</w:t>
            </w:r>
            <w:r w:rsidR="00B7287D" w:rsidRPr="002C0069">
              <w:t xml:space="preserve"> We looked in detail at the checklist and the PHAP funding principles. </w:t>
            </w:r>
            <w:r w:rsidR="002C2689" w:rsidRPr="002C0069">
              <w:t xml:space="preserve">We want to establish what every community needs to have in place and what more ready communities can do to leverage </w:t>
            </w:r>
            <w:r w:rsidR="00B976DF" w:rsidRPr="002C0069">
              <w:t>their programs. A survey was send to all 50 states through the Tobacco Control Network. Questions asked included how funding was disseminated. 35% had made recent changes to their funding formulas.</w:t>
            </w:r>
            <w:r w:rsidR="00C25D0F" w:rsidRPr="002C0069">
              <w:t xml:space="preserve"> Cross-jurisdictional groups would be incentivized. </w:t>
            </w:r>
          </w:p>
          <w:p w:rsidR="006F4FF7" w:rsidRPr="002C0069" w:rsidRDefault="00F55AC2" w:rsidP="00844B98">
            <w:r w:rsidRPr="002C0069">
              <w:t>#3 Using funding to incentivize changes: Will this be used to promote proposals or held back and provided later to reward outcomes</w:t>
            </w:r>
            <w:r w:rsidR="00C25D0F" w:rsidRPr="002C0069">
              <w:t xml:space="preserve"> and innovation</w:t>
            </w:r>
            <w:r w:rsidRPr="002C0069">
              <w:t>?</w:t>
            </w:r>
            <w:r w:rsidR="00C25D0F" w:rsidRPr="002C0069">
              <w:t xml:space="preserve"> Florence will check the minutes from the July workshop to see what was decided.  </w:t>
            </w:r>
          </w:p>
          <w:p w:rsidR="0017118E" w:rsidRDefault="00411B1B" w:rsidP="00844B98">
            <w:r>
              <w:t>This committee would be interested in hearing how the checklist is used. If there are any questions, the TPEP should bring them back to this committee. Where the standards a barrier or were they too broad? The document was not a barrier</w:t>
            </w:r>
            <w:r w:rsidR="00EE1A53">
              <w:t>. When the funding formula is set up</w:t>
            </w:r>
            <w:r w:rsidR="0011144A">
              <w:t>, which is the next step,</w:t>
            </w:r>
            <w:r w:rsidR="00EE1A53">
              <w:t xml:space="preserve"> will be the real test. </w:t>
            </w:r>
          </w:p>
        </w:tc>
        <w:tc>
          <w:tcPr>
            <w:tcW w:w="270" w:type="dxa"/>
          </w:tcPr>
          <w:p w:rsidR="00A718E5" w:rsidRDefault="00A718E5" w:rsidP="00A718E5"/>
        </w:tc>
        <w:tc>
          <w:tcPr>
            <w:tcW w:w="1800" w:type="dxa"/>
          </w:tcPr>
          <w:p w:rsidR="00A718E5" w:rsidRDefault="00504486" w:rsidP="00BB449F">
            <w:r>
              <w:t xml:space="preserve">Ashley Thirstrup </w:t>
            </w:r>
            <w:r w:rsidR="00844B98">
              <w:t>Tanya Phillips</w:t>
            </w:r>
          </w:p>
          <w:p w:rsidR="00504486" w:rsidRDefault="00504486" w:rsidP="00BB449F">
            <w:r>
              <w:t>Kirsten Aird</w:t>
            </w:r>
          </w:p>
        </w:tc>
        <w:tc>
          <w:tcPr>
            <w:tcW w:w="250" w:type="dxa"/>
          </w:tcPr>
          <w:p w:rsidR="00A718E5" w:rsidRDefault="00A718E5" w:rsidP="00BB449F"/>
        </w:tc>
      </w:tr>
      <w:tr w:rsidR="009C2EE8" w:rsidTr="002C0069">
        <w:trPr>
          <w:jc w:val="center"/>
        </w:trPr>
        <w:tc>
          <w:tcPr>
            <w:tcW w:w="2605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To do item for next meeting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</w:tcPr>
          <w:p w:rsidR="009C2EE8" w:rsidRDefault="009C2EE8" w:rsidP="009C2EE8">
            <w:r>
              <w:t>Discuss to do items for next meeting – if any</w:t>
            </w:r>
            <w:r w:rsidR="009C1261">
              <w:t xml:space="preserve"> </w:t>
            </w:r>
            <w:r w:rsidR="009C1261" w:rsidRPr="002C0069">
              <w:rPr>
                <w:b/>
                <w:color w:val="FF0000"/>
              </w:rPr>
              <w:t>(1:11)</w:t>
            </w:r>
          </w:p>
          <w:p w:rsidR="007A7259" w:rsidRDefault="007A7259" w:rsidP="009C2EE8"/>
          <w:p w:rsidR="007A7259" w:rsidRDefault="007A7259" w:rsidP="009C2EE8">
            <w:r w:rsidRPr="007A7259">
              <w:t xml:space="preserve">Create a document for this committee to share and bring </w:t>
            </w:r>
            <w:r w:rsidR="002C0069">
              <w:t xml:space="preserve">it </w:t>
            </w:r>
            <w:bookmarkStart w:id="0" w:name="_GoBack"/>
            <w:bookmarkEnd w:id="0"/>
            <w:r w:rsidRPr="007A7259">
              <w:t>to the next meeting.</w:t>
            </w:r>
          </w:p>
          <w:p w:rsidR="00662EFC" w:rsidRDefault="00662EFC" w:rsidP="009C2EE8"/>
          <w:p w:rsidR="00762CCE" w:rsidRDefault="00662EFC" w:rsidP="009C2EE8">
            <w:r w:rsidRPr="00662EFC">
              <w:t>What should this committee look at next?</w:t>
            </w:r>
          </w:p>
          <w:p w:rsidR="0087095B" w:rsidRDefault="00AC2E82" w:rsidP="009C2EE8">
            <w:r>
              <w:t>Objective one: funding standards, program review checklist, capabilities checklist.</w:t>
            </w:r>
          </w:p>
          <w:p w:rsidR="00AC2E82" w:rsidRDefault="00AC2E82" w:rsidP="009C2EE8">
            <w:r>
              <w:t>Objective two: Identifying metrics to align public health</w:t>
            </w:r>
            <w:r w:rsidR="00762CCE">
              <w:t xml:space="preserve"> modernization and public health accreditation. </w:t>
            </w:r>
          </w:p>
          <w:p w:rsidR="00762CCE" w:rsidRDefault="00762CCE" w:rsidP="009C2EE8">
            <w:r>
              <w:t xml:space="preserve">Objective three: Identifying barriers to reporting. </w:t>
            </w:r>
          </w:p>
          <w:p w:rsidR="00762CCE" w:rsidRDefault="00762CCE" w:rsidP="009C2EE8">
            <w:r>
              <w:t>Objective four: How to submit questions to this committee.</w:t>
            </w:r>
          </w:p>
          <w:p w:rsidR="00762CCE" w:rsidRDefault="00662EFC" w:rsidP="009C2EE8">
            <w:r>
              <w:lastRenderedPageBreak/>
              <w:t>Next two scheduled meetings fall on holidays. Florence will send an email to the committee. A request was made to reschedule January and cancel February.</w:t>
            </w:r>
          </w:p>
          <w:p w:rsidR="00662EFC" w:rsidRDefault="00662EFC" w:rsidP="009C2EE8"/>
          <w:p w:rsidR="004D38A2" w:rsidRDefault="00AA6511" w:rsidP="002C0069">
            <w:r>
              <w:t xml:space="preserve">Review list of members who can commit for 2019.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C2EE8" w:rsidRDefault="009C2EE8" w:rsidP="009C2EE8"/>
        </w:tc>
        <w:tc>
          <w:tcPr>
            <w:tcW w:w="1800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Mike/Florence</w:t>
            </w:r>
          </w:p>
          <w:p w:rsidR="007A7259" w:rsidRDefault="007A7259" w:rsidP="009C2EE8"/>
          <w:p w:rsidR="007A7259" w:rsidRDefault="007A7259" w:rsidP="009C2EE8">
            <w:r>
              <w:t>Mike (Jefferson County)</w:t>
            </w:r>
          </w:p>
          <w:p w:rsidR="00662EFC" w:rsidRDefault="00662EFC" w:rsidP="009C2EE8"/>
          <w:p w:rsidR="00662EFC" w:rsidRDefault="00662EFC" w:rsidP="009C2EE8"/>
          <w:p w:rsidR="00662EFC" w:rsidRDefault="00662EFC" w:rsidP="009C2EE8"/>
          <w:p w:rsidR="00662EFC" w:rsidRDefault="00662EFC" w:rsidP="009C2EE8"/>
          <w:p w:rsidR="00662EFC" w:rsidRDefault="00662EFC" w:rsidP="009C2EE8"/>
          <w:p w:rsidR="00662EFC" w:rsidRDefault="00662EFC" w:rsidP="009C2EE8"/>
          <w:p w:rsidR="00662EFC" w:rsidRDefault="00662EFC" w:rsidP="009C2EE8"/>
          <w:p w:rsidR="00662EFC" w:rsidRDefault="00662EFC" w:rsidP="009C2EE8"/>
          <w:p w:rsidR="00662EFC" w:rsidRDefault="00662EFC" w:rsidP="009C2EE8">
            <w:r>
              <w:lastRenderedPageBreak/>
              <w:t xml:space="preserve">Florence </w:t>
            </w:r>
            <w:proofErr w:type="spellStart"/>
            <w:r>
              <w:t>Pourtal</w:t>
            </w:r>
            <w:proofErr w:type="spellEnd"/>
            <w:r>
              <w:t>-Stevens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:rsidR="009C2EE8" w:rsidRDefault="009C2EE8" w:rsidP="009C2EE8"/>
        </w:tc>
      </w:tr>
      <w:tr w:rsidR="009C2EE8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2C0069" w:rsidP="009C2EE8">
            <w:hyperlink r:id="rId6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Florence Pourtal-Stevens</w:t>
            </w:r>
          </w:p>
          <w:p w:rsidR="009C2EE8" w:rsidRDefault="009C2EE8" w:rsidP="009C2EE8">
            <w:r>
              <w:t>Coos County Public Health Administrator</w:t>
            </w:r>
          </w:p>
          <w:p w:rsidR="009C2EE8" w:rsidRDefault="009C2EE8" w:rsidP="009C2EE8">
            <w:r>
              <w:t>541-266-6774</w:t>
            </w:r>
          </w:p>
          <w:p w:rsidR="009C2EE8" w:rsidRDefault="002C0069" w:rsidP="009C2EE8">
            <w:hyperlink r:id="rId7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8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:rsidR="00BE3D69" w:rsidRDefault="00BE3D69" w:rsidP="00A718E5">
      <w:pPr>
        <w:spacing w:after="0" w:line="240" w:lineRule="auto"/>
      </w:pPr>
    </w:p>
    <w:sectPr w:rsidR="00BE3D69" w:rsidSect="00A718E5"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9A" w:rsidRDefault="00E26B9A" w:rsidP="00BE3D69">
      <w:pPr>
        <w:spacing w:after="0" w:line="240" w:lineRule="auto"/>
      </w:pPr>
      <w:r>
        <w:separator/>
      </w:r>
    </w:p>
  </w:endnote>
  <w:endnote w:type="continuationSeparator" w:id="0">
    <w:p w:rsidR="00E26B9A" w:rsidRDefault="00E26B9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9A" w:rsidRDefault="00E26B9A" w:rsidP="00BE3D69">
      <w:pPr>
        <w:spacing w:after="0" w:line="240" w:lineRule="auto"/>
      </w:pPr>
      <w:r>
        <w:separator/>
      </w:r>
    </w:p>
  </w:footnote>
  <w:footnote w:type="continuationSeparator" w:id="0">
    <w:p w:rsidR="00E26B9A" w:rsidRDefault="00E26B9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kwqQUAR2dxDCwAAAA="/>
  </w:docVars>
  <w:rsids>
    <w:rsidRoot w:val="00BE3D69"/>
    <w:rsid w:val="00027F1E"/>
    <w:rsid w:val="0003225B"/>
    <w:rsid w:val="00035B7B"/>
    <w:rsid w:val="00055230"/>
    <w:rsid w:val="00067DF4"/>
    <w:rsid w:val="0008661B"/>
    <w:rsid w:val="00093E88"/>
    <w:rsid w:val="000B1F93"/>
    <w:rsid w:val="000B453D"/>
    <w:rsid w:val="000D774E"/>
    <w:rsid w:val="0011144A"/>
    <w:rsid w:val="001256E6"/>
    <w:rsid w:val="00127D3A"/>
    <w:rsid w:val="00147295"/>
    <w:rsid w:val="0017118E"/>
    <w:rsid w:val="001941D8"/>
    <w:rsid w:val="001D4FD9"/>
    <w:rsid w:val="001E1C0F"/>
    <w:rsid w:val="00202D11"/>
    <w:rsid w:val="00213B7C"/>
    <w:rsid w:val="002450CF"/>
    <w:rsid w:val="00251149"/>
    <w:rsid w:val="00263D21"/>
    <w:rsid w:val="0029434A"/>
    <w:rsid w:val="002A7CBF"/>
    <w:rsid w:val="002B31D7"/>
    <w:rsid w:val="002C0069"/>
    <w:rsid w:val="002C2689"/>
    <w:rsid w:val="002C6EE0"/>
    <w:rsid w:val="002F082A"/>
    <w:rsid w:val="00310FDD"/>
    <w:rsid w:val="0031721D"/>
    <w:rsid w:val="00326F29"/>
    <w:rsid w:val="00336D8E"/>
    <w:rsid w:val="003B2CA8"/>
    <w:rsid w:val="003D7594"/>
    <w:rsid w:val="00411B1B"/>
    <w:rsid w:val="00411B8E"/>
    <w:rsid w:val="004161E8"/>
    <w:rsid w:val="00424719"/>
    <w:rsid w:val="00471426"/>
    <w:rsid w:val="00477042"/>
    <w:rsid w:val="004C33BF"/>
    <w:rsid w:val="004D045C"/>
    <w:rsid w:val="004D22E0"/>
    <w:rsid w:val="004D38A2"/>
    <w:rsid w:val="00504486"/>
    <w:rsid w:val="0051366E"/>
    <w:rsid w:val="00515DF8"/>
    <w:rsid w:val="005223DF"/>
    <w:rsid w:val="00545CB5"/>
    <w:rsid w:val="00551F40"/>
    <w:rsid w:val="005B2BC5"/>
    <w:rsid w:val="005C3FD9"/>
    <w:rsid w:val="005C7E03"/>
    <w:rsid w:val="005F41AF"/>
    <w:rsid w:val="00600C8F"/>
    <w:rsid w:val="00635FC9"/>
    <w:rsid w:val="00662EFC"/>
    <w:rsid w:val="006950FF"/>
    <w:rsid w:val="006F4FF7"/>
    <w:rsid w:val="00730F03"/>
    <w:rsid w:val="00747E4D"/>
    <w:rsid w:val="00762CCE"/>
    <w:rsid w:val="00765946"/>
    <w:rsid w:val="00780914"/>
    <w:rsid w:val="00797129"/>
    <w:rsid w:val="007A7259"/>
    <w:rsid w:val="007B5FE2"/>
    <w:rsid w:val="007F2FD7"/>
    <w:rsid w:val="00814CEC"/>
    <w:rsid w:val="00822285"/>
    <w:rsid w:val="008307E1"/>
    <w:rsid w:val="008439B6"/>
    <w:rsid w:val="008448B1"/>
    <w:rsid w:val="00844B98"/>
    <w:rsid w:val="00867BED"/>
    <w:rsid w:val="0087095B"/>
    <w:rsid w:val="00870A00"/>
    <w:rsid w:val="0088572C"/>
    <w:rsid w:val="00897D28"/>
    <w:rsid w:val="008C28C2"/>
    <w:rsid w:val="008E6E17"/>
    <w:rsid w:val="00916BA2"/>
    <w:rsid w:val="009721E7"/>
    <w:rsid w:val="00974A37"/>
    <w:rsid w:val="009A2408"/>
    <w:rsid w:val="009C1261"/>
    <w:rsid w:val="009C2EE8"/>
    <w:rsid w:val="009D543D"/>
    <w:rsid w:val="00A006FA"/>
    <w:rsid w:val="00A13F7F"/>
    <w:rsid w:val="00A26962"/>
    <w:rsid w:val="00A43730"/>
    <w:rsid w:val="00A643F6"/>
    <w:rsid w:val="00A718E5"/>
    <w:rsid w:val="00A75EA4"/>
    <w:rsid w:val="00AA257E"/>
    <w:rsid w:val="00AA6511"/>
    <w:rsid w:val="00AC2E82"/>
    <w:rsid w:val="00AC528F"/>
    <w:rsid w:val="00B010B8"/>
    <w:rsid w:val="00B65D59"/>
    <w:rsid w:val="00B710DE"/>
    <w:rsid w:val="00B722DA"/>
    <w:rsid w:val="00B7287D"/>
    <w:rsid w:val="00B976DF"/>
    <w:rsid w:val="00BA69D4"/>
    <w:rsid w:val="00BD4196"/>
    <w:rsid w:val="00BD470D"/>
    <w:rsid w:val="00BE3D69"/>
    <w:rsid w:val="00BE45FD"/>
    <w:rsid w:val="00C25D0F"/>
    <w:rsid w:val="00C336AA"/>
    <w:rsid w:val="00C44E31"/>
    <w:rsid w:val="00C70035"/>
    <w:rsid w:val="00C76927"/>
    <w:rsid w:val="00CB03D5"/>
    <w:rsid w:val="00CB6FFE"/>
    <w:rsid w:val="00CD48AA"/>
    <w:rsid w:val="00D0532F"/>
    <w:rsid w:val="00D230D8"/>
    <w:rsid w:val="00D91BE4"/>
    <w:rsid w:val="00DB70E1"/>
    <w:rsid w:val="00DE2A31"/>
    <w:rsid w:val="00E20415"/>
    <w:rsid w:val="00E24217"/>
    <w:rsid w:val="00E26B9A"/>
    <w:rsid w:val="00E33F86"/>
    <w:rsid w:val="00E409CC"/>
    <w:rsid w:val="00E776A8"/>
    <w:rsid w:val="00E9478D"/>
    <w:rsid w:val="00EA6B6B"/>
    <w:rsid w:val="00EC657F"/>
    <w:rsid w:val="00ED593C"/>
    <w:rsid w:val="00EE1A53"/>
    <w:rsid w:val="00EE22D6"/>
    <w:rsid w:val="00F00C89"/>
    <w:rsid w:val="00F26C92"/>
    <w:rsid w:val="00F34406"/>
    <w:rsid w:val="00F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027AD9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eaudrault@dhsoha.state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lorence.pourtal-stevens@chw.coos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baker@co.jefferson.or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PAYNE Janis</cp:lastModifiedBy>
  <cp:revision>27</cp:revision>
  <dcterms:created xsi:type="dcterms:W3CDTF">2018-12-17T22:23:00Z</dcterms:created>
  <dcterms:modified xsi:type="dcterms:W3CDTF">2018-12-24T23:05:00Z</dcterms:modified>
</cp:coreProperties>
</file>