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90EE" w14:textId="6F818356" w:rsidR="00110600" w:rsidRDefault="002C02D1">
      <w:r>
        <w:t>LPHA Flexibility Survey</w:t>
      </w:r>
    </w:p>
    <w:p w14:paraId="56986F94" w14:textId="4E0D48AC" w:rsidR="002C02D1" w:rsidRDefault="002C02D1">
      <w:r>
        <w:t>Winter/Spring 2023</w:t>
      </w:r>
    </w:p>
    <w:p w14:paraId="6EA9BD75" w14:textId="00D61C95" w:rsidR="002C02D1" w:rsidRDefault="002C02D1"/>
    <w:tbl>
      <w:tblPr>
        <w:tblStyle w:val="TableGrid"/>
        <w:tblW w:w="0" w:type="auto"/>
        <w:tblLook w:val="04A0" w:firstRow="1" w:lastRow="0" w:firstColumn="1" w:lastColumn="0" w:noHBand="0" w:noVBand="1"/>
      </w:tblPr>
      <w:tblGrid>
        <w:gridCol w:w="4796"/>
        <w:gridCol w:w="9509"/>
      </w:tblGrid>
      <w:tr w:rsidR="00616A4B" w:rsidRPr="002C02D1" w14:paraId="3488621A" w14:textId="77777777" w:rsidTr="00616A4B">
        <w:trPr>
          <w:tblHeader/>
        </w:trPr>
        <w:tc>
          <w:tcPr>
            <w:tcW w:w="4796" w:type="dxa"/>
          </w:tcPr>
          <w:p w14:paraId="427BAEA2" w14:textId="71F6AEB1" w:rsidR="00616A4B" w:rsidRPr="002C02D1" w:rsidRDefault="00616A4B">
            <w:pPr>
              <w:rPr>
                <w:b/>
                <w:bCs/>
              </w:rPr>
            </w:pPr>
            <w:r>
              <w:rPr>
                <w:b/>
                <w:bCs/>
              </w:rPr>
              <w:t>Area</w:t>
            </w:r>
          </w:p>
        </w:tc>
        <w:tc>
          <w:tcPr>
            <w:tcW w:w="9509" w:type="dxa"/>
          </w:tcPr>
          <w:p w14:paraId="1DE75CB0" w14:textId="6A370970" w:rsidR="00616A4B" w:rsidRPr="002C02D1" w:rsidRDefault="00616A4B">
            <w:pPr>
              <w:rPr>
                <w:b/>
                <w:bCs/>
              </w:rPr>
            </w:pPr>
            <w:r>
              <w:rPr>
                <w:b/>
                <w:bCs/>
              </w:rPr>
              <w:t>Recommendation</w:t>
            </w:r>
          </w:p>
        </w:tc>
      </w:tr>
      <w:tr w:rsidR="00616A4B" w14:paraId="1A4E3BD6" w14:textId="77777777" w:rsidTr="00616A4B">
        <w:tc>
          <w:tcPr>
            <w:tcW w:w="4796" w:type="dxa"/>
            <w:vMerge w:val="restart"/>
          </w:tcPr>
          <w:p w14:paraId="6F284547" w14:textId="58D016EE" w:rsidR="00616A4B" w:rsidRPr="00F21C4B" w:rsidRDefault="00616A4B" w:rsidP="002C02D1">
            <w:pPr>
              <w:jc w:val="left"/>
              <w:rPr>
                <w:b/>
                <w:bCs/>
              </w:rPr>
            </w:pPr>
            <w:r w:rsidRPr="00F21C4B">
              <w:rPr>
                <w:b/>
                <w:bCs/>
              </w:rPr>
              <w:t>Contracting</w:t>
            </w:r>
          </w:p>
        </w:tc>
        <w:tc>
          <w:tcPr>
            <w:tcW w:w="9509" w:type="dxa"/>
            <w:shd w:val="clear" w:color="auto" w:fill="FFFF00"/>
          </w:tcPr>
          <w:p w14:paraId="76F699B8" w14:textId="1F081AE9" w:rsidR="00616A4B" w:rsidRDefault="00616A4B" w:rsidP="002C02D1">
            <w:pPr>
              <w:jc w:val="left"/>
            </w:pPr>
            <w:r>
              <w:t>Timely processing and execution of agreements and amendments</w:t>
            </w:r>
          </w:p>
        </w:tc>
      </w:tr>
      <w:tr w:rsidR="00616A4B" w14:paraId="79009AFA" w14:textId="77777777" w:rsidTr="00616A4B">
        <w:tc>
          <w:tcPr>
            <w:tcW w:w="4796" w:type="dxa"/>
            <w:vMerge/>
          </w:tcPr>
          <w:p w14:paraId="60F16500" w14:textId="77777777" w:rsidR="00616A4B" w:rsidRDefault="00616A4B" w:rsidP="002C02D1">
            <w:pPr>
              <w:jc w:val="left"/>
            </w:pPr>
          </w:p>
        </w:tc>
        <w:tc>
          <w:tcPr>
            <w:tcW w:w="9509" w:type="dxa"/>
          </w:tcPr>
          <w:p w14:paraId="27BC8944" w14:textId="60C4FFFF" w:rsidR="00616A4B" w:rsidRDefault="00616A4B" w:rsidP="002C02D1">
            <w:pPr>
              <w:jc w:val="left"/>
            </w:pPr>
            <w:r>
              <w:t>Include report due dates in the IGA</w:t>
            </w:r>
          </w:p>
        </w:tc>
      </w:tr>
      <w:tr w:rsidR="00616A4B" w14:paraId="3BBAAFB2" w14:textId="77777777" w:rsidTr="00616A4B">
        <w:tc>
          <w:tcPr>
            <w:tcW w:w="4796" w:type="dxa"/>
            <w:vMerge/>
          </w:tcPr>
          <w:p w14:paraId="3DD1C6B9" w14:textId="77777777" w:rsidR="00616A4B" w:rsidRDefault="00616A4B" w:rsidP="002C02D1">
            <w:pPr>
              <w:jc w:val="left"/>
            </w:pPr>
          </w:p>
        </w:tc>
        <w:tc>
          <w:tcPr>
            <w:tcW w:w="9509" w:type="dxa"/>
          </w:tcPr>
          <w:p w14:paraId="33C175CF" w14:textId="00614969" w:rsidR="00616A4B" w:rsidRDefault="00616A4B" w:rsidP="002C02D1">
            <w:pPr>
              <w:jc w:val="left"/>
            </w:pPr>
            <w:r>
              <w:t>Timely completion of year end reconciliation.  Some reconciliation was still occurring in March 2023.</w:t>
            </w:r>
          </w:p>
        </w:tc>
      </w:tr>
      <w:tr w:rsidR="00616A4B" w14:paraId="500FC421" w14:textId="77777777" w:rsidTr="00616A4B">
        <w:tc>
          <w:tcPr>
            <w:tcW w:w="4796" w:type="dxa"/>
            <w:vMerge/>
          </w:tcPr>
          <w:p w14:paraId="121FDE6D" w14:textId="77777777" w:rsidR="00616A4B" w:rsidRDefault="00616A4B" w:rsidP="002C02D1">
            <w:pPr>
              <w:jc w:val="left"/>
            </w:pPr>
          </w:p>
        </w:tc>
        <w:tc>
          <w:tcPr>
            <w:tcW w:w="9509" w:type="dxa"/>
          </w:tcPr>
          <w:p w14:paraId="6BA4AD93" w14:textId="7EE5FA3C" w:rsidR="00616A4B" w:rsidRDefault="00616A4B" w:rsidP="002C02D1">
            <w:pPr>
              <w:jc w:val="left"/>
            </w:pPr>
            <w:r>
              <w:t>Timely response to inquiries about amendment and reconciliation questions</w:t>
            </w:r>
          </w:p>
        </w:tc>
      </w:tr>
      <w:tr w:rsidR="00616A4B" w14:paraId="12FE3A54" w14:textId="77777777" w:rsidTr="00616A4B">
        <w:tc>
          <w:tcPr>
            <w:tcW w:w="4796" w:type="dxa"/>
            <w:vMerge/>
          </w:tcPr>
          <w:p w14:paraId="7F7C747C" w14:textId="77777777" w:rsidR="00616A4B" w:rsidRDefault="00616A4B" w:rsidP="002C02D1">
            <w:pPr>
              <w:jc w:val="left"/>
            </w:pPr>
          </w:p>
        </w:tc>
        <w:tc>
          <w:tcPr>
            <w:tcW w:w="9509" w:type="dxa"/>
          </w:tcPr>
          <w:p w14:paraId="648DB3A1" w14:textId="6577B907" w:rsidR="00616A4B" w:rsidRDefault="00616A4B" w:rsidP="002C02D1">
            <w:pPr>
              <w:jc w:val="left"/>
            </w:pPr>
            <w:r>
              <w:t>Standardize contract sharing email list.  LPHA has a standard email for all contracts, but requests are getting sent to individuals instead</w:t>
            </w:r>
          </w:p>
        </w:tc>
      </w:tr>
      <w:tr w:rsidR="00616A4B" w14:paraId="1E07F1A8" w14:textId="77777777" w:rsidTr="00616A4B">
        <w:tc>
          <w:tcPr>
            <w:tcW w:w="4796" w:type="dxa"/>
            <w:vMerge/>
          </w:tcPr>
          <w:p w14:paraId="00C5BA75" w14:textId="77777777" w:rsidR="00616A4B" w:rsidRDefault="00616A4B" w:rsidP="002C02D1">
            <w:pPr>
              <w:jc w:val="left"/>
            </w:pPr>
          </w:p>
        </w:tc>
        <w:tc>
          <w:tcPr>
            <w:tcW w:w="9509" w:type="dxa"/>
          </w:tcPr>
          <w:p w14:paraId="3C8EDCE4" w14:textId="315DA801" w:rsidR="00616A4B" w:rsidRDefault="00616A4B" w:rsidP="002C02D1">
            <w:pPr>
              <w:jc w:val="left"/>
            </w:pPr>
            <w:r>
              <w:t>Lack of coordination between OSPHD, PHD Sections and OFS.  OSPHD does amendments/contracts, Programs handle budgets, and OFS does the fiscal payments.  Can this be dismantled?</w:t>
            </w:r>
          </w:p>
        </w:tc>
      </w:tr>
      <w:tr w:rsidR="00616A4B" w14:paraId="1B8C8ADE" w14:textId="77777777" w:rsidTr="00616A4B">
        <w:tc>
          <w:tcPr>
            <w:tcW w:w="4796" w:type="dxa"/>
            <w:vMerge/>
          </w:tcPr>
          <w:p w14:paraId="783C7241" w14:textId="4ACC055E" w:rsidR="00616A4B" w:rsidRDefault="00616A4B" w:rsidP="002C02D1">
            <w:pPr>
              <w:jc w:val="left"/>
            </w:pPr>
          </w:p>
        </w:tc>
        <w:tc>
          <w:tcPr>
            <w:tcW w:w="9509" w:type="dxa"/>
          </w:tcPr>
          <w:p w14:paraId="41F815FC" w14:textId="5C781E4A" w:rsidR="00616A4B" w:rsidRDefault="00616A4B" w:rsidP="002C02D1">
            <w:pPr>
              <w:jc w:val="left"/>
            </w:pPr>
            <w:r>
              <w:t>When amendments are emailed, it’s difficult to find what the amendment is referring to.  We recommend adding a subject line or description (</w:t>
            </w:r>
            <w:proofErr w:type="gramStart"/>
            <w:r>
              <w:t>e.g.</w:t>
            </w:r>
            <w:proofErr w:type="gramEnd"/>
            <w:r>
              <w:t xml:space="preserve"> subject line:  amendment #13 re: WIC</w:t>
            </w:r>
          </w:p>
        </w:tc>
      </w:tr>
      <w:tr w:rsidR="00616A4B" w14:paraId="60153D05" w14:textId="77777777" w:rsidTr="00616A4B">
        <w:tc>
          <w:tcPr>
            <w:tcW w:w="4796" w:type="dxa"/>
            <w:vMerge/>
          </w:tcPr>
          <w:p w14:paraId="225F9A7D" w14:textId="77777777" w:rsidR="00616A4B" w:rsidRDefault="00616A4B" w:rsidP="002C02D1">
            <w:pPr>
              <w:jc w:val="left"/>
            </w:pPr>
          </w:p>
        </w:tc>
        <w:tc>
          <w:tcPr>
            <w:tcW w:w="9509" w:type="dxa"/>
          </w:tcPr>
          <w:p w14:paraId="48B674D1" w14:textId="29D2CDF9" w:rsidR="00616A4B" w:rsidRDefault="00616A4B" w:rsidP="002C02D1">
            <w:pPr>
              <w:jc w:val="left"/>
            </w:pPr>
            <w:r>
              <w:t>Use same format for PH and BH for the IGA.  Put assistance listing in same place, use same format for FAA (PH is preferred), have both on same timeframe (July to June).</w:t>
            </w:r>
          </w:p>
        </w:tc>
      </w:tr>
      <w:tr w:rsidR="00616A4B" w14:paraId="1AB99227" w14:textId="77777777" w:rsidTr="00616A4B">
        <w:tc>
          <w:tcPr>
            <w:tcW w:w="4796" w:type="dxa"/>
            <w:vMerge/>
          </w:tcPr>
          <w:p w14:paraId="68679E17" w14:textId="77777777" w:rsidR="00616A4B" w:rsidRDefault="00616A4B" w:rsidP="002C02D1">
            <w:pPr>
              <w:jc w:val="left"/>
            </w:pPr>
          </w:p>
        </w:tc>
        <w:tc>
          <w:tcPr>
            <w:tcW w:w="9509" w:type="dxa"/>
          </w:tcPr>
          <w:p w14:paraId="6A28B7A9" w14:textId="5C28A561" w:rsidR="00616A4B" w:rsidRDefault="00616A4B" w:rsidP="002C02D1">
            <w:pPr>
              <w:jc w:val="left"/>
            </w:pPr>
            <w:r>
              <w:t>Send agreements to LPHAs with OHA signature already completed to expedite the process</w:t>
            </w:r>
          </w:p>
        </w:tc>
      </w:tr>
      <w:tr w:rsidR="00616A4B" w14:paraId="2507EB3D" w14:textId="77777777" w:rsidTr="00616A4B">
        <w:tc>
          <w:tcPr>
            <w:tcW w:w="4796" w:type="dxa"/>
            <w:vMerge/>
          </w:tcPr>
          <w:p w14:paraId="129CA3D4" w14:textId="77777777" w:rsidR="00616A4B" w:rsidRDefault="00616A4B" w:rsidP="002C02D1">
            <w:pPr>
              <w:jc w:val="left"/>
            </w:pPr>
          </w:p>
        </w:tc>
        <w:tc>
          <w:tcPr>
            <w:tcW w:w="9509" w:type="dxa"/>
          </w:tcPr>
          <w:p w14:paraId="1E45A72E" w14:textId="3BD84F10" w:rsidR="00616A4B" w:rsidRDefault="00616A4B" w:rsidP="002C02D1">
            <w:pPr>
              <w:jc w:val="left"/>
            </w:pPr>
            <w:r>
              <w:t>List amount of federal funds in each award to each LPHA</w:t>
            </w:r>
          </w:p>
        </w:tc>
      </w:tr>
      <w:tr w:rsidR="00616A4B" w14:paraId="543560A3" w14:textId="77777777" w:rsidTr="00616A4B">
        <w:tc>
          <w:tcPr>
            <w:tcW w:w="4796" w:type="dxa"/>
            <w:vMerge/>
            <w:tcBorders>
              <w:bottom w:val="single" w:sz="4" w:space="0" w:color="auto"/>
            </w:tcBorders>
          </w:tcPr>
          <w:p w14:paraId="01DF219B" w14:textId="77777777" w:rsidR="00616A4B" w:rsidRDefault="00616A4B" w:rsidP="002C02D1">
            <w:pPr>
              <w:jc w:val="left"/>
            </w:pPr>
          </w:p>
        </w:tc>
        <w:tc>
          <w:tcPr>
            <w:tcW w:w="9509" w:type="dxa"/>
            <w:tcBorders>
              <w:bottom w:val="single" w:sz="4" w:space="0" w:color="auto"/>
            </w:tcBorders>
          </w:tcPr>
          <w:p w14:paraId="6818FB44" w14:textId="1EC93E6F" w:rsidR="00616A4B" w:rsidRDefault="00616A4B" w:rsidP="002C02D1">
            <w:pPr>
              <w:jc w:val="left"/>
            </w:pPr>
            <w:r>
              <w:t>Standardize if budget templates are included in PE or not.</w:t>
            </w:r>
          </w:p>
        </w:tc>
      </w:tr>
      <w:tr w:rsidR="00616A4B" w14:paraId="2DEC34FF" w14:textId="77777777" w:rsidTr="00616A4B">
        <w:tc>
          <w:tcPr>
            <w:tcW w:w="4796" w:type="dxa"/>
            <w:vMerge w:val="restart"/>
          </w:tcPr>
          <w:p w14:paraId="4F00A9B7" w14:textId="2B5430D5" w:rsidR="00616A4B" w:rsidRPr="00D9446D" w:rsidRDefault="00616A4B" w:rsidP="002C02D1">
            <w:pPr>
              <w:jc w:val="left"/>
              <w:rPr>
                <w:b/>
                <w:bCs/>
              </w:rPr>
            </w:pPr>
            <w:r w:rsidRPr="00D9446D">
              <w:rPr>
                <w:b/>
                <w:bCs/>
              </w:rPr>
              <w:t>Program workplans, budgets and reporting</w:t>
            </w:r>
          </w:p>
        </w:tc>
        <w:tc>
          <w:tcPr>
            <w:tcW w:w="9509" w:type="dxa"/>
            <w:shd w:val="clear" w:color="auto" w:fill="FFFF00"/>
          </w:tcPr>
          <w:p w14:paraId="677BB309" w14:textId="2D880AAD" w:rsidR="00616A4B" w:rsidRDefault="00616A4B" w:rsidP="002C02D1">
            <w:pPr>
              <w:jc w:val="left"/>
            </w:pPr>
            <w:r>
              <w:t xml:space="preserve">Consistent workplan templates across PEs.  </w:t>
            </w:r>
          </w:p>
        </w:tc>
      </w:tr>
      <w:tr w:rsidR="00616A4B" w14:paraId="4AA86F84" w14:textId="77777777" w:rsidTr="00616A4B">
        <w:tc>
          <w:tcPr>
            <w:tcW w:w="4796" w:type="dxa"/>
            <w:vMerge/>
          </w:tcPr>
          <w:p w14:paraId="3A93EECC" w14:textId="77777777" w:rsidR="00616A4B" w:rsidRDefault="00616A4B" w:rsidP="002C02D1">
            <w:pPr>
              <w:jc w:val="left"/>
            </w:pPr>
          </w:p>
        </w:tc>
        <w:tc>
          <w:tcPr>
            <w:tcW w:w="9509" w:type="dxa"/>
            <w:shd w:val="clear" w:color="auto" w:fill="FFFF00"/>
          </w:tcPr>
          <w:p w14:paraId="583CCD7E" w14:textId="2CB6EB24" w:rsidR="00616A4B" w:rsidRDefault="00616A4B" w:rsidP="002C02D1">
            <w:pPr>
              <w:jc w:val="left"/>
            </w:pPr>
            <w:r>
              <w:t xml:space="preserve">Consistent budget template across PEs.  </w:t>
            </w:r>
          </w:p>
        </w:tc>
      </w:tr>
      <w:tr w:rsidR="00616A4B" w14:paraId="2AADEC6B" w14:textId="77777777" w:rsidTr="00616A4B">
        <w:tc>
          <w:tcPr>
            <w:tcW w:w="4796" w:type="dxa"/>
            <w:vMerge/>
          </w:tcPr>
          <w:p w14:paraId="44B5A6A0" w14:textId="77777777" w:rsidR="00616A4B" w:rsidRDefault="00616A4B" w:rsidP="002C02D1">
            <w:pPr>
              <w:jc w:val="left"/>
            </w:pPr>
          </w:p>
        </w:tc>
        <w:tc>
          <w:tcPr>
            <w:tcW w:w="9509" w:type="dxa"/>
            <w:shd w:val="clear" w:color="auto" w:fill="FFFF00"/>
          </w:tcPr>
          <w:p w14:paraId="07C61F7F" w14:textId="28496849" w:rsidR="00616A4B" w:rsidRDefault="00616A4B" w:rsidP="002C02D1">
            <w:pPr>
              <w:jc w:val="left"/>
            </w:pPr>
            <w:r>
              <w:t xml:space="preserve">Consistent reporting requirements across PEs. More uniform reporting so that related or overlapping work could be aligned more easily.  Some planning templates are almost completely pre-scripted with drop down </w:t>
            </w:r>
            <w:r>
              <w:lastRenderedPageBreak/>
              <w:t>choices, others are mostly narrative and subjective.  Some ask for very detailed logic models, others just for a few sentences.  Lots of variation between programs.</w:t>
            </w:r>
          </w:p>
        </w:tc>
      </w:tr>
      <w:tr w:rsidR="00616A4B" w14:paraId="260800A2" w14:textId="77777777" w:rsidTr="00616A4B">
        <w:tc>
          <w:tcPr>
            <w:tcW w:w="4796" w:type="dxa"/>
            <w:vMerge/>
          </w:tcPr>
          <w:p w14:paraId="1D756DD5" w14:textId="77777777" w:rsidR="00616A4B" w:rsidRDefault="00616A4B" w:rsidP="002C02D1">
            <w:pPr>
              <w:jc w:val="left"/>
            </w:pPr>
          </w:p>
        </w:tc>
        <w:tc>
          <w:tcPr>
            <w:tcW w:w="9509" w:type="dxa"/>
            <w:shd w:val="clear" w:color="auto" w:fill="auto"/>
          </w:tcPr>
          <w:p w14:paraId="3D0350A8" w14:textId="6734ECEA" w:rsidR="00616A4B" w:rsidRDefault="00616A4B" w:rsidP="002C02D1">
            <w:pPr>
              <w:jc w:val="left"/>
            </w:pPr>
            <w:r>
              <w:t>Want flexibility to choose template for work plans – more than one to choose from or flexibility to design our own.</w:t>
            </w:r>
          </w:p>
        </w:tc>
      </w:tr>
      <w:tr w:rsidR="00616A4B" w14:paraId="5E3D9F3E" w14:textId="77777777" w:rsidTr="00616A4B">
        <w:tc>
          <w:tcPr>
            <w:tcW w:w="4796" w:type="dxa"/>
            <w:vMerge/>
          </w:tcPr>
          <w:p w14:paraId="358B7CCD" w14:textId="77777777" w:rsidR="00616A4B" w:rsidRDefault="00616A4B" w:rsidP="002C02D1">
            <w:pPr>
              <w:jc w:val="left"/>
            </w:pPr>
          </w:p>
        </w:tc>
        <w:tc>
          <w:tcPr>
            <w:tcW w:w="9509" w:type="dxa"/>
          </w:tcPr>
          <w:p w14:paraId="433F9505" w14:textId="37A0F88D" w:rsidR="00616A4B" w:rsidRDefault="00616A4B" w:rsidP="002C02D1">
            <w:pPr>
              <w:jc w:val="left"/>
            </w:pPr>
            <w:r>
              <w:t>Provide more than two weeks to submit workplan and/or budget.  Some timeframes are barely feasible.</w:t>
            </w:r>
          </w:p>
        </w:tc>
      </w:tr>
      <w:tr w:rsidR="00616A4B" w14:paraId="2DCD222F" w14:textId="77777777" w:rsidTr="00616A4B">
        <w:tc>
          <w:tcPr>
            <w:tcW w:w="4796" w:type="dxa"/>
            <w:vMerge/>
          </w:tcPr>
          <w:p w14:paraId="0E4CC778" w14:textId="77777777" w:rsidR="00616A4B" w:rsidRDefault="00616A4B" w:rsidP="002C02D1">
            <w:pPr>
              <w:jc w:val="left"/>
            </w:pPr>
          </w:p>
        </w:tc>
        <w:tc>
          <w:tcPr>
            <w:tcW w:w="9509" w:type="dxa"/>
          </w:tcPr>
          <w:p w14:paraId="328D017D" w14:textId="6AC7A5CF" w:rsidR="00616A4B" w:rsidRDefault="00616A4B" w:rsidP="002C02D1">
            <w:pPr>
              <w:jc w:val="left"/>
            </w:pPr>
            <w:r>
              <w:t xml:space="preserve">Limit the number of times budgets must be revised and resubmitted.  Some budgets must be resubmitted 3-4 times a year.  </w:t>
            </w:r>
          </w:p>
        </w:tc>
      </w:tr>
      <w:tr w:rsidR="00616A4B" w14:paraId="22A320D4" w14:textId="77777777" w:rsidTr="00616A4B">
        <w:tc>
          <w:tcPr>
            <w:tcW w:w="4796" w:type="dxa"/>
            <w:vMerge/>
          </w:tcPr>
          <w:p w14:paraId="7C7BE257" w14:textId="77777777" w:rsidR="00616A4B" w:rsidRDefault="00616A4B" w:rsidP="002C02D1">
            <w:pPr>
              <w:jc w:val="left"/>
            </w:pPr>
          </w:p>
        </w:tc>
        <w:tc>
          <w:tcPr>
            <w:tcW w:w="9509" w:type="dxa"/>
          </w:tcPr>
          <w:p w14:paraId="37A710ED" w14:textId="1A7BB8DC" w:rsidR="00616A4B" w:rsidRDefault="00616A4B" w:rsidP="002C02D1">
            <w:pPr>
              <w:jc w:val="left"/>
            </w:pPr>
            <w:r>
              <w:t xml:space="preserve">Align timelines for planning, </w:t>
            </w:r>
            <w:proofErr w:type="gramStart"/>
            <w:r>
              <w:t>budgeting</w:t>
            </w:r>
            <w:proofErr w:type="gramEnd"/>
            <w:r>
              <w:t xml:space="preserve"> and reporting across programs.  Some are one calendar year, others on fiscal year.  Some reporting is quarterly, every six months, or annually.  Planning processes can be a year or two.  Standardizing would be helpful</w:t>
            </w:r>
          </w:p>
        </w:tc>
      </w:tr>
      <w:tr w:rsidR="00616A4B" w14:paraId="53E97AA9" w14:textId="77777777" w:rsidTr="00616A4B">
        <w:tc>
          <w:tcPr>
            <w:tcW w:w="4796" w:type="dxa"/>
            <w:vMerge/>
          </w:tcPr>
          <w:p w14:paraId="7EC3D1E3" w14:textId="77777777" w:rsidR="00616A4B" w:rsidRDefault="00616A4B" w:rsidP="002C02D1">
            <w:pPr>
              <w:jc w:val="left"/>
            </w:pPr>
          </w:p>
        </w:tc>
        <w:tc>
          <w:tcPr>
            <w:tcW w:w="9509" w:type="dxa"/>
          </w:tcPr>
          <w:p w14:paraId="3957DA84" w14:textId="1EE083B6" w:rsidR="00616A4B" w:rsidRDefault="00616A4B" w:rsidP="002C02D1">
            <w:pPr>
              <w:jc w:val="left"/>
            </w:pPr>
            <w:r>
              <w:t xml:space="preserve">Provide year end report on how funds were used instead of having to update budgets to project how we hope to spend out funds.  </w:t>
            </w:r>
          </w:p>
        </w:tc>
      </w:tr>
      <w:tr w:rsidR="00616A4B" w14:paraId="4357FEEA" w14:textId="77777777" w:rsidTr="00616A4B">
        <w:tc>
          <w:tcPr>
            <w:tcW w:w="4796" w:type="dxa"/>
            <w:vMerge/>
          </w:tcPr>
          <w:p w14:paraId="5F135D50" w14:textId="77777777" w:rsidR="00616A4B" w:rsidRDefault="00616A4B" w:rsidP="002C02D1">
            <w:pPr>
              <w:jc w:val="left"/>
            </w:pPr>
          </w:p>
        </w:tc>
        <w:tc>
          <w:tcPr>
            <w:tcW w:w="9509" w:type="dxa"/>
          </w:tcPr>
          <w:p w14:paraId="04EFBC3A" w14:textId="61824DA3" w:rsidR="00616A4B" w:rsidRDefault="00616A4B" w:rsidP="002C02D1">
            <w:pPr>
              <w:jc w:val="left"/>
            </w:pPr>
            <w:r>
              <w:t>Provide portal to complete budgets and workplans that can be viewed by program leadership and staff.  Realtime submissions and feedback.</w:t>
            </w:r>
          </w:p>
        </w:tc>
      </w:tr>
      <w:tr w:rsidR="00616A4B" w14:paraId="361F29C8" w14:textId="77777777" w:rsidTr="00616A4B">
        <w:tc>
          <w:tcPr>
            <w:tcW w:w="4796" w:type="dxa"/>
            <w:vMerge/>
          </w:tcPr>
          <w:p w14:paraId="116D052D" w14:textId="77777777" w:rsidR="00616A4B" w:rsidRDefault="00616A4B" w:rsidP="002C02D1">
            <w:pPr>
              <w:jc w:val="left"/>
            </w:pPr>
          </w:p>
        </w:tc>
        <w:tc>
          <w:tcPr>
            <w:tcW w:w="9509" w:type="dxa"/>
          </w:tcPr>
          <w:p w14:paraId="1E6C4825" w14:textId="7E146A85" w:rsidR="00616A4B" w:rsidRDefault="00616A4B" w:rsidP="002C02D1">
            <w:pPr>
              <w:jc w:val="left"/>
            </w:pPr>
            <w:r>
              <w:t>Eliminate reporting duplication (ex:  PHM and PHEP)</w:t>
            </w:r>
          </w:p>
        </w:tc>
      </w:tr>
      <w:tr w:rsidR="00616A4B" w14:paraId="4DD8F8AA" w14:textId="77777777" w:rsidTr="00616A4B">
        <w:tc>
          <w:tcPr>
            <w:tcW w:w="4796" w:type="dxa"/>
            <w:vMerge/>
          </w:tcPr>
          <w:p w14:paraId="57662311" w14:textId="77777777" w:rsidR="00616A4B" w:rsidRDefault="00616A4B" w:rsidP="002C02D1">
            <w:pPr>
              <w:jc w:val="left"/>
            </w:pPr>
          </w:p>
        </w:tc>
        <w:tc>
          <w:tcPr>
            <w:tcW w:w="9509" w:type="dxa"/>
          </w:tcPr>
          <w:p w14:paraId="045C2F14" w14:textId="26A67B67" w:rsidR="00616A4B" w:rsidRDefault="00616A4B" w:rsidP="002C02D1">
            <w:pPr>
              <w:jc w:val="left"/>
            </w:pPr>
            <w:r>
              <w:t>Standardize program reporting requirements to 2x/year or annually.</w:t>
            </w:r>
          </w:p>
        </w:tc>
      </w:tr>
      <w:tr w:rsidR="00616A4B" w14:paraId="6A9977CD" w14:textId="77777777" w:rsidTr="00616A4B">
        <w:tc>
          <w:tcPr>
            <w:tcW w:w="4796" w:type="dxa"/>
            <w:vMerge/>
            <w:tcBorders>
              <w:bottom w:val="single" w:sz="4" w:space="0" w:color="auto"/>
            </w:tcBorders>
          </w:tcPr>
          <w:p w14:paraId="7B17790E" w14:textId="77777777" w:rsidR="00616A4B" w:rsidRDefault="00616A4B" w:rsidP="002C02D1">
            <w:pPr>
              <w:jc w:val="left"/>
            </w:pPr>
          </w:p>
        </w:tc>
        <w:tc>
          <w:tcPr>
            <w:tcW w:w="9509" w:type="dxa"/>
            <w:tcBorders>
              <w:bottom w:val="single" w:sz="4" w:space="0" w:color="auto"/>
            </w:tcBorders>
          </w:tcPr>
          <w:p w14:paraId="4E8BF4F6" w14:textId="1C95D867" w:rsidR="00616A4B" w:rsidRDefault="00616A4B" w:rsidP="002C02D1">
            <w:pPr>
              <w:jc w:val="left"/>
            </w:pPr>
            <w:r>
              <w:t>More flexibility in how funds can be used.  For example, we are unable to simply allocate full FTE to PEs and must rely on monthly time studies which is labor intensive.</w:t>
            </w:r>
          </w:p>
        </w:tc>
      </w:tr>
      <w:tr w:rsidR="00616A4B" w14:paraId="697F637F" w14:textId="77777777" w:rsidTr="00616A4B">
        <w:tc>
          <w:tcPr>
            <w:tcW w:w="4796" w:type="dxa"/>
            <w:vMerge w:val="restart"/>
          </w:tcPr>
          <w:p w14:paraId="16169E39" w14:textId="3CC412F3" w:rsidR="00616A4B" w:rsidRDefault="00616A4B" w:rsidP="00EA61A8">
            <w:pPr>
              <w:jc w:val="left"/>
            </w:pPr>
            <w:r>
              <w:t>Triennial review</w:t>
            </w:r>
          </w:p>
        </w:tc>
        <w:tc>
          <w:tcPr>
            <w:tcW w:w="9509" w:type="dxa"/>
          </w:tcPr>
          <w:p w14:paraId="1BC0C861" w14:textId="77777777" w:rsidR="00616A4B" w:rsidRDefault="00616A4B" w:rsidP="00EA61A8">
            <w:pPr>
              <w:jc w:val="left"/>
            </w:pPr>
            <w:r>
              <w:t xml:space="preserve">Ensure what is being looked at is relevant to the work we do.  When TR metrics are considered for an update, include CLHO and subcommittee.  </w:t>
            </w:r>
          </w:p>
          <w:p w14:paraId="56951FA8" w14:textId="77777777" w:rsidR="00616A4B" w:rsidRDefault="00616A4B" w:rsidP="00EA61A8">
            <w:pPr>
              <w:jc w:val="left"/>
            </w:pPr>
          </w:p>
          <w:p w14:paraId="7CC0B471" w14:textId="31EC61EC" w:rsidR="00616A4B" w:rsidRDefault="00616A4B" w:rsidP="00EA61A8">
            <w:pPr>
              <w:jc w:val="left"/>
            </w:pPr>
            <w:r>
              <w:t>Have overall process to review TR measures for relevancy and replicability.  Is the measure still meaningful to PH broadly? Is there a regular timeline for overall review of TR measures to ensure they are updated as needed.</w:t>
            </w:r>
          </w:p>
        </w:tc>
      </w:tr>
      <w:tr w:rsidR="00616A4B" w14:paraId="56032EA5" w14:textId="77777777" w:rsidTr="00616A4B">
        <w:tc>
          <w:tcPr>
            <w:tcW w:w="4796" w:type="dxa"/>
            <w:vMerge/>
          </w:tcPr>
          <w:p w14:paraId="55F8AABE" w14:textId="77777777" w:rsidR="00616A4B" w:rsidRDefault="00616A4B" w:rsidP="00EA61A8">
            <w:pPr>
              <w:jc w:val="left"/>
            </w:pPr>
          </w:p>
        </w:tc>
        <w:tc>
          <w:tcPr>
            <w:tcW w:w="9509" w:type="dxa"/>
          </w:tcPr>
          <w:p w14:paraId="3FBB1ADB" w14:textId="266ABE5E" w:rsidR="00616A4B" w:rsidRDefault="00616A4B" w:rsidP="00EA61A8">
            <w:pPr>
              <w:jc w:val="left"/>
            </w:pPr>
            <w:r>
              <w:t>Provide final report within six months of the review</w:t>
            </w:r>
          </w:p>
        </w:tc>
      </w:tr>
      <w:tr w:rsidR="00616A4B" w14:paraId="69CA574F" w14:textId="77777777" w:rsidTr="00616A4B">
        <w:tc>
          <w:tcPr>
            <w:tcW w:w="4796" w:type="dxa"/>
            <w:vMerge/>
          </w:tcPr>
          <w:p w14:paraId="147E38D3" w14:textId="77777777" w:rsidR="00616A4B" w:rsidRDefault="00616A4B" w:rsidP="00EA61A8">
            <w:pPr>
              <w:jc w:val="left"/>
            </w:pPr>
          </w:p>
        </w:tc>
        <w:tc>
          <w:tcPr>
            <w:tcW w:w="9509" w:type="dxa"/>
          </w:tcPr>
          <w:p w14:paraId="4956C062" w14:textId="6BCDCC11" w:rsidR="00616A4B" w:rsidRDefault="00616A4B" w:rsidP="00EA61A8">
            <w:pPr>
              <w:jc w:val="left"/>
            </w:pPr>
            <w:r>
              <w:t>Lessen TR workload.  Could TR be more limited for PHAB accredited LPHAs?</w:t>
            </w:r>
          </w:p>
        </w:tc>
      </w:tr>
      <w:tr w:rsidR="00616A4B" w14:paraId="3EF30CB3" w14:textId="77777777" w:rsidTr="00616A4B">
        <w:tc>
          <w:tcPr>
            <w:tcW w:w="4796" w:type="dxa"/>
            <w:vMerge/>
          </w:tcPr>
          <w:p w14:paraId="7EE055E6" w14:textId="77777777" w:rsidR="00616A4B" w:rsidRDefault="00616A4B" w:rsidP="00EA61A8">
            <w:pPr>
              <w:jc w:val="left"/>
            </w:pPr>
          </w:p>
        </w:tc>
        <w:tc>
          <w:tcPr>
            <w:tcW w:w="9509" w:type="dxa"/>
          </w:tcPr>
          <w:p w14:paraId="7F4C4F76" w14:textId="70B86C5A" w:rsidR="00616A4B" w:rsidRDefault="00616A4B" w:rsidP="00EA61A8">
            <w:pPr>
              <w:jc w:val="left"/>
            </w:pPr>
            <w:r>
              <w:t>Shorten turnaround time between site visit and completion of fiscal review.  Would allow us to focus on the questions and additional workload and put other things on pause.  The requests for further information span across months and require a quick turnaround.</w:t>
            </w:r>
          </w:p>
        </w:tc>
      </w:tr>
      <w:tr w:rsidR="00616A4B" w14:paraId="10E75C04" w14:textId="77777777" w:rsidTr="00616A4B">
        <w:tc>
          <w:tcPr>
            <w:tcW w:w="4796" w:type="dxa"/>
            <w:vMerge/>
          </w:tcPr>
          <w:p w14:paraId="0B9C0191" w14:textId="77777777" w:rsidR="00616A4B" w:rsidRDefault="00616A4B" w:rsidP="00EA61A8">
            <w:pPr>
              <w:jc w:val="left"/>
            </w:pPr>
          </w:p>
        </w:tc>
        <w:tc>
          <w:tcPr>
            <w:tcW w:w="9509" w:type="dxa"/>
          </w:tcPr>
          <w:p w14:paraId="7AF4BE8F" w14:textId="6CD7F00B" w:rsidR="00616A4B" w:rsidRDefault="00616A4B" w:rsidP="00EA61A8">
            <w:pPr>
              <w:jc w:val="left"/>
            </w:pPr>
            <w:r>
              <w:t>Long and drawn-out process with not all info requested up front.  Original meeting was 9/2022 with follow up documentation continually requested through 12/2022.  Many requests were for items that were missed in the initial review. Deadlines for submitting follow up documentation were too short (three days or less).  Feels like it goes on forever.</w:t>
            </w:r>
          </w:p>
        </w:tc>
      </w:tr>
      <w:tr w:rsidR="00616A4B" w14:paraId="0B756DEA" w14:textId="77777777" w:rsidTr="00616A4B">
        <w:tc>
          <w:tcPr>
            <w:tcW w:w="4796" w:type="dxa"/>
            <w:vMerge/>
          </w:tcPr>
          <w:p w14:paraId="2AF6A2AE" w14:textId="77777777" w:rsidR="00616A4B" w:rsidRDefault="00616A4B" w:rsidP="00EA61A8">
            <w:pPr>
              <w:jc w:val="left"/>
            </w:pPr>
          </w:p>
        </w:tc>
        <w:tc>
          <w:tcPr>
            <w:tcW w:w="9509" w:type="dxa"/>
          </w:tcPr>
          <w:p w14:paraId="52CBC939" w14:textId="5A7298F3" w:rsidR="00616A4B" w:rsidRDefault="00616A4B" w:rsidP="00EA61A8">
            <w:pPr>
              <w:jc w:val="left"/>
            </w:pPr>
            <w:r>
              <w:t>Ability to contribute revisions to TR tools</w:t>
            </w:r>
          </w:p>
        </w:tc>
      </w:tr>
      <w:tr w:rsidR="00616A4B" w14:paraId="68EFDA07" w14:textId="77777777" w:rsidTr="00616A4B">
        <w:tc>
          <w:tcPr>
            <w:tcW w:w="4796" w:type="dxa"/>
            <w:vMerge/>
          </w:tcPr>
          <w:p w14:paraId="470136F8" w14:textId="77777777" w:rsidR="00616A4B" w:rsidRDefault="00616A4B" w:rsidP="00EA61A8">
            <w:pPr>
              <w:jc w:val="left"/>
            </w:pPr>
          </w:p>
        </w:tc>
        <w:tc>
          <w:tcPr>
            <w:tcW w:w="9509" w:type="dxa"/>
          </w:tcPr>
          <w:p w14:paraId="14A6A921" w14:textId="75AE0015" w:rsidR="00616A4B" w:rsidRDefault="00616A4B" w:rsidP="00EA61A8">
            <w:pPr>
              <w:jc w:val="left"/>
            </w:pPr>
            <w:r>
              <w:t>Have a time to submit reports beforehand</w:t>
            </w:r>
          </w:p>
        </w:tc>
      </w:tr>
      <w:tr w:rsidR="00616A4B" w14:paraId="77D1D0DF" w14:textId="77777777" w:rsidTr="00616A4B">
        <w:tc>
          <w:tcPr>
            <w:tcW w:w="4796" w:type="dxa"/>
            <w:vMerge/>
          </w:tcPr>
          <w:p w14:paraId="7BFF6CE8" w14:textId="77777777" w:rsidR="00616A4B" w:rsidRDefault="00616A4B" w:rsidP="00EA61A8">
            <w:pPr>
              <w:jc w:val="left"/>
            </w:pPr>
          </w:p>
        </w:tc>
        <w:tc>
          <w:tcPr>
            <w:tcW w:w="9509" w:type="dxa"/>
          </w:tcPr>
          <w:p w14:paraId="1101E8A9" w14:textId="3F8801A2" w:rsidR="00616A4B" w:rsidRDefault="00616A4B" w:rsidP="00EA61A8">
            <w:pPr>
              <w:jc w:val="left"/>
            </w:pPr>
            <w:r>
              <w:t>Get required list of documents three months prior and ability to upload them for OHA review prior to the meeting.  A request for any additional materials prior to the in-person meeting.</w:t>
            </w:r>
          </w:p>
        </w:tc>
      </w:tr>
      <w:tr w:rsidR="00616A4B" w14:paraId="49D07908" w14:textId="77777777" w:rsidTr="00616A4B">
        <w:tc>
          <w:tcPr>
            <w:tcW w:w="4796" w:type="dxa"/>
            <w:vMerge/>
          </w:tcPr>
          <w:p w14:paraId="7353719A" w14:textId="77777777" w:rsidR="00616A4B" w:rsidRDefault="00616A4B" w:rsidP="00EA61A8">
            <w:pPr>
              <w:jc w:val="left"/>
            </w:pPr>
          </w:p>
        </w:tc>
        <w:tc>
          <w:tcPr>
            <w:tcW w:w="9509" w:type="dxa"/>
          </w:tcPr>
          <w:p w14:paraId="633A23B2" w14:textId="685FDBBB" w:rsidR="00616A4B" w:rsidRDefault="00616A4B" w:rsidP="00EA61A8">
            <w:pPr>
              <w:jc w:val="left"/>
            </w:pPr>
            <w:r>
              <w:t>Include prior TR documents with the new review documents.</w:t>
            </w:r>
          </w:p>
        </w:tc>
      </w:tr>
      <w:tr w:rsidR="00616A4B" w14:paraId="7D34EBC6" w14:textId="77777777" w:rsidTr="00616A4B">
        <w:tc>
          <w:tcPr>
            <w:tcW w:w="4796" w:type="dxa"/>
            <w:vMerge/>
            <w:tcBorders>
              <w:bottom w:val="single" w:sz="4" w:space="0" w:color="auto"/>
            </w:tcBorders>
          </w:tcPr>
          <w:p w14:paraId="58F2972A" w14:textId="77777777" w:rsidR="00616A4B" w:rsidRDefault="00616A4B" w:rsidP="00EA61A8">
            <w:pPr>
              <w:jc w:val="left"/>
            </w:pPr>
          </w:p>
        </w:tc>
        <w:tc>
          <w:tcPr>
            <w:tcW w:w="9509" w:type="dxa"/>
            <w:tcBorders>
              <w:bottom w:val="single" w:sz="4" w:space="0" w:color="auto"/>
            </w:tcBorders>
          </w:tcPr>
          <w:p w14:paraId="6D9DFBE6" w14:textId="17C7A714" w:rsidR="00616A4B" w:rsidRDefault="00616A4B" w:rsidP="00EA61A8">
            <w:pPr>
              <w:jc w:val="left"/>
            </w:pPr>
            <w:r>
              <w:t>Streamline fiscal requirements between WIC biennial fiscal review and regular TR.</w:t>
            </w:r>
          </w:p>
        </w:tc>
      </w:tr>
      <w:tr w:rsidR="00616A4B" w14:paraId="3A79E545" w14:textId="77777777" w:rsidTr="00616A4B">
        <w:tc>
          <w:tcPr>
            <w:tcW w:w="4796" w:type="dxa"/>
            <w:vMerge w:val="restart"/>
          </w:tcPr>
          <w:p w14:paraId="445A0C7F" w14:textId="5F9B4213" w:rsidR="00616A4B" w:rsidRPr="00075C73" w:rsidRDefault="00616A4B" w:rsidP="00EA61A8">
            <w:pPr>
              <w:jc w:val="left"/>
              <w:rPr>
                <w:b/>
                <w:bCs/>
              </w:rPr>
            </w:pPr>
            <w:r w:rsidRPr="00075C73">
              <w:rPr>
                <w:b/>
                <w:bCs/>
              </w:rPr>
              <w:t>Fiscal reporting</w:t>
            </w:r>
          </w:p>
        </w:tc>
        <w:tc>
          <w:tcPr>
            <w:tcW w:w="9509" w:type="dxa"/>
          </w:tcPr>
          <w:p w14:paraId="4D9E391B" w14:textId="0ABE0D28" w:rsidR="00616A4B" w:rsidRDefault="00616A4B" w:rsidP="00EA61A8">
            <w:pPr>
              <w:jc w:val="left"/>
            </w:pPr>
            <w:r>
              <w:t>Require only broad categories of expenses in quarterly fiscal reports instead of individual line items within the categories</w:t>
            </w:r>
          </w:p>
        </w:tc>
      </w:tr>
      <w:tr w:rsidR="00616A4B" w14:paraId="73444213" w14:textId="77777777" w:rsidTr="00616A4B">
        <w:tc>
          <w:tcPr>
            <w:tcW w:w="4796" w:type="dxa"/>
            <w:vMerge/>
          </w:tcPr>
          <w:p w14:paraId="4D0D766A" w14:textId="77777777" w:rsidR="00616A4B" w:rsidRDefault="00616A4B" w:rsidP="00EA61A8">
            <w:pPr>
              <w:jc w:val="left"/>
            </w:pPr>
          </w:p>
        </w:tc>
        <w:tc>
          <w:tcPr>
            <w:tcW w:w="9509" w:type="dxa"/>
          </w:tcPr>
          <w:p w14:paraId="18849089" w14:textId="4B462950" w:rsidR="00616A4B" w:rsidRDefault="00616A4B" w:rsidP="00EA61A8">
            <w:pPr>
              <w:jc w:val="left"/>
            </w:pPr>
            <w:r>
              <w:t>Submit quarterly fiscal reports via excel; Any doc with numbers or a budget or invoice should never be in word.  Making pdfs, combining them, and compressing them is very time consuming.</w:t>
            </w:r>
          </w:p>
        </w:tc>
      </w:tr>
      <w:tr w:rsidR="00616A4B" w14:paraId="71A49333" w14:textId="77777777" w:rsidTr="00616A4B">
        <w:tc>
          <w:tcPr>
            <w:tcW w:w="4796" w:type="dxa"/>
            <w:vMerge/>
          </w:tcPr>
          <w:p w14:paraId="42B835E2" w14:textId="77777777" w:rsidR="00616A4B" w:rsidRDefault="00616A4B" w:rsidP="00EA61A8">
            <w:pPr>
              <w:jc w:val="left"/>
            </w:pPr>
          </w:p>
        </w:tc>
        <w:tc>
          <w:tcPr>
            <w:tcW w:w="9509" w:type="dxa"/>
          </w:tcPr>
          <w:p w14:paraId="2FF7EF47" w14:textId="51A9BB6D" w:rsidR="00616A4B" w:rsidRDefault="00616A4B" w:rsidP="00EA61A8">
            <w:pPr>
              <w:jc w:val="left"/>
            </w:pPr>
            <w:r>
              <w:t>Provide instructions for what should be included in quarterly fiscal report revenue section as there is no real guidance.</w:t>
            </w:r>
          </w:p>
        </w:tc>
      </w:tr>
      <w:tr w:rsidR="00616A4B" w14:paraId="75645C11" w14:textId="77777777" w:rsidTr="00616A4B">
        <w:tc>
          <w:tcPr>
            <w:tcW w:w="4796" w:type="dxa"/>
            <w:vMerge/>
          </w:tcPr>
          <w:p w14:paraId="67559BD5" w14:textId="77777777" w:rsidR="00616A4B" w:rsidRDefault="00616A4B" w:rsidP="00EA61A8">
            <w:pPr>
              <w:jc w:val="left"/>
            </w:pPr>
          </w:p>
        </w:tc>
        <w:tc>
          <w:tcPr>
            <w:tcW w:w="9509" w:type="dxa"/>
          </w:tcPr>
          <w:p w14:paraId="5A482274" w14:textId="330B924C" w:rsidR="00616A4B" w:rsidRDefault="00616A4B" w:rsidP="00EA61A8">
            <w:pPr>
              <w:jc w:val="left"/>
            </w:pPr>
            <w:r>
              <w:t>Portal to submit fiscal reports.  Eliminate email and paper forms.</w:t>
            </w:r>
          </w:p>
        </w:tc>
      </w:tr>
      <w:tr w:rsidR="00616A4B" w14:paraId="630375D9" w14:textId="77777777" w:rsidTr="00616A4B">
        <w:tc>
          <w:tcPr>
            <w:tcW w:w="4796" w:type="dxa"/>
            <w:vMerge/>
          </w:tcPr>
          <w:p w14:paraId="5B7A5928" w14:textId="77777777" w:rsidR="00616A4B" w:rsidRDefault="00616A4B" w:rsidP="00EA61A8">
            <w:pPr>
              <w:jc w:val="left"/>
            </w:pPr>
          </w:p>
        </w:tc>
        <w:tc>
          <w:tcPr>
            <w:tcW w:w="9509" w:type="dxa"/>
          </w:tcPr>
          <w:p w14:paraId="7FBB4891" w14:textId="54BD8B67" w:rsidR="00616A4B" w:rsidRDefault="00616A4B" w:rsidP="00EA61A8">
            <w:pPr>
              <w:jc w:val="left"/>
            </w:pPr>
            <w:r>
              <w:t>Need phone numbers and names of people to talk to in addition to general email inbox</w:t>
            </w:r>
          </w:p>
        </w:tc>
      </w:tr>
      <w:tr w:rsidR="00616A4B" w14:paraId="2BCABC8F" w14:textId="77777777" w:rsidTr="00616A4B">
        <w:tc>
          <w:tcPr>
            <w:tcW w:w="4796" w:type="dxa"/>
            <w:vMerge/>
          </w:tcPr>
          <w:p w14:paraId="6D5CC6C4" w14:textId="77777777" w:rsidR="00616A4B" w:rsidRDefault="00616A4B" w:rsidP="00EA61A8">
            <w:pPr>
              <w:jc w:val="left"/>
            </w:pPr>
          </w:p>
        </w:tc>
        <w:tc>
          <w:tcPr>
            <w:tcW w:w="9509" w:type="dxa"/>
          </w:tcPr>
          <w:p w14:paraId="1B424F5B" w14:textId="7C3155D2" w:rsidR="00616A4B" w:rsidRDefault="00616A4B" w:rsidP="00EA61A8">
            <w:pPr>
              <w:jc w:val="left"/>
            </w:pPr>
            <w:r>
              <w:t>Meet and greet between OHA and LPHA fiscal teams and assigned point of contacts for each LPHA</w:t>
            </w:r>
          </w:p>
        </w:tc>
      </w:tr>
      <w:tr w:rsidR="00616A4B" w14:paraId="02EAFDD9" w14:textId="77777777" w:rsidTr="00616A4B">
        <w:tc>
          <w:tcPr>
            <w:tcW w:w="4796" w:type="dxa"/>
            <w:vMerge/>
          </w:tcPr>
          <w:p w14:paraId="1FA56D61" w14:textId="77777777" w:rsidR="00616A4B" w:rsidRDefault="00616A4B" w:rsidP="00EA61A8">
            <w:pPr>
              <w:jc w:val="left"/>
            </w:pPr>
          </w:p>
        </w:tc>
        <w:tc>
          <w:tcPr>
            <w:tcW w:w="9509" w:type="dxa"/>
          </w:tcPr>
          <w:p w14:paraId="2861DD0F" w14:textId="50473044" w:rsidR="00616A4B" w:rsidRDefault="00616A4B" w:rsidP="00EA61A8">
            <w:pPr>
              <w:jc w:val="left"/>
            </w:pPr>
            <w:r>
              <w:t>Reduce frequency of expenditure reports to twice per year or annually</w:t>
            </w:r>
          </w:p>
        </w:tc>
      </w:tr>
      <w:tr w:rsidR="00616A4B" w14:paraId="177D9EF1" w14:textId="77777777" w:rsidTr="00616A4B">
        <w:tc>
          <w:tcPr>
            <w:tcW w:w="4796" w:type="dxa"/>
            <w:vMerge/>
          </w:tcPr>
          <w:p w14:paraId="0C01C882" w14:textId="77777777" w:rsidR="00616A4B" w:rsidRDefault="00616A4B" w:rsidP="00EA61A8">
            <w:pPr>
              <w:jc w:val="left"/>
            </w:pPr>
          </w:p>
        </w:tc>
        <w:tc>
          <w:tcPr>
            <w:tcW w:w="9509" w:type="dxa"/>
          </w:tcPr>
          <w:p w14:paraId="3B75DE6C" w14:textId="4C202538" w:rsidR="00616A4B" w:rsidRDefault="00616A4B" w:rsidP="00EA61A8">
            <w:pPr>
              <w:jc w:val="left"/>
            </w:pPr>
            <w:r>
              <w:t>Eliminate monthly reporting</w:t>
            </w:r>
          </w:p>
        </w:tc>
      </w:tr>
      <w:tr w:rsidR="00616A4B" w14:paraId="152CE5C6" w14:textId="77777777" w:rsidTr="00616A4B">
        <w:tc>
          <w:tcPr>
            <w:tcW w:w="4796" w:type="dxa"/>
          </w:tcPr>
          <w:p w14:paraId="0D78CFEA" w14:textId="77777777" w:rsidR="00616A4B" w:rsidRDefault="00616A4B" w:rsidP="00EA61A8">
            <w:pPr>
              <w:jc w:val="left"/>
            </w:pPr>
          </w:p>
        </w:tc>
        <w:tc>
          <w:tcPr>
            <w:tcW w:w="9509" w:type="dxa"/>
          </w:tcPr>
          <w:p w14:paraId="6ECD063E" w14:textId="7734B2E7" w:rsidR="00616A4B" w:rsidRDefault="00616A4B" w:rsidP="00EA61A8">
            <w:pPr>
              <w:jc w:val="left"/>
            </w:pPr>
            <w:r>
              <w:t>Timely completion of year end reconciliation.  Some reconciliation was still occurring in March 2023</w:t>
            </w:r>
          </w:p>
        </w:tc>
      </w:tr>
      <w:tr w:rsidR="00616A4B" w14:paraId="3573CE83" w14:textId="77777777" w:rsidTr="00616A4B">
        <w:tc>
          <w:tcPr>
            <w:tcW w:w="4796" w:type="dxa"/>
          </w:tcPr>
          <w:p w14:paraId="40E7A6B4" w14:textId="77777777" w:rsidR="00616A4B" w:rsidRDefault="00616A4B" w:rsidP="00EA61A8">
            <w:pPr>
              <w:jc w:val="left"/>
            </w:pPr>
          </w:p>
        </w:tc>
        <w:tc>
          <w:tcPr>
            <w:tcW w:w="9509" w:type="dxa"/>
          </w:tcPr>
          <w:p w14:paraId="11F32A13" w14:textId="36C63AF4" w:rsidR="00616A4B" w:rsidRDefault="00616A4B" w:rsidP="00EA61A8">
            <w:pPr>
              <w:jc w:val="left"/>
            </w:pPr>
            <w:r>
              <w:t>Timely response to inquiries about amendment and reconciliation questions</w:t>
            </w:r>
          </w:p>
        </w:tc>
      </w:tr>
      <w:tr w:rsidR="00616A4B" w14:paraId="7DD589FC" w14:textId="77777777" w:rsidTr="00616A4B">
        <w:tc>
          <w:tcPr>
            <w:tcW w:w="4796" w:type="dxa"/>
          </w:tcPr>
          <w:p w14:paraId="3073E1FE" w14:textId="77777777" w:rsidR="00616A4B" w:rsidRDefault="00616A4B" w:rsidP="00EA61A8">
            <w:pPr>
              <w:jc w:val="left"/>
            </w:pPr>
          </w:p>
        </w:tc>
        <w:tc>
          <w:tcPr>
            <w:tcW w:w="9509" w:type="dxa"/>
          </w:tcPr>
          <w:p w14:paraId="68B18B76" w14:textId="57DF663F" w:rsidR="00616A4B" w:rsidRDefault="00616A4B" w:rsidP="00EA61A8">
            <w:pPr>
              <w:jc w:val="left"/>
            </w:pPr>
            <w:r>
              <w:t>Portal that LPHAs can access real time information that shows payables and take backs.  We currently must email program leaders.</w:t>
            </w:r>
          </w:p>
        </w:tc>
      </w:tr>
      <w:tr w:rsidR="00616A4B" w14:paraId="44D22919" w14:textId="77777777" w:rsidTr="00616A4B">
        <w:tc>
          <w:tcPr>
            <w:tcW w:w="4796" w:type="dxa"/>
          </w:tcPr>
          <w:p w14:paraId="798FBD80" w14:textId="77777777" w:rsidR="00616A4B" w:rsidRDefault="00616A4B" w:rsidP="00EA61A8">
            <w:pPr>
              <w:jc w:val="left"/>
            </w:pPr>
          </w:p>
        </w:tc>
        <w:tc>
          <w:tcPr>
            <w:tcW w:w="9509" w:type="dxa"/>
          </w:tcPr>
          <w:p w14:paraId="1A65E15F" w14:textId="72C18E40" w:rsidR="00616A4B" w:rsidRDefault="00616A4B" w:rsidP="00EA61A8">
            <w:pPr>
              <w:jc w:val="left"/>
            </w:pPr>
            <w:r>
              <w:t>Lack of coordination between OSPHD, PHD Sections and OFS.  OSPHD does amendments/contracts, Programs handle budgets, and OFS does the fiscal payments.  Can this be dismantled?</w:t>
            </w:r>
          </w:p>
        </w:tc>
      </w:tr>
      <w:tr w:rsidR="00616A4B" w14:paraId="3F62D6B1" w14:textId="77777777" w:rsidTr="00616A4B">
        <w:tc>
          <w:tcPr>
            <w:tcW w:w="4796" w:type="dxa"/>
          </w:tcPr>
          <w:p w14:paraId="7BED081C" w14:textId="77777777" w:rsidR="00616A4B" w:rsidRDefault="00616A4B" w:rsidP="00EA61A8">
            <w:pPr>
              <w:jc w:val="left"/>
            </w:pPr>
          </w:p>
        </w:tc>
        <w:tc>
          <w:tcPr>
            <w:tcW w:w="9509" w:type="dxa"/>
          </w:tcPr>
          <w:p w14:paraId="4F5D02C5" w14:textId="105FA4FF" w:rsidR="00616A4B" w:rsidRDefault="00616A4B" w:rsidP="00EA61A8">
            <w:pPr>
              <w:jc w:val="left"/>
            </w:pPr>
            <w:r>
              <w:t xml:space="preserve">Eliminate requirement for PE expenditure reports when funding is not available during the quarter being reported.  For example, PE 40-01 funding is only available in Q1, but the report is required to be submitted in Q2-Q4 as well.  </w:t>
            </w:r>
          </w:p>
        </w:tc>
      </w:tr>
      <w:tr w:rsidR="00616A4B" w14:paraId="51A41001" w14:textId="77777777" w:rsidTr="00616A4B">
        <w:tc>
          <w:tcPr>
            <w:tcW w:w="4796" w:type="dxa"/>
            <w:tcBorders>
              <w:bottom w:val="single" w:sz="4" w:space="0" w:color="auto"/>
            </w:tcBorders>
          </w:tcPr>
          <w:p w14:paraId="0A3583AA" w14:textId="77777777" w:rsidR="00616A4B" w:rsidRDefault="00616A4B" w:rsidP="00EA61A8">
            <w:pPr>
              <w:jc w:val="left"/>
            </w:pPr>
          </w:p>
        </w:tc>
        <w:tc>
          <w:tcPr>
            <w:tcW w:w="9509" w:type="dxa"/>
            <w:tcBorders>
              <w:bottom w:val="single" w:sz="4" w:space="0" w:color="auto"/>
            </w:tcBorders>
          </w:tcPr>
          <w:p w14:paraId="4208D34B" w14:textId="1E06E988" w:rsidR="00616A4B" w:rsidRDefault="00616A4B" w:rsidP="00EA61A8">
            <w:pPr>
              <w:jc w:val="left"/>
            </w:pPr>
            <w:r>
              <w:t>Remittance notices for deposits (which we mostly do), or at least have a single point of contact to identify deposits.  Recently only receiving the CFAA: SPEC payments as the only identifier.</w:t>
            </w:r>
          </w:p>
        </w:tc>
      </w:tr>
      <w:tr w:rsidR="00616A4B" w14:paraId="526E96FB" w14:textId="77777777" w:rsidTr="00616A4B">
        <w:trPr>
          <w:trHeight w:val="1298"/>
        </w:trPr>
        <w:tc>
          <w:tcPr>
            <w:tcW w:w="4796" w:type="dxa"/>
            <w:vMerge w:val="restart"/>
            <w:tcBorders>
              <w:bottom w:val="single" w:sz="4" w:space="0" w:color="auto"/>
            </w:tcBorders>
          </w:tcPr>
          <w:p w14:paraId="7AB2BCF0" w14:textId="29D39D21" w:rsidR="00616A4B" w:rsidRDefault="00616A4B" w:rsidP="00EA61A8">
            <w:pPr>
              <w:jc w:val="left"/>
            </w:pPr>
            <w:r>
              <w:t>MCH</w:t>
            </w:r>
          </w:p>
        </w:tc>
        <w:tc>
          <w:tcPr>
            <w:tcW w:w="9509" w:type="dxa"/>
            <w:tcBorders>
              <w:bottom w:val="single" w:sz="4" w:space="0" w:color="auto"/>
            </w:tcBorders>
          </w:tcPr>
          <w:p w14:paraId="360733BB" w14:textId="3605C6F2" w:rsidR="00616A4B" w:rsidRDefault="00616A4B" w:rsidP="00EA61A8">
            <w:pPr>
              <w:jc w:val="left"/>
            </w:pPr>
            <w:r>
              <w:t>Consider what is truly needed in terms of data for THEO; feels like we collect a lot of data that may not be beneficial.</w:t>
            </w:r>
          </w:p>
        </w:tc>
      </w:tr>
      <w:tr w:rsidR="00616A4B" w14:paraId="61721D45" w14:textId="77777777" w:rsidTr="00616A4B">
        <w:tc>
          <w:tcPr>
            <w:tcW w:w="4796" w:type="dxa"/>
            <w:vMerge/>
          </w:tcPr>
          <w:p w14:paraId="50098950" w14:textId="77777777" w:rsidR="00616A4B" w:rsidRDefault="00616A4B" w:rsidP="00EA61A8">
            <w:pPr>
              <w:jc w:val="left"/>
            </w:pPr>
          </w:p>
        </w:tc>
        <w:tc>
          <w:tcPr>
            <w:tcW w:w="9509" w:type="dxa"/>
          </w:tcPr>
          <w:p w14:paraId="18E5AFC3" w14:textId="57D5EB36" w:rsidR="00616A4B" w:rsidRDefault="00616A4B" w:rsidP="00EA61A8">
            <w:pPr>
              <w:jc w:val="left"/>
            </w:pPr>
            <w:r>
              <w:t>Combine/streamline expenditure reporting for PE 42 (MCAH) – at least allow grouping of subrecipient/vendor funds together</w:t>
            </w:r>
          </w:p>
        </w:tc>
      </w:tr>
      <w:tr w:rsidR="00616A4B" w14:paraId="6867BE60" w14:textId="77777777" w:rsidTr="00616A4B">
        <w:tc>
          <w:tcPr>
            <w:tcW w:w="4796" w:type="dxa"/>
            <w:vMerge w:val="restart"/>
          </w:tcPr>
          <w:p w14:paraId="46184CA1" w14:textId="0B201EBE" w:rsidR="00616A4B" w:rsidRPr="008E1CB7" w:rsidRDefault="00616A4B" w:rsidP="00EA61A8">
            <w:pPr>
              <w:jc w:val="left"/>
              <w:rPr>
                <w:b/>
                <w:bCs/>
              </w:rPr>
            </w:pPr>
            <w:r w:rsidRPr="008E1CB7">
              <w:rPr>
                <w:b/>
                <w:bCs/>
              </w:rPr>
              <w:lastRenderedPageBreak/>
              <w:t>HST</w:t>
            </w:r>
          </w:p>
          <w:p w14:paraId="7B6807FF" w14:textId="4E163C68" w:rsidR="00616A4B" w:rsidRDefault="00616A4B" w:rsidP="00EA61A8">
            <w:pPr>
              <w:jc w:val="left"/>
            </w:pPr>
          </w:p>
        </w:tc>
        <w:tc>
          <w:tcPr>
            <w:tcW w:w="9509" w:type="dxa"/>
            <w:tcBorders>
              <w:bottom w:val="single" w:sz="4" w:space="0" w:color="auto"/>
            </w:tcBorders>
          </w:tcPr>
          <w:p w14:paraId="6107B506" w14:textId="5A12B3BB" w:rsidR="00616A4B" w:rsidRDefault="00616A4B" w:rsidP="00EA61A8">
            <w:pPr>
              <w:jc w:val="left"/>
            </w:pPr>
            <w:r>
              <w:t xml:space="preserve">Be able to use PE 10-02 funds to help offset costs for direct STI services as we do not currently receive PE 10-01 funding.  </w:t>
            </w:r>
            <w:proofErr w:type="gramStart"/>
            <w:r>
              <w:t>Also</w:t>
            </w:r>
            <w:proofErr w:type="gramEnd"/>
            <w:r>
              <w:t xml:space="preserve"> for example, we could not hire HV nurse or DIS, yet used county GF to cover PE 01, PE 43, and PE 10-01.</w:t>
            </w:r>
          </w:p>
        </w:tc>
      </w:tr>
      <w:tr w:rsidR="00616A4B" w14:paraId="00D19275" w14:textId="77777777" w:rsidTr="00616A4B">
        <w:tc>
          <w:tcPr>
            <w:tcW w:w="4796" w:type="dxa"/>
            <w:vMerge/>
            <w:tcBorders>
              <w:bottom w:val="single" w:sz="4" w:space="0" w:color="auto"/>
            </w:tcBorders>
          </w:tcPr>
          <w:p w14:paraId="57AA887E" w14:textId="77777777" w:rsidR="00616A4B" w:rsidRPr="008E1CB7" w:rsidRDefault="00616A4B" w:rsidP="00054679">
            <w:pPr>
              <w:jc w:val="left"/>
              <w:rPr>
                <w:b/>
                <w:bCs/>
              </w:rPr>
            </w:pPr>
          </w:p>
        </w:tc>
        <w:tc>
          <w:tcPr>
            <w:tcW w:w="9509" w:type="dxa"/>
            <w:tcBorders>
              <w:bottom w:val="single" w:sz="4" w:space="0" w:color="auto"/>
            </w:tcBorders>
          </w:tcPr>
          <w:p w14:paraId="44433ED0" w14:textId="0A17B38B" w:rsidR="00616A4B" w:rsidRDefault="00616A4B" w:rsidP="00054679">
            <w:pPr>
              <w:jc w:val="left"/>
            </w:pPr>
            <w:r>
              <w:t xml:space="preserve">All reporting for Ryan White is cumbersome, especially the fiscal reporting due in word documents.  </w:t>
            </w:r>
          </w:p>
        </w:tc>
      </w:tr>
      <w:tr w:rsidR="00616A4B" w14:paraId="0079A6B9" w14:textId="77777777" w:rsidTr="00616A4B">
        <w:tc>
          <w:tcPr>
            <w:tcW w:w="4796" w:type="dxa"/>
            <w:tcBorders>
              <w:bottom w:val="single" w:sz="4" w:space="0" w:color="auto"/>
            </w:tcBorders>
          </w:tcPr>
          <w:p w14:paraId="2E633A96" w14:textId="34E42E94" w:rsidR="00616A4B" w:rsidRPr="008E1CB7" w:rsidRDefault="00616A4B" w:rsidP="00054679">
            <w:pPr>
              <w:jc w:val="left"/>
              <w:rPr>
                <w:b/>
                <w:bCs/>
              </w:rPr>
            </w:pPr>
            <w:r>
              <w:rPr>
                <w:b/>
                <w:bCs/>
              </w:rPr>
              <w:t>EH/FPL</w:t>
            </w:r>
          </w:p>
        </w:tc>
        <w:tc>
          <w:tcPr>
            <w:tcW w:w="9509" w:type="dxa"/>
            <w:tcBorders>
              <w:bottom w:val="single" w:sz="4" w:space="0" w:color="auto"/>
            </w:tcBorders>
          </w:tcPr>
          <w:p w14:paraId="2FCB455D" w14:textId="7CB6F9C8" w:rsidR="00616A4B" w:rsidRDefault="00616A4B" w:rsidP="00054679">
            <w:pPr>
              <w:jc w:val="left"/>
            </w:pPr>
            <w:r>
              <w:t>FPL fee justification is very confusing.  Is it possible to have a step by step fill in form for that process?</w:t>
            </w:r>
          </w:p>
        </w:tc>
      </w:tr>
      <w:tr w:rsidR="00616A4B" w14:paraId="4F3BFBBE" w14:textId="77777777" w:rsidTr="00616A4B">
        <w:tc>
          <w:tcPr>
            <w:tcW w:w="4796" w:type="dxa"/>
            <w:tcBorders>
              <w:bottom w:val="single" w:sz="4" w:space="0" w:color="auto"/>
            </w:tcBorders>
          </w:tcPr>
          <w:p w14:paraId="5D4EBB0C" w14:textId="70D672E9" w:rsidR="00616A4B" w:rsidRDefault="00616A4B" w:rsidP="00054679">
            <w:pPr>
              <w:jc w:val="left"/>
              <w:rPr>
                <w:b/>
                <w:bCs/>
              </w:rPr>
            </w:pPr>
            <w:r>
              <w:rPr>
                <w:b/>
                <w:bCs/>
              </w:rPr>
              <w:t>RH/PE 46</w:t>
            </w:r>
          </w:p>
        </w:tc>
        <w:tc>
          <w:tcPr>
            <w:tcW w:w="9509" w:type="dxa"/>
            <w:tcBorders>
              <w:bottom w:val="single" w:sz="4" w:space="0" w:color="auto"/>
            </w:tcBorders>
          </w:tcPr>
          <w:p w14:paraId="306AAEAD" w14:textId="7EE036F4" w:rsidR="00616A4B" w:rsidRDefault="00616A4B" w:rsidP="00054679">
            <w:pPr>
              <w:jc w:val="left"/>
            </w:pPr>
            <w:r>
              <w:t>We are increasing our overall community outreach to provide information related to health services and how to access them; I would like to be able to apply a certain percentage of that work to RH Access and Assurance.</w:t>
            </w:r>
          </w:p>
        </w:tc>
      </w:tr>
      <w:tr w:rsidR="00616A4B" w14:paraId="65138781" w14:textId="77777777" w:rsidTr="00616A4B">
        <w:tc>
          <w:tcPr>
            <w:tcW w:w="4796" w:type="dxa"/>
          </w:tcPr>
          <w:p w14:paraId="7DE2F16B" w14:textId="73719DC1" w:rsidR="00616A4B" w:rsidRPr="008E1CB7" w:rsidRDefault="00616A4B" w:rsidP="00054679">
            <w:pPr>
              <w:jc w:val="left"/>
              <w:rPr>
                <w:b/>
                <w:bCs/>
              </w:rPr>
            </w:pPr>
            <w:r w:rsidRPr="008E1CB7">
              <w:rPr>
                <w:b/>
                <w:bCs/>
              </w:rPr>
              <w:t>Funding</w:t>
            </w:r>
          </w:p>
        </w:tc>
        <w:tc>
          <w:tcPr>
            <w:tcW w:w="9509" w:type="dxa"/>
          </w:tcPr>
          <w:p w14:paraId="06549421" w14:textId="650F8879" w:rsidR="00616A4B" w:rsidRDefault="00616A4B" w:rsidP="00054679">
            <w:pPr>
              <w:jc w:val="left"/>
            </w:pPr>
            <w:r>
              <w:t>PHM funding is most flexible.  Is it possible to move more funding into that PE as it would allow LPHAs to best meet needs of their communities.</w:t>
            </w:r>
          </w:p>
        </w:tc>
      </w:tr>
      <w:tr w:rsidR="00616A4B" w14:paraId="448C30DF" w14:textId="77777777" w:rsidTr="00616A4B">
        <w:tc>
          <w:tcPr>
            <w:tcW w:w="4796" w:type="dxa"/>
          </w:tcPr>
          <w:p w14:paraId="67862554" w14:textId="77777777" w:rsidR="00616A4B" w:rsidRDefault="00616A4B" w:rsidP="00054679">
            <w:pPr>
              <w:jc w:val="left"/>
            </w:pPr>
          </w:p>
        </w:tc>
        <w:tc>
          <w:tcPr>
            <w:tcW w:w="9509" w:type="dxa"/>
          </w:tcPr>
          <w:p w14:paraId="205301E0" w14:textId="615F9743" w:rsidR="00616A4B" w:rsidRDefault="00616A4B" w:rsidP="00054679">
            <w:pPr>
              <w:jc w:val="left"/>
            </w:pPr>
            <w:r>
              <w:t>Develop a path to cover costs related to direct services</w:t>
            </w:r>
          </w:p>
        </w:tc>
      </w:tr>
      <w:tr w:rsidR="00616A4B" w14:paraId="79487258" w14:textId="77777777" w:rsidTr="00616A4B">
        <w:tc>
          <w:tcPr>
            <w:tcW w:w="4796" w:type="dxa"/>
          </w:tcPr>
          <w:p w14:paraId="356AA43D" w14:textId="77777777" w:rsidR="00616A4B" w:rsidRDefault="00616A4B" w:rsidP="00054679">
            <w:pPr>
              <w:jc w:val="left"/>
            </w:pPr>
          </w:p>
        </w:tc>
        <w:tc>
          <w:tcPr>
            <w:tcW w:w="9509" w:type="dxa"/>
          </w:tcPr>
          <w:p w14:paraId="572B97D8" w14:textId="1F051892" w:rsidR="00616A4B" w:rsidRDefault="00616A4B" w:rsidP="00054679">
            <w:pPr>
              <w:jc w:val="left"/>
            </w:pPr>
            <w:r>
              <w:t xml:space="preserve">More flexibility in use of funds to offset costs in programs that are lacking funds.  </w:t>
            </w:r>
          </w:p>
        </w:tc>
      </w:tr>
    </w:tbl>
    <w:p w14:paraId="311322F9" w14:textId="77777777" w:rsidR="002C02D1" w:rsidRDefault="002C02D1"/>
    <w:sectPr w:rsidR="002C02D1" w:rsidSect="002C02D1">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7AD9" w14:textId="77777777" w:rsidR="00192E8E" w:rsidRDefault="00192E8E" w:rsidP="003E014A">
      <w:r>
        <w:separator/>
      </w:r>
    </w:p>
  </w:endnote>
  <w:endnote w:type="continuationSeparator" w:id="0">
    <w:p w14:paraId="23786C2B" w14:textId="77777777" w:rsidR="00192E8E" w:rsidRDefault="00192E8E" w:rsidP="003E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22A2" w14:textId="77777777" w:rsidR="003E014A" w:rsidRDefault="003E0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673015"/>
      <w:docPartObj>
        <w:docPartGallery w:val="Page Numbers (Bottom of Page)"/>
        <w:docPartUnique/>
      </w:docPartObj>
    </w:sdtPr>
    <w:sdtEndPr>
      <w:rPr>
        <w:noProof/>
      </w:rPr>
    </w:sdtEndPr>
    <w:sdtContent>
      <w:p w14:paraId="7A9F7E77" w14:textId="13B5B17C" w:rsidR="003E014A" w:rsidRDefault="003E0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DC606" w14:textId="77777777" w:rsidR="003E014A" w:rsidRDefault="003E0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2EDB" w14:textId="77777777" w:rsidR="003E014A" w:rsidRDefault="003E0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78B2" w14:textId="77777777" w:rsidR="00192E8E" w:rsidRDefault="00192E8E" w:rsidP="003E014A">
      <w:r>
        <w:separator/>
      </w:r>
    </w:p>
  </w:footnote>
  <w:footnote w:type="continuationSeparator" w:id="0">
    <w:p w14:paraId="55518BF6" w14:textId="77777777" w:rsidR="00192E8E" w:rsidRDefault="00192E8E" w:rsidP="003E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AFAB" w14:textId="77777777" w:rsidR="003E014A" w:rsidRDefault="003E0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E5AF" w14:textId="77777777" w:rsidR="003E014A" w:rsidRDefault="003E0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016D" w14:textId="77777777" w:rsidR="003E014A" w:rsidRDefault="003E0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D1"/>
    <w:rsid w:val="00054679"/>
    <w:rsid w:val="00063D9D"/>
    <w:rsid w:val="0006536E"/>
    <w:rsid w:val="00075C73"/>
    <w:rsid w:val="000778A3"/>
    <w:rsid w:val="000B78CB"/>
    <w:rsid w:val="000C5AFB"/>
    <w:rsid w:val="000F5DC7"/>
    <w:rsid w:val="00110600"/>
    <w:rsid w:val="00123862"/>
    <w:rsid w:val="00130C49"/>
    <w:rsid w:val="00141D2D"/>
    <w:rsid w:val="001608EA"/>
    <w:rsid w:val="00192E8E"/>
    <w:rsid w:val="00201293"/>
    <w:rsid w:val="00211E4F"/>
    <w:rsid w:val="00294D85"/>
    <w:rsid w:val="002A0E31"/>
    <w:rsid w:val="002C02D1"/>
    <w:rsid w:val="002F0607"/>
    <w:rsid w:val="003358DD"/>
    <w:rsid w:val="00336871"/>
    <w:rsid w:val="003C104B"/>
    <w:rsid w:val="003E014A"/>
    <w:rsid w:val="00435C94"/>
    <w:rsid w:val="00454A36"/>
    <w:rsid w:val="004560E8"/>
    <w:rsid w:val="00457508"/>
    <w:rsid w:val="00490585"/>
    <w:rsid w:val="004913BA"/>
    <w:rsid w:val="004A1F9C"/>
    <w:rsid w:val="004C0326"/>
    <w:rsid w:val="005019E3"/>
    <w:rsid w:val="00536F5C"/>
    <w:rsid w:val="00537D44"/>
    <w:rsid w:val="00574438"/>
    <w:rsid w:val="005910C4"/>
    <w:rsid w:val="005E6270"/>
    <w:rsid w:val="00616A4B"/>
    <w:rsid w:val="006243AA"/>
    <w:rsid w:val="0065532F"/>
    <w:rsid w:val="006678D8"/>
    <w:rsid w:val="00693BAD"/>
    <w:rsid w:val="006A3A23"/>
    <w:rsid w:val="006B1CFA"/>
    <w:rsid w:val="006D06DE"/>
    <w:rsid w:val="006D684B"/>
    <w:rsid w:val="006F1911"/>
    <w:rsid w:val="00705F56"/>
    <w:rsid w:val="00710AC1"/>
    <w:rsid w:val="007345C2"/>
    <w:rsid w:val="0075544F"/>
    <w:rsid w:val="00783043"/>
    <w:rsid w:val="007B0BDA"/>
    <w:rsid w:val="007B49CF"/>
    <w:rsid w:val="008574E4"/>
    <w:rsid w:val="00861CBB"/>
    <w:rsid w:val="008847C9"/>
    <w:rsid w:val="0089210C"/>
    <w:rsid w:val="00896358"/>
    <w:rsid w:val="008E1CB7"/>
    <w:rsid w:val="00935E9D"/>
    <w:rsid w:val="00962678"/>
    <w:rsid w:val="009A06DB"/>
    <w:rsid w:val="009E5AB4"/>
    <w:rsid w:val="00A07952"/>
    <w:rsid w:val="00A145A2"/>
    <w:rsid w:val="00A24471"/>
    <w:rsid w:val="00A45D12"/>
    <w:rsid w:val="00A95EC7"/>
    <w:rsid w:val="00A97467"/>
    <w:rsid w:val="00B42397"/>
    <w:rsid w:val="00B6173A"/>
    <w:rsid w:val="00B6627B"/>
    <w:rsid w:val="00BA2A9E"/>
    <w:rsid w:val="00BF194E"/>
    <w:rsid w:val="00C300D8"/>
    <w:rsid w:val="00C33BD9"/>
    <w:rsid w:val="00C34E11"/>
    <w:rsid w:val="00C6240D"/>
    <w:rsid w:val="00CE6177"/>
    <w:rsid w:val="00CF56A7"/>
    <w:rsid w:val="00D3459F"/>
    <w:rsid w:val="00D624F9"/>
    <w:rsid w:val="00D912F4"/>
    <w:rsid w:val="00D92BA3"/>
    <w:rsid w:val="00D9446D"/>
    <w:rsid w:val="00DB77D1"/>
    <w:rsid w:val="00DF51ED"/>
    <w:rsid w:val="00E06F17"/>
    <w:rsid w:val="00E21156"/>
    <w:rsid w:val="00E30B04"/>
    <w:rsid w:val="00E448CF"/>
    <w:rsid w:val="00E52AAB"/>
    <w:rsid w:val="00EA61A8"/>
    <w:rsid w:val="00ED0C28"/>
    <w:rsid w:val="00ED124E"/>
    <w:rsid w:val="00EF70D3"/>
    <w:rsid w:val="00F01667"/>
    <w:rsid w:val="00F21C4B"/>
    <w:rsid w:val="00FE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3043"/>
  <w15:chartTrackingRefBased/>
  <w15:docId w15:val="{784050BD-6521-4837-84A6-EE367F6C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14A"/>
    <w:pPr>
      <w:tabs>
        <w:tab w:val="center" w:pos="4680"/>
        <w:tab w:val="right" w:pos="9360"/>
      </w:tabs>
    </w:pPr>
  </w:style>
  <w:style w:type="character" w:customStyle="1" w:styleId="HeaderChar">
    <w:name w:val="Header Char"/>
    <w:basedOn w:val="DefaultParagraphFont"/>
    <w:link w:val="Header"/>
    <w:uiPriority w:val="99"/>
    <w:rsid w:val="003E014A"/>
  </w:style>
  <w:style w:type="paragraph" w:styleId="Footer">
    <w:name w:val="footer"/>
    <w:basedOn w:val="Normal"/>
    <w:link w:val="FooterChar"/>
    <w:uiPriority w:val="99"/>
    <w:unhideWhenUsed/>
    <w:rsid w:val="003E014A"/>
    <w:pPr>
      <w:tabs>
        <w:tab w:val="center" w:pos="4680"/>
        <w:tab w:val="right" w:pos="9360"/>
      </w:tabs>
    </w:pPr>
  </w:style>
  <w:style w:type="character" w:customStyle="1" w:styleId="FooterChar">
    <w:name w:val="Footer Char"/>
    <w:basedOn w:val="DefaultParagraphFont"/>
    <w:link w:val="Footer"/>
    <w:uiPriority w:val="99"/>
    <w:rsid w:val="003E0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8a38bc-047d-48df-ae50-c323ec2e2e68">
      <Terms xmlns="http://schemas.microsoft.com/office/infopath/2007/PartnerControls"/>
    </lcf76f155ced4ddcb4097134ff3c332f>
    <TaxCatchAll xmlns="b802b072-07da-488b-8c04-2a00d3022e3e" xsi:nil="true"/>
    <Statuscomplete_x003f_ xmlns="718a38bc-047d-48df-ae50-c323ec2e2e68" xsi:nil="true"/>
    <SharedWithUsers xmlns="b802b072-07da-488b-8c04-2a00d3022e3e">
      <UserInfo>
        <DisplayName>Jamie Coleman Wright she/her</DisplayName>
        <AccountId>375</AccountId>
        <AccountType/>
      </UserInfo>
    </SharedWithUsers>
  </documentManagement>
</p:properties>
</file>

<file path=customXml/itemProps1.xml><?xml version="1.0" encoding="utf-8"?>
<ds:datastoreItem xmlns:ds="http://schemas.openxmlformats.org/officeDocument/2006/customXml" ds:itemID="{37AB2D62-2FE9-4F75-AF0B-2F7FF96C22C4}">
  <ds:schemaRefs>
    <ds:schemaRef ds:uri="http://schemas.microsoft.com/sharepoint/v3/contenttype/forms"/>
  </ds:schemaRefs>
</ds:datastoreItem>
</file>

<file path=customXml/itemProps2.xml><?xml version="1.0" encoding="utf-8"?>
<ds:datastoreItem xmlns:ds="http://schemas.openxmlformats.org/officeDocument/2006/customXml" ds:itemID="{FB0D13F2-C813-4D33-BB78-BF19E7E7C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954D4-BECD-42E5-AABE-9A6400B59BE6}">
  <ds:schemaRefs>
    <ds:schemaRef ds:uri="http://schemas.microsoft.com/office/2006/metadata/properties"/>
    <ds:schemaRef ds:uri="http://schemas.microsoft.com/office/infopath/2007/PartnerControls"/>
    <ds:schemaRef ds:uri="718a38bc-047d-48df-ae50-c323ec2e2e68"/>
    <ds:schemaRef ds:uri="b802b072-07da-488b-8c04-2a00d3022e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 Danna K</dc:creator>
  <cp:keywords/>
  <dc:description/>
  <cp:lastModifiedBy>Drum Danna K</cp:lastModifiedBy>
  <cp:revision>3</cp:revision>
  <dcterms:created xsi:type="dcterms:W3CDTF">2023-06-20T21:28:00Z</dcterms:created>
  <dcterms:modified xsi:type="dcterms:W3CDTF">2023-06-20T21:29:00Z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0x010100192690AA99EC684481CE53C525D052D0</vt:lpwstr>
  </property>
</Properties>
</file>