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3B52" w14:textId="7B402334" w:rsidR="004A6574" w:rsidRDefault="00CE56F6" w:rsidP="004A6574">
      <w:pPr>
        <w:contextualSpacing/>
        <w:rPr>
          <w:sz w:val="28"/>
          <w:szCs w:val="28"/>
        </w:rPr>
      </w:pPr>
      <w:r>
        <w:rPr>
          <w:sz w:val="28"/>
          <w:szCs w:val="28"/>
        </w:rPr>
        <w:t>CLHO Systems and Innovation</w:t>
      </w:r>
    </w:p>
    <w:p w14:paraId="418E6016" w14:textId="11ADFEBD" w:rsidR="00CE56F6" w:rsidRDefault="00CE56F6" w:rsidP="004A6574">
      <w:pPr>
        <w:contextualSpacing/>
        <w:rPr>
          <w:sz w:val="28"/>
          <w:szCs w:val="28"/>
        </w:rPr>
      </w:pPr>
      <w:r>
        <w:rPr>
          <w:sz w:val="28"/>
          <w:szCs w:val="28"/>
        </w:rPr>
        <w:t>Public health modernization funding formula indicators</w:t>
      </w:r>
    </w:p>
    <w:p w14:paraId="06397C97" w14:textId="05381461" w:rsidR="007A5010" w:rsidRDefault="007A5010" w:rsidP="004A6574">
      <w:pPr>
        <w:contextualSpacing/>
        <w:rPr>
          <w:sz w:val="28"/>
          <w:szCs w:val="28"/>
        </w:rPr>
      </w:pPr>
      <w:r>
        <w:rPr>
          <w:sz w:val="28"/>
          <w:szCs w:val="28"/>
        </w:rPr>
        <w:t>May 2022</w:t>
      </w:r>
    </w:p>
    <w:p w14:paraId="7B8F965E" w14:textId="77777777" w:rsidR="00527312" w:rsidRDefault="00527312" w:rsidP="004A6574">
      <w:pPr>
        <w:rPr>
          <w:b/>
          <w:bCs/>
          <w:sz w:val="28"/>
          <w:szCs w:val="28"/>
        </w:rPr>
      </w:pPr>
    </w:p>
    <w:p w14:paraId="2899E905" w14:textId="37AE4261" w:rsidR="00896AAE" w:rsidRDefault="00E66FA9" w:rsidP="004A6574">
      <w:pPr>
        <w:rPr>
          <w:b/>
          <w:bCs/>
          <w:sz w:val="28"/>
          <w:szCs w:val="28"/>
        </w:rPr>
      </w:pPr>
      <w:r>
        <w:rPr>
          <w:b/>
          <w:bCs/>
          <w:sz w:val="28"/>
          <w:szCs w:val="28"/>
        </w:rPr>
        <w:t>Background on funding formula indicators</w:t>
      </w:r>
    </w:p>
    <w:p w14:paraId="77DC7CE2" w14:textId="757D15B1" w:rsidR="00E66FA9" w:rsidRPr="00FB4A37" w:rsidRDefault="00E66FA9" w:rsidP="00E66FA9">
      <w:pPr>
        <w:rPr>
          <w:rFonts w:cstheme="minorHAnsi"/>
          <w:bCs/>
          <w:sz w:val="28"/>
          <w:szCs w:val="24"/>
        </w:rPr>
      </w:pPr>
      <w:r w:rsidRPr="00FB4A37">
        <w:rPr>
          <w:rFonts w:cstheme="minorHAnsi"/>
          <w:bCs/>
          <w:sz w:val="28"/>
          <w:szCs w:val="24"/>
        </w:rPr>
        <w:t xml:space="preserve">The indicators are built into the funding formula to allocate funds based on a set of health and demographic indicators, in addition to population size. The indicators are intended to direct funds to areas of the state where there may be greater need for the community to access public health services or the complexity of providing public health services to the community. </w:t>
      </w:r>
    </w:p>
    <w:p w14:paraId="53E2905E" w14:textId="3A064AAE" w:rsidR="00E66FA9" w:rsidRPr="00FB4A37" w:rsidRDefault="00E66FA9" w:rsidP="00E66FA9">
      <w:pPr>
        <w:rPr>
          <w:rFonts w:cstheme="minorHAnsi"/>
          <w:bCs/>
          <w:sz w:val="28"/>
          <w:szCs w:val="24"/>
        </w:rPr>
      </w:pPr>
      <w:r w:rsidRPr="00FB4A37">
        <w:rPr>
          <w:rFonts w:cstheme="minorHAnsi"/>
          <w:bCs/>
          <w:sz w:val="28"/>
          <w:szCs w:val="24"/>
        </w:rPr>
        <w:t>T</w:t>
      </w:r>
      <w:r w:rsidRPr="00FB4A37">
        <w:rPr>
          <w:rFonts w:cstheme="minorHAnsi"/>
          <w:bCs/>
          <w:sz w:val="28"/>
          <w:szCs w:val="24"/>
        </w:rPr>
        <w:t xml:space="preserve">here are two indicators that are statutorily required to be included: health status and burden of disease.  Other indicators were added by PHAB. All indicators are currently weighted equally, with two measures - for poverty and education – combined into one indicator for socioeconomic status. </w:t>
      </w:r>
    </w:p>
    <w:p w14:paraId="4742E2E9" w14:textId="77777777" w:rsidR="00896AAE" w:rsidRDefault="00896AAE" w:rsidP="004A6574">
      <w:pPr>
        <w:rPr>
          <w:b/>
          <w:bCs/>
          <w:sz w:val="28"/>
          <w:szCs w:val="28"/>
        </w:rPr>
      </w:pPr>
    </w:p>
    <w:p w14:paraId="29EF6F0A" w14:textId="73DE4CE0" w:rsidR="00F86EE5" w:rsidRDefault="00F536DA" w:rsidP="004A6574">
      <w:pPr>
        <w:rPr>
          <w:b/>
          <w:bCs/>
          <w:sz w:val="28"/>
          <w:szCs w:val="28"/>
        </w:rPr>
      </w:pPr>
      <w:r>
        <w:rPr>
          <w:b/>
          <w:bCs/>
          <w:sz w:val="28"/>
          <w:szCs w:val="28"/>
        </w:rPr>
        <w:t>PHAB Incentives and Funding subcom</w:t>
      </w:r>
      <w:r w:rsidR="00896AAE">
        <w:rPr>
          <w:b/>
          <w:bCs/>
          <w:sz w:val="28"/>
          <w:szCs w:val="28"/>
        </w:rPr>
        <w:t>m</w:t>
      </w:r>
      <w:r>
        <w:rPr>
          <w:b/>
          <w:bCs/>
          <w:sz w:val="28"/>
          <w:szCs w:val="28"/>
        </w:rPr>
        <w:t>ittee</w:t>
      </w:r>
      <w:r w:rsidR="000975D6">
        <w:rPr>
          <w:b/>
          <w:bCs/>
          <w:sz w:val="28"/>
          <w:szCs w:val="28"/>
        </w:rPr>
        <w:t xml:space="preserve"> </w:t>
      </w:r>
      <w:r w:rsidR="00FB4A37">
        <w:rPr>
          <w:b/>
          <w:bCs/>
          <w:sz w:val="28"/>
          <w:szCs w:val="28"/>
        </w:rPr>
        <w:t xml:space="preserve">5/13 </w:t>
      </w:r>
      <w:r w:rsidR="000975D6">
        <w:rPr>
          <w:b/>
          <w:bCs/>
          <w:sz w:val="28"/>
          <w:szCs w:val="28"/>
        </w:rPr>
        <w:t>discussion</w:t>
      </w:r>
    </w:p>
    <w:p w14:paraId="394ED182" w14:textId="69493BFB" w:rsidR="00045DE7" w:rsidRDefault="00045DE7" w:rsidP="00F536DA">
      <w:pPr>
        <w:pStyle w:val="ListParagraph"/>
        <w:numPr>
          <w:ilvl w:val="0"/>
          <w:numId w:val="13"/>
        </w:numPr>
        <w:rPr>
          <w:rStyle w:val="markedcontent"/>
          <w:sz w:val="28"/>
          <w:szCs w:val="28"/>
        </w:rPr>
      </w:pPr>
      <w:r w:rsidRPr="00F536DA">
        <w:rPr>
          <w:rStyle w:val="markedcontent"/>
          <w:sz w:val="28"/>
          <w:szCs w:val="28"/>
        </w:rPr>
        <w:t>Does th</w:t>
      </w:r>
      <w:r w:rsidR="000975D6">
        <w:rPr>
          <w:rStyle w:val="markedcontent"/>
          <w:sz w:val="28"/>
          <w:szCs w:val="28"/>
        </w:rPr>
        <w:t>e PHAB</w:t>
      </w:r>
      <w:r w:rsidRPr="00F536DA">
        <w:rPr>
          <w:rStyle w:val="markedcontent"/>
          <w:sz w:val="28"/>
          <w:szCs w:val="28"/>
        </w:rPr>
        <w:t xml:space="preserve"> subcommittee recommend changing indicators or reducing the number of indicators?</w:t>
      </w:r>
    </w:p>
    <w:p w14:paraId="6C3E7553" w14:textId="1240AF81" w:rsidR="00E2033C" w:rsidRPr="00384939" w:rsidRDefault="00F74B12" w:rsidP="00CC5FEB">
      <w:pPr>
        <w:pStyle w:val="ListParagraph"/>
        <w:numPr>
          <w:ilvl w:val="0"/>
          <w:numId w:val="14"/>
        </w:numPr>
        <w:rPr>
          <w:rStyle w:val="Hyperlink"/>
          <w:color w:val="auto"/>
          <w:sz w:val="28"/>
          <w:szCs w:val="28"/>
          <w:u w:val="none"/>
        </w:rPr>
      </w:pPr>
      <w:r w:rsidRPr="00384939">
        <w:rPr>
          <w:rStyle w:val="markedcontent"/>
          <w:sz w:val="28"/>
          <w:szCs w:val="28"/>
        </w:rPr>
        <w:t>Consider adding an indicator for seasonal workers.</w:t>
      </w:r>
      <w:r w:rsidR="00384939">
        <w:rPr>
          <w:rStyle w:val="markedcontent"/>
          <w:sz w:val="28"/>
          <w:szCs w:val="28"/>
        </w:rPr>
        <w:t xml:space="preserve"> </w:t>
      </w:r>
      <w:hyperlink r:id="rId10" w:history="1">
        <w:r w:rsidR="00E2033C" w:rsidRPr="00384939">
          <w:rPr>
            <w:rStyle w:val="Hyperlink"/>
            <w:rFonts w:cstheme="minorHAnsi"/>
            <w:bCs/>
            <w:sz w:val="28"/>
            <w:szCs w:val="28"/>
          </w:rPr>
          <w:t>https://www.oregon.gov/oha/HPA/HP-PCO/Documents/201</w:t>
        </w:r>
        <w:r w:rsidR="00E2033C" w:rsidRPr="00384939">
          <w:rPr>
            <w:rStyle w:val="Hyperlink"/>
            <w:rFonts w:cstheme="minorHAnsi"/>
            <w:bCs/>
            <w:sz w:val="28"/>
            <w:szCs w:val="28"/>
          </w:rPr>
          <w:t>8</w:t>
        </w:r>
        <w:r w:rsidR="00E2033C" w:rsidRPr="00384939">
          <w:rPr>
            <w:rStyle w:val="Hyperlink"/>
            <w:rFonts w:cstheme="minorHAnsi"/>
            <w:bCs/>
            <w:sz w:val="28"/>
            <w:szCs w:val="28"/>
          </w:rPr>
          <w:t>%20Updates%20to%20MSFW%20Enumberation%20Studies%20Report.pdf</w:t>
        </w:r>
      </w:hyperlink>
    </w:p>
    <w:p w14:paraId="1EE530E4" w14:textId="527CB665" w:rsidR="00384939" w:rsidRPr="00DD5ED6" w:rsidRDefault="00262B00" w:rsidP="00CC5FEB">
      <w:pPr>
        <w:pStyle w:val="ListParagraph"/>
        <w:numPr>
          <w:ilvl w:val="0"/>
          <w:numId w:val="14"/>
        </w:numPr>
        <w:rPr>
          <w:rStyle w:val="Hyperlink"/>
          <w:color w:val="auto"/>
          <w:sz w:val="28"/>
          <w:szCs w:val="28"/>
          <w:u w:val="none"/>
        </w:rPr>
      </w:pPr>
      <w:r w:rsidRPr="00262B00">
        <w:rPr>
          <w:rStyle w:val="Hyperlink"/>
          <w:rFonts w:cstheme="minorHAnsi"/>
          <w:bCs/>
          <w:color w:val="auto"/>
          <w:sz w:val="28"/>
          <w:szCs w:val="28"/>
          <w:u w:val="none"/>
        </w:rPr>
        <w:t xml:space="preserve">Consider adding an indicator for access to health care. </w:t>
      </w:r>
    </w:p>
    <w:p w14:paraId="316E9BA3" w14:textId="77777777" w:rsidR="00DD5ED6" w:rsidRPr="007F1574" w:rsidRDefault="00DD5ED6" w:rsidP="00DD5ED6">
      <w:pPr>
        <w:pStyle w:val="ListParagraph"/>
        <w:numPr>
          <w:ilvl w:val="0"/>
          <w:numId w:val="14"/>
        </w:numPr>
        <w:rPr>
          <w:sz w:val="28"/>
          <w:szCs w:val="28"/>
        </w:rPr>
      </w:pPr>
      <w:r w:rsidRPr="007F1574">
        <w:rPr>
          <w:sz w:val="28"/>
          <w:szCs w:val="28"/>
        </w:rPr>
        <w:t>Recommendation for OHA staff to look for Oregon data sources that are more sensitive or timely than national data sources.</w:t>
      </w:r>
    </w:p>
    <w:p w14:paraId="565BCB98" w14:textId="00174A80" w:rsidR="00DD5ED6" w:rsidRDefault="00DD5ED6" w:rsidP="00DD5ED6">
      <w:pPr>
        <w:pStyle w:val="ListParagraph"/>
        <w:numPr>
          <w:ilvl w:val="0"/>
          <w:numId w:val="14"/>
        </w:numPr>
        <w:rPr>
          <w:sz w:val="28"/>
          <w:szCs w:val="28"/>
        </w:rPr>
      </w:pPr>
      <w:r w:rsidRPr="00072949">
        <w:rPr>
          <w:sz w:val="28"/>
          <w:szCs w:val="28"/>
        </w:rPr>
        <w:t>Could PHAB substitute the percent of the population eligible for SNAP or Medicaid in place of “% of population living below 150% of FPL”</w:t>
      </w:r>
    </w:p>
    <w:p w14:paraId="3E1C5CE9" w14:textId="764BE440" w:rsidR="0073325F" w:rsidRDefault="0073325F" w:rsidP="00DD5ED6">
      <w:pPr>
        <w:pStyle w:val="ListParagraph"/>
        <w:numPr>
          <w:ilvl w:val="0"/>
          <w:numId w:val="14"/>
        </w:numPr>
        <w:rPr>
          <w:sz w:val="28"/>
          <w:szCs w:val="28"/>
        </w:rPr>
      </w:pPr>
      <w:r>
        <w:rPr>
          <w:sz w:val="28"/>
          <w:szCs w:val="28"/>
        </w:rPr>
        <w:t>Rurality indicators:</w:t>
      </w:r>
      <w:r w:rsidRPr="0073325F">
        <w:rPr>
          <w:sz w:val="32"/>
          <w:szCs w:val="32"/>
        </w:rPr>
        <w:t xml:space="preserve"> </w:t>
      </w:r>
      <w:hyperlink r:id="rId11" w:history="1">
        <w:r w:rsidRPr="0073325F">
          <w:rPr>
            <w:rStyle w:val="Hyperlink"/>
            <w:rFonts w:cstheme="minorHAnsi"/>
            <w:bCs/>
            <w:sz w:val="28"/>
            <w:szCs w:val="24"/>
          </w:rPr>
          <w:t>https://ruralstudies.oregonstate.edu/</w:t>
        </w:r>
      </w:hyperlink>
    </w:p>
    <w:p w14:paraId="34685735" w14:textId="77777777" w:rsidR="00DD5ED6" w:rsidRPr="00DD5ED6" w:rsidRDefault="00DD5ED6" w:rsidP="00DD5ED6">
      <w:pPr>
        <w:pStyle w:val="ListParagraph"/>
        <w:ind w:left="1080"/>
        <w:rPr>
          <w:rStyle w:val="markedcontent"/>
          <w:sz w:val="28"/>
          <w:szCs w:val="28"/>
        </w:rPr>
      </w:pPr>
    </w:p>
    <w:p w14:paraId="3ACACCD8" w14:textId="48CF6C10" w:rsidR="00045DE7" w:rsidRPr="00F536DA" w:rsidRDefault="00045DE7" w:rsidP="00F536DA">
      <w:pPr>
        <w:pStyle w:val="ListParagraph"/>
        <w:numPr>
          <w:ilvl w:val="0"/>
          <w:numId w:val="13"/>
        </w:numPr>
        <w:rPr>
          <w:rStyle w:val="markedcontent"/>
          <w:sz w:val="28"/>
          <w:szCs w:val="28"/>
        </w:rPr>
      </w:pPr>
      <w:r w:rsidRPr="00F536DA">
        <w:rPr>
          <w:rStyle w:val="markedcontent"/>
          <w:sz w:val="28"/>
          <w:szCs w:val="28"/>
        </w:rPr>
        <w:t>Does th</w:t>
      </w:r>
      <w:r w:rsidR="000975D6">
        <w:rPr>
          <w:rStyle w:val="markedcontent"/>
          <w:sz w:val="28"/>
          <w:szCs w:val="28"/>
        </w:rPr>
        <w:t>e PHAB</w:t>
      </w:r>
      <w:r w:rsidRPr="00F536DA">
        <w:rPr>
          <w:rStyle w:val="markedcontent"/>
          <w:sz w:val="28"/>
          <w:szCs w:val="28"/>
        </w:rPr>
        <w:t xml:space="preserve"> subcommittee recommend weighting certain indicators more heavily?</w:t>
      </w:r>
    </w:p>
    <w:p w14:paraId="5154A98B" w14:textId="0B9077C1" w:rsidR="00072949" w:rsidRDefault="002902A5" w:rsidP="00095DDA">
      <w:pPr>
        <w:pStyle w:val="ListParagraph"/>
        <w:numPr>
          <w:ilvl w:val="0"/>
          <w:numId w:val="14"/>
        </w:numPr>
        <w:rPr>
          <w:sz w:val="28"/>
          <w:szCs w:val="28"/>
        </w:rPr>
      </w:pPr>
      <w:r w:rsidRPr="0004203A">
        <w:rPr>
          <w:sz w:val="28"/>
          <w:szCs w:val="28"/>
        </w:rPr>
        <w:lastRenderedPageBreak/>
        <w:t xml:space="preserve">Consider emphasizing socioeconomic status, but not sure what to de-emphasize. </w:t>
      </w:r>
    </w:p>
    <w:p w14:paraId="2D93371C" w14:textId="2FFA8CF2" w:rsidR="00BA0360" w:rsidRDefault="00BA0360" w:rsidP="00095DDA">
      <w:pPr>
        <w:pStyle w:val="ListParagraph"/>
        <w:numPr>
          <w:ilvl w:val="0"/>
          <w:numId w:val="14"/>
        </w:numPr>
        <w:rPr>
          <w:sz w:val="28"/>
          <w:szCs w:val="28"/>
        </w:rPr>
      </w:pPr>
      <w:r>
        <w:rPr>
          <w:sz w:val="28"/>
          <w:szCs w:val="28"/>
        </w:rPr>
        <w:t>Changing weights likely won’t make a significant difference in funding to any LPHA.</w:t>
      </w:r>
    </w:p>
    <w:p w14:paraId="069CAAE0" w14:textId="7E425FB7" w:rsidR="00987B72" w:rsidRPr="008B7CAD" w:rsidRDefault="00987B72" w:rsidP="008B7CAD">
      <w:pPr>
        <w:pStyle w:val="ListParagraph"/>
        <w:numPr>
          <w:ilvl w:val="0"/>
          <w:numId w:val="14"/>
        </w:numPr>
        <w:rPr>
          <w:sz w:val="28"/>
          <w:szCs w:val="28"/>
        </w:rPr>
      </w:pPr>
      <w:r>
        <w:rPr>
          <w:sz w:val="28"/>
          <w:szCs w:val="28"/>
        </w:rPr>
        <w:t>Consider weighting the two required indicators lower</w:t>
      </w:r>
      <w:r w:rsidR="008B7CAD">
        <w:rPr>
          <w:sz w:val="28"/>
          <w:szCs w:val="28"/>
        </w:rPr>
        <w:t>. (5% for required indicators, 18% for all others).</w:t>
      </w:r>
    </w:p>
    <w:p w14:paraId="7187AE29" w14:textId="77777777" w:rsidR="008B7CAD" w:rsidRDefault="008B7CAD">
      <w:pPr>
        <w:rPr>
          <w:rStyle w:val="markedcontent"/>
          <w:sz w:val="28"/>
          <w:szCs w:val="28"/>
          <w:u w:val="single"/>
        </w:rPr>
      </w:pPr>
    </w:p>
    <w:p w14:paraId="73A99A84" w14:textId="77777777" w:rsidR="008B7CAD" w:rsidRPr="00C258A5" w:rsidRDefault="008B7CAD">
      <w:pPr>
        <w:rPr>
          <w:rStyle w:val="markedcontent"/>
          <w:b/>
          <w:bCs/>
          <w:sz w:val="28"/>
          <w:szCs w:val="28"/>
        </w:rPr>
      </w:pPr>
      <w:r w:rsidRPr="00C258A5">
        <w:rPr>
          <w:rStyle w:val="markedcontent"/>
          <w:b/>
          <w:bCs/>
          <w:sz w:val="28"/>
          <w:szCs w:val="28"/>
        </w:rPr>
        <w:t>Questions for CLHO Systems and Innovation</w:t>
      </w:r>
    </w:p>
    <w:p w14:paraId="3EF29B86" w14:textId="77777777" w:rsidR="008A624E" w:rsidRDefault="008B7CAD" w:rsidP="008B7CAD">
      <w:pPr>
        <w:pStyle w:val="ListParagraph"/>
        <w:numPr>
          <w:ilvl w:val="0"/>
          <w:numId w:val="15"/>
        </w:numPr>
        <w:rPr>
          <w:rStyle w:val="markedcontent"/>
          <w:sz w:val="28"/>
          <w:szCs w:val="28"/>
        </w:rPr>
      </w:pPr>
      <w:r>
        <w:rPr>
          <w:rStyle w:val="markedcontent"/>
          <w:sz w:val="28"/>
          <w:szCs w:val="28"/>
        </w:rPr>
        <w:t>Suggestions for Oregon data sources</w:t>
      </w:r>
      <w:r w:rsidR="008A624E">
        <w:rPr>
          <w:rStyle w:val="markedcontent"/>
          <w:sz w:val="28"/>
          <w:szCs w:val="28"/>
        </w:rPr>
        <w:t>?</w:t>
      </w:r>
    </w:p>
    <w:p w14:paraId="163C6EBB" w14:textId="75D16FFD" w:rsidR="008A624E" w:rsidRDefault="008A624E" w:rsidP="008B7CAD">
      <w:pPr>
        <w:pStyle w:val="ListParagraph"/>
        <w:numPr>
          <w:ilvl w:val="0"/>
          <w:numId w:val="15"/>
        </w:numPr>
        <w:rPr>
          <w:rStyle w:val="markedcontent"/>
          <w:sz w:val="28"/>
          <w:szCs w:val="28"/>
        </w:rPr>
      </w:pPr>
      <w:r>
        <w:rPr>
          <w:rStyle w:val="markedcontent"/>
          <w:sz w:val="28"/>
          <w:szCs w:val="28"/>
        </w:rPr>
        <w:t>What is the committee’s input on whether PHAB should consider adding indicators?</w:t>
      </w:r>
    </w:p>
    <w:p w14:paraId="2CCC9E6D" w14:textId="77777777" w:rsidR="000972C1" w:rsidRDefault="000972C1" w:rsidP="008B7CAD">
      <w:pPr>
        <w:pStyle w:val="ListParagraph"/>
        <w:numPr>
          <w:ilvl w:val="0"/>
          <w:numId w:val="15"/>
        </w:numPr>
        <w:rPr>
          <w:rStyle w:val="markedcontent"/>
          <w:sz w:val="28"/>
          <w:szCs w:val="28"/>
        </w:rPr>
      </w:pPr>
      <w:r>
        <w:rPr>
          <w:rStyle w:val="markedcontent"/>
          <w:sz w:val="28"/>
          <w:szCs w:val="28"/>
        </w:rPr>
        <w:t>What is the committee’s input on whether PHAB should weight certain indicators more heavily? Which would the committee recommend prioritizing?</w:t>
      </w:r>
    </w:p>
    <w:p w14:paraId="3162EE80" w14:textId="686BD62E" w:rsidR="00045DE7" w:rsidRPr="008B7CAD" w:rsidRDefault="00FB4A37" w:rsidP="008B7CAD">
      <w:pPr>
        <w:pStyle w:val="ListParagraph"/>
        <w:numPr>
          <w:ilvl w:val="0"/>
          <w:numId w:val="15"/>
        </w:numPr>
        <w:rPr>
          <w:rStyle w:val="markedcontent"/>
          <w:sz w:val="28"/>
          <w:szCs w:val="28"/>
        </w:rPr>
      </w:pPr>
      <w:r>
        <w:rPr>
          <w:rStyle w:val="markedcontent"/>
          <w:sz w:val="28"/>
          <w:szCs w:val="28"/>
        </w:rPr>
        <w:t>Has the input provided by LPHA administrators through the funding formula survey been sufficiently addressed? Are there other things PHAB Incentives and Funding should address?</w:t>
      </w:r>
      <w:r w:rsidR="00045DE7" w:rsidRPr="008B7CAD">
        <w:rPr>
          <w:rStyle w:val="markedcontent"/>
          <w:sz w:val="28"/>
          <w:szCs w:val="28"/>
        </w:rPr>
        <w:br w:type="page"/>
      </w:r>
    </w:p>
    <w:tbl>
      <w:tblPr>
        <w:tblStyle w:val="ListTable4-Accent11"/>
        <w:tblW w:w="0" w:type="auto"/>
        <w:tblLook w:val="04A0" w:firstRow="1" w:lastRow="0" w:firstColumn="1" w:lastColumn="0" w:noHBand="0" w:noVBand="1"/>
      </w:tblPr>
      <w:tblGrid>
        <w:gridCol w:w="1740"/>
        <w:gridCol w:w="2420"/>
        <w:gridCol w:w="1402"/>
        <w:gridCol w:w="1986"/>
        <w:gridCol w:w="1802"/>
      </w:tblGrid>
      <w:tr w:rsidR="006A6A63" w:rsidRPr="00D30B16" w14:paraId="4428E64F" w14:textId="77777777" w:rsidTr="00257A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4FCE32CB" w14:textId="77777777" w:rsidR="006A6A63" w:rsidRPr="00D30B16" w:rsidRDefault="006A6A63" w:rsidP="00257A75">
            <w:pPr>
              <w:rPr>
                <w:sz w:val="24"/>
              </w:rPr>
            </w:pPr>
          </w:p>
        </w:tc>
        <w:tc>
          <w:tcPr>
            <w:tcW w:w="2420" w:type="dxa"/>
          </w:tcPr>
          <w:p w14:paraId="347F677E" w14:textId="77777777" w:rsidR="006A6A63" w:rsidRPr="00D30B16" w:rsidRDefault="006A6A63" w:rsidP="00257A75">
            <w:pPr>
              <w:cnfStyle w:val="100000000000" w:firstRow="1" w:lastRow="0" w:firstColumn="0" w:lastColumn="0" w:oddVBand="0" w:evenVBand="0" w:oddHBand="0" w:evenHBand="0" w:firstRowFirstColumn="0" w:firstRowLastColumn="0" w:lastRowFirstColumn="0" w:lastRowLastColumn="0"/>
              <w:rPr>
                <w:sz w:val="24"/>
              </w:rPr>
            </w:pPr>
            <w:r w:rsidRPr="00D30B16">
              <w:rPr>
                <w:sz w:val="24"/>
              </w:rPr>
              <w:t>Measure</w:t>
            </w:r>
          </w:p>
        </w:tc>
        <w:tc>
          <w:tcPr>
            <w:tcW w:w="1402" w:type="dxa"/>
          </w:tcPr>
          <w:p w14:paraId="16B22D22" w14:textId="77777777" w:rsidR="006A6A63" w:rsidRPr="00D30B16" w:rsidRDefault="006A6A63" w:rsidP="00257A75">
            <w:pPr>
              <w:cnfStyle w:val="100000000000" w:firstRow="1" w:lastRow="0" w:firstColumn="0" w:lastColumn="0" w:oddVBand="0" w:evenVBand="0" w:oddHBand="0" w:evenHBand="0" w:firstRowFirstColumn="0" w:firstRowLastColumn="0" w:lastRowFirstColumn="0" w:lastRowLastColumn="0"/>
              <w:rPr>
                <w:sz w:val="24"/>
              </w:rPr>
            </w:pPr>
            <w:r w:rsidRPr="00D30B16">
              <w:rPr>
                <w:sz w:val="24"/>
              </w:rPr>
              <w:t>Indicator required by statute?</w:t>
            </w:r>
          </w:p>
        </w:tc>
        <w:tc>
          <w:tcPr>
            <w:tcW w:w="1986" w:type="dxa"/>
          </w:tcPr>
          <w:p w14:paraId="4C7A3B75" w14:textId="77777777" w:rsidR="006A6A63" w:rsidRPr="00D30B16" w:rsidRDefault="006A6A63" w:rsidP="00257A75">
            <w:pPr>
              <w:cnfStyle w:val="100000000000" w:firstRow="1" w:lastRow="0" w:firstColumn="0" w:lastColumn="0" w:oddVBand="0" w:evenVBand="0" w:oddHBand="0" w:evenHBand="0" w:firstRowFirstColumn="0" w:firstRowLastColumn="0" w:lastRowFirstColumn="0" w:lastRowLastColumn="0"/>
              <w:rPr>
                <w:sz w:val="24"/>
              </w:rPr>
            </w:pPr>
            <w:r w:rsidRPr="00D30B16">
              <w:rPr>
                <w:sz w:val="24"/>
              </w:rPr>
              <w:t>Data source</w:t>
            </w:r>
          </w:p>
        </w:tc>
        <w:tc>
          <w:tcPr>
            <w:tcW w:w="1802" w:type="dxa"/>
          </w:tcPr>
          <w:p w14:paraId="0847C3A3" w14:textId="77777777" w:rsidR="006A6A63" w:rsidRPr="00D30B16" w:rsidRDefault="006A6A63" w:rsidP="00257A75">
            <w:pPr>
              <w:cnfStyle w:val="100000000000" w:firstRow="1" w:lastRow="0" w:firstColumn="0" w:lastColumn="0" w:oddVBand="0" w:evenVBand="0" w:oddHBand="0" w:evenHBand="0" w:firstRowFirstColumn="0" w:firstRowLastColumn="0" w:lastRowFirstColumn="0" w:lastRowLastColumn="0"/>
              <w:rPr>
                <w:sz w:val="24"/>
              </w:rPr>
            </w:pPr>
            <w:r w:rsidRPr="00D30B16">
              <w:rPr>
                <w:sz w:val="24"/>
              </w:rPr>
              <w:t>Percent allocation</w:t>
            </w:r>
          </w:p>
        </w:tc>
      </w:tr>
      <w:tr w:rsidR="006A6A63" w:rsidRPr="00D30B16" w14:paraId="3ECC9ECA" w14:textId="77777777" w:rsidTr="002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701830F9" w14:textId="77777777" w:rsidR="006A6A63" w:rsidRPr="00D30B16" w:rsidRDefault="006A6A63" w:rsidP="00257A75">
            <w:pPr>
              <w:rPr>
                <w:sz w:val="24"/>
              </w:rPr>
            </w:pPr>
            <w:r w:rsidRPr="00D30B16">
              <w:rPr>
                <w:sz w:val="24"/>
              </w:rPr>
              <w:t xml:space="preserve">Burden of disease </w:t>
            </w:r>
          </w:p>
        </w:tc>
        <w:tc>
          <w:tcPr>
            <w:tcW w:w="2420" w:type="dxa"/>
          </w:tcPr>
          <w:p w14:paraId="6B1BBD36"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szCs w:val="24"/>
              </w:rPr>
            </w:pPr>
            <w:r w:rsidRPr="00D30B16">
              <w:rPr>
                <w:sz w:val="24"/>
                <w:szCs w:val="24"/>
              </w:rPr>
              <w:t>Premature death: Leading causes of years of potential life lost before age 75.</w:t>
            </w:r>
          </w:p>
        </w:tc>
        <w:tc>
          <w:tcPr>
            <w:tcW w:w="1402" w:type="dxa"/>
          </w:tcPr>
          <w:p w14:paraId="2236AB18"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Yes</w:t>
            </w:r>
          </w:p>
        </w:tc>
        <w:tc>
          <w:tcPr>
            <w:tcW w:w="1986" w:type="dxa"/>
          </w:tcPr>
          <w:p w14:paraId="264E6F8B"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Oregon death certificate data</w:t>
            </w:r>
          </w:p>
        </w:tc>
        <w:tc>
          <w:tcPr>
            <w:tcW w:w="1802" w:type="dxa"/>
          </w:tcPr>
          <w:p w14:paraId="2A19E756"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16.67%%</w:t>
            </w:r>
          </w:p>
        </w:tc>
      </w:tr>
      <w:tr w:rsidR="006A6A63" w:rsidRPr="00D30B16" w14:paraId="073C6F26" w14:textId="77777777" w:rsidTr="00257A75">
        <w:tc>
          <w:tcPr>
            <w:cnfStyle w:val="001000000000" w:firstRow="0" w:lastRow="0" w:firstColumn="1" w:lastColumn="0" w:oddVBand="0" w:evenVBand="0" w:oddHBand="0" w:evenHBand="0" w:firstRowFirstColumn="0" w:firstRowLastColumn="0" w:lastRowFirstColumn="0" w:lastRowLastColumn="0"/>
            <w:tcW w:w="1740" w:type="dxa"/>
          </w:tcPr>
          <w:p w14:paraId="4AF48F56" w14:textId="77777777" w:rsidR="006A6A63" w:rsidRPr="00D30B16" w:rsidRDefault="006A6A63" w:rsidP="00257A75">
            <w:pPr>
              <w:rPr>
                <w:sz w:val="24"/>
              </w:rPr>
            </w:pPr>
            <w:r w:rsidRPr="00D30B16">
              <w:rPr>
                <w:sz w:val="24"/>
              </w:rPr>
              <w:t>Health status</w:t>
            </w:r>
          </w:p>
        </w:tc>
        <w:tc>
          <w:tcPr>
            <w:tcW w:w="2420" w:type="dxa"/>
          </w:tcPr>
          <w:p w14:paraId="232BBBEC"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szCs w:val="24"/>
              </w:rPr>
              <w:t>Quality of life: Good or excellent health.</w:t>
            </w:r>
          </w:p>
        </w:tc>
        <w:tc>
          <w:tcPr>
            <w:tcW w:w="1402" w:type="dxa"/>
          </w:tcPr>
          <w:p w14:paraId="5FD512DE"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Yes</w:t>
            </w:r>
          </w:p>
        </w:tc>
        <w:tc>
          <w:tcPr>
            <w:tcW w:w="1986" w:type="dxa"/>
          </w:tcPr>
          <w:p w14:paraId="0C41A917"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Behavioral Risk Factor Surveillance System</w:t>
            </w:r>
          </w:p>
        </w:tc>
        <w:tc>
          <w:tcPr>
            <w:tcW w:w="1802" w:type="dxa"/>
          </w:tcPr>
          <w:p w14:paraId="4E00940C"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16.67%</w:t>
            </w:r>
          </w:p>
        </w:tc>
      </w:tr>
      <w:tr w:rsidR="006A6A63" w:rsidRPr="00D30B16" w14:paraId="02DE414C" w14:textId="77777777" w:rsidTr="002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3480AFAA" w14:textId="77777777" w:rsidR="006A6A63" w:rsidRPr="00D30B16" w:rsidRDefault="006A6A63" w:rsidP="00257A75">
            <w:pPr>
              <w:rPr>
                <w:sz w:val="24"/>
              </w:rPr>
            </w:pPr>
            <w:r w:rsidRPr="00D30B16">
              <w:rPr>
                <w:sz w:val="24"/>
              </w:rPr>
              <w:t>Racial and ethnic diversity</w:t>
            </w:r>
          </w:p>
        </w:tc>
        <w:tc>
          <w:tcPr>
            <w:tcW w:w="2420" w:type="dxa"/>
          </w:tcPr>
          <w:p w14:paraId="47DFE2B3"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szCs w:val="24"/>
              </w:rPr>
            </w:pPr>
            <w:r w:rsidRPr="00D30B16">
              <w:rPr>
                <w:sz w:val="24"/>
                <w:szCs w:val="24"/>
              </w:rPr>
              <w:t>Percent of population not categorized as “White alone”.</w:t>
            </w:r>
          </w:p>
        </w:tc>
        <w:tc>
          <w:tcPr>
            <w:tcW w:w="1402" w:type="dxa"/>
          </w:tcPr>
          <w:p w14:paraId="7308D3FA"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No</w:t>
            </w:r>
          </w:p>
        </w:tc>
        <w:tc>
          <w:tcPr>
            <w:tcW w:w="1986" w:type="dxa"/>
          </w:tcPr>
          <w:p w14:paraId="34B90DB0"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szCs w:val="24"/>
              </w:rPr>
            </w:pPr>
            <w:r w:rsidRPr="00D30B16">
              <w:rPr>
                <w:sz w:val="24"/>
                <w:szCs w:val="24"/>
              </w:rPr>
              <w:t>U.S. Census Bureau, American Community Survey population five-year estimate</w:t>
            </w:r>
          </w:p>
        </w:tc>
        <w:tc>
          <w:tcPr>
            <w:tcW w:w="1802" w:type="dxa"/>
          </w:tcPr>
          <w:p w14:paraId="3A4EFA1F"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16.67%</w:t>
            </w:r>
          </w:p>
        </w:tc>
      </w:tr>
      <w:tr w:rsidR="006A6A63" w:rsidRPr="00D30B16" w14:paraId="6B7103EF" w14:textId="77777777" w:rsidTr="00257A75">
        <w:tc>
          <w:tcPr>
            <w:cnfStyle w:val="001000000000" w:firstRow="0" w:lastRow="0" w:firstColumn="1" w:lastColumn="0" w:oddVBand="0" w:evenVBand="0" w:oddHBand="0" w:evenHBand="0" w:firstRowFirstColumn="0" w:firstRowLastColumn="0" w:lastRowFirstColumn="0" w:lastRowLastColumn="0"/>
            <w:tcW w:w="1740" w:type="dxa"/>
          </w:tcPr>
          <w:p w14:paraId="237B9F68" w14:textId="77777777" w:rsidR="006A6A63" w:rsidRPr="00D30B16" w:rsidRDefault="006A6A63" w:rsidP="00257A75">
            <w:pPr>
              <w:rPr>
                <w:sz w:val="24"/>
              </w:rPr>
            </w:pPr>
            <w:r w:rsidRPr="00D30B16">
              <w:rPr>
                <w:sz w:val="24"/>
              </w:rPr>
              <w:t>Poverty**</w:t>
            </w:r>
          </w:p>
        </w:tc>
        <w:tc>
          <w:tcPr>
            <w:tcW w:w="2420" w:type="dxa"/>
          </w:tcPr>
          <w:p w14:paraId="589F255C"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szCs w:val="24"/>
              </w:rPr>
              <w:t>Percent of population living below 150% of the federal poverty level in the past 12 months.</w:t>
            </w:r>
          </w:p>
        </w:tc>
        <w:tc>
          <w:tcPr>
            <w:tcW w:w="1402" w:type="dxa"/>
          </w:tcPr>
          <w:p w14:paraId="6C691D53"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No</w:t>
            </w:r>
          </w:p>
        </w:tc>
        <w:tc>
          <w:tcPr>
            <w:tcW w:w="1986" w:type="dxa"/>
          </w:tcPr>
          <w:p w14:paraId="1796F05E"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szCs w:val="24"/>
              </w:rPr>
            </w:pPr>
            <w:r w:rsidRPr="00D30B16">
              <w:rPr>
                <w:sz w:val="24"/>
                <w:szCs w:val="24"/>
              </w:rPr>
              <w:t>U.S. Census Bureau, American Community Survey population five-year estimate</w:t>
            </w:r>
          </w:p>
          <w:p w14:paraId="148FF954"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p>
        </w:tc>
        <w:tc>
          <w:tcPr>
            <w:tcW w:w="1802" w:type="dxa"/>
          </w:tcPr>
          <w:p w14:paraId="725CC150"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8.33%</w:t>
            </w:r>
          </w:p>
        </w:tc>
      </w:tr>
      <w:tr w:rsidR="006A6A63" w:rsidRPr="00D30B16" w14:paraId="6D694522" w14:textId="77777777" w:rsidTr="002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69B0DAFD" w14:textId="77777777" w:rsidR="006A6A63" w:rsidRPr="00D30B16" w:rsidRDefault="006A6A63" w:rsidP="00257A75">
            <w:pPr>
              <w:rPr>
                <w:sz w:val="24"/>
              </w:rPr>
            </w:pPr>
            <w:r w:rsidRPr="00D30B16">
              <w:rPr>
                <w:sz w:val="24"/>
              </w:rPr>
              <w:t>Education**</w:t>
            </w:r>
          </w:p>
        </w:tc>
        <w:tc>
          <w:tcPr>
            <w:tcW w:w="2420" w:type="dxa"/>
          </w:tcPr>
          <w:p w14:paraId="40CDFCCB"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szCs w:val="24"/>
              </w:rPr>
            </w:pPr>
            <w:r w:rsidRPr="00D30B16">
              <w:rPr>
                <w:sz w:val="24"/>
                <w:szCs w:val="24"/>
              </w:rPr>
              <w:t>Percent of population age 25 years and over with less than a high school graduate education level.</w:t>
            </w:r>
          </w:p>
        </w:tc>
        <w:tc>
          <w:tcPr>
            <w:tcW w:w="1402" w:type="dxa"/>
          </w:tcPr>
          <w:p w14:paraId="3967CC44"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No</w:t>
            </w:r>
          </w:p>
        </w:tc>
        <w:tc>
          <w:tcPr>
            <w:tcW w:w="1986" w:type="dxa"/>
          </w:tcPr>
          <w:p w14:paraId="5E142258"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szCs w:val="24"/>
              </w:rPr>
            </w:pPr>
            <w:r w:rsidRPr="00D30B16">
              <w:rPr>
                <w:sz w:val="24"/>
                <w:szCs w:val="24"/>
              </w:rPr>
              <w:t>U.S. Census Bureau, American Community Survey population five-year estimate</w:t>
            </w:r>
          </w:p>
        </w:tc>
        <w:tc>
          <w:tcPr>
            <w:tcW w:w="1802" w:type="dxa"/>
          </w:tcPr>
          <w:p w14:paraId="45767B69"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8.33%</w:t>
            </w:r>
          </w:p>
        </w:tc>
      </w:tr>
      <w:tr w:rsidR="006A6A63" w:rsidRPr="00D30B16" w14:paraId="0389555F" w14:textId="77777777" w:rsidTr="00257A75">
        <w:tc>
          <w:tcPr>
            <w:cnfStyle w:val="001000000000" w:firstRow="0" w:lastRow="0" w:firstColumn="1" w:lastColumn="0" w:oddVBand="0" w:evenVBand="0" w:oddHBand="0" w:evenHBand="0" w:firstRowFirstColumn="0" w:firstRowLastColumn="0" w:lastRowFirstColumn="0" w:lastRowLastColumn="0"/>
            <w:tcW w:w="1740" w:type="dxa"/>
          </w:tcPr>
          <w:p w14:paraId="7A8E08F5" w14:textId="77777777" w:rsidR="006A6A63" w:rsidRPr="00D30B16" w:rsidRDefault="006A6A63" w:rsidP="00257A75">
            <w:pPr>
              <w:rPr>
                <w:sz w:val="24"/>
              </w:rPr>
            </w:pPr>
            <w:r w:rsidRPr="00D30B16">
              <w:rPr>
                <w:sz w:val="24"/>
              </w:rPr>
              <w:t>Limited English proficiency</w:t>
            </w:r>
          </w:p>
        </w:tc>
        <w:tc>
          <w:tcPr>
            <w:tcW w:w="2420" w:type="dxa"/>
          </w:tcPr>
          <w:p w14:paraId="35FA9684"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szCs w:val="24"/>
              </w:rPr>
              <w:t>Percent of population age 5 years and over that speaks English less than “very well”.</w:t>
            </w:r>
          </w:p>
        </w:tc>
        <w:tc>
          <w:tcPr>
            <w:tcW w:w="1402" w:type="dxa"/>
          </w:tcPr>
          <w:p w14:paraId="696D1500"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No</w:t>
            </w:r>
          </w:p>
        </w:tc>
        <w:tc>
          <w:tcPr>
            <w:tcW w:w="1986" w:type="dxa"/>
          </w:tcPr>
          <w:p w14:paraId="18CB930B"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szCs w:val="24"/>
              </w:rPr>
              <w:t>U.S. Census Bureau, American Community Survey population five-year estimate</w:t>
            </w:r>
          </w:p>
        </w:tc>
        <w:tc>
          <w:tcPr>
            <w:tcW w:w="1802" w:type="dxa"/>
          </w:tcPr>
          <w:p w14:paraId="54D4D201"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16.67%</w:t>
            </w:r>
          </w:p>
        </w:tc>
      </w:tr>
      <w:tr w:rsidR="006A6A63" w:rsidRPr="00D30B16" w14:paraId="309D5E57" w14:textId="77777777" w:rsidTr="002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469CCB4B" w14:textId="35708A11" w:rsidR="006A6A63" w:rsidRPr="00D30B16" w:rsidRDefault="006A6A63" w:rsidP="00257A75">
            <w:pPr>
              <w:rPr>
                <w:sz w:val="24"/>
              </w:rPr>
            </w:pPr>
            <w:r w:rsidRPr="00D30B16">
              <w:rPr>
                <w:sz w:val="24"/>
              </w:rPr>
              <w:t xml:space="preserve">Rurality </w:t>
            </w:r>
          </w:p>
        </w:tc>
        <w:tc>
          <w:tcPr>
            <w:tcW w:w="2420" w:type="dxa"/>
          </w:tcPr>
          <w:p w14:paraId="082FD56A"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Percent of population living in a rural area</w:t>
            </w:r>
          </w:p>
        </w:tc>
        <w:tc>
          <w:tcPr>
            <w:tcW w:w="1402" w:type="dxa"/>
          </w:tcPr>
          <w:p w14:paraId="2E1AFCD4"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No</w:t>
            </w:r>
          </w:p>
        </w:tc>
        <w:tc>
          <w:tcPr>
            <w:tcW w:w="1986" w:type="dxa"/>
          </w:tcPr>
          <w:p w14:paraId="5C622921"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U.S. Census Bureau Population estimates</w:t>
            </w:r>
          </w:p>
        </w:tc>
        <w:tc>
          <w:tcPr>
            <w:tcW w:w="1802" w:type="dxa"/>
          </w:tcPr>
          <w:p w14:paraId="3CD0C835" w14:textId="77777777" w:rsidR="006A6A63" w:rsidRPr="00D30B16" w:rsidRDefault="006A6A63" w:rsidP="00257A75">
            <w:pPr>
              <w:cnfStyle w:val="000000100000" w:firstRow="0" w:lastRow="0" w:firstColumn="0" w:lastColumn="0" w:oddVBand="0" w:evenVBand="0" w:oddHBand="1" w:evenHBand="0" w:firstRowFirstColumn="0" w:firstRowLastColumn="0" w:lastRowFirstColumn="0" w:lastRowLastColumn="0"/>
              <w:rPr>
                <w:sz w:val="24"/>
              </w:rPr>
            </w:pPr>
            <w:r w:rsidRPr="00D30B16">
              <w:rPr>
                <w:sz w:val="24"/>
              </w:rPr>
              <w:t>16.67%</w:t>
            </w:r>
          </w:p>
        </w:tc>
      </w:tr>
      <w:tr w:rsidR="006A6A63" w:rsidRPr="00D30B16" w14:paraId="16BADACF" w14:textId="77777777" w:rsidTr="00257A75">
        <w:tc>
          <w:tcPr>
            <w:cnfStyle w:val="001000000000" w:firstRow="0" w:lastRow="0" w:firstColumn="1" w:lastColumn="0" w:oddVBand="0" w:evenVBand="0" w:oddHBand="0" w:evenHBand="0" w:firstRowFirstColumn="0" w:firstRowLastColumn="0" w:lastRowFirstColumn="0" w:lastRowLastColumn="0"/>
            <w:tcW w:w="1740" w:type="dxa"/>
          </w:tcPr>
          <w:p w14:paraId="2038F537" w14:textId="798780EF" w:rsidR="006A6A63" w:rsidRPr="00D30B16" w:rsidRDefault="006A6A63" w:rsidP="006A6A63">
            <w:pPr>
              <w:tabs>
                <w:tab w:val="left" w:pos="285"/>
                <w:tab w:val="right" w:pos="1524"/>
              </w:tabs>
              <w:rPr>
                <w:b w:val="0"/>
                <w:sz w:val="24"/>
              </w:rPr>
            </w:pPr>
            <w:r>
              <w:rPr>
                <w:b w:val="0"/>
                <w:sz w:val="24"/>
              </w:rPr>
              <w:tab/>
            </w:r>
            <w:r>
              <w:rPr>
                <w:b w:val="0"/>
                <w:sz w:val="24"/>
              </w:rPr>
              <w:tab/>
            </w:r>
            <w:r w:rsidRPr="00D30B16">
              <w:rPr>
                <w:b w:val="0"/>
                <w:sz w:val="24"/>
              </w:rPr>
              <w:t>Total</w:t>
            </w:r>
          </w:p>
        </w:tc>
        <w:tc>
          <w:tcPr>
            <w:tcW w:w="2420" w:type="dxa"/>
          </w:tcPr>
          <w:p w14:paraId="44240F01"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p>
        </w:tc>
        <w:tc>
          <w:tcPr>
            <w:tcW w:w="1402" w:type="dxa"/>
          </w:tcPr>
          <w:p w14:paraId="366072E7"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p>
        </w:tc>
        <w:tc>
          <w:tcPr>
            <w:tcW w:w="1986" w:type="dxa"/>
          </w:tcPr>
          <w:p w14:paraId="2D24E415"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p>
        </w:tc>
        <w:tc>
          <w:tcPr>
            <w:tcW w:w="1802" w:type="dxa"/>
          </w:tcPr>
          <w:p w14:paraId="7B4EBD23" w14:textId="77777777" w:rsidR="006A6A63" w:rsidRPr="00D30B16" w:rsidRDefault="006A6A63" w:rsidP="00257A75">
            <w:pPr>
              <w:cnfStyle w:val="000000000000" w:firstRow="0" w:lastRow="0" w:firstColumn="0" w:lastColumn="0" w:oddVBand="0" w:evenVBand="0" w:oddHBand="0" w:evenHBand="0" w:firstRowFirstColumn="0" w:firstRowLastColumn="0" w:lastRowFirstColumn="0" w:lastRowLastColumn="0"/>
              <w:rPr>
                <w:sz w:val="24"/>
              </w:rPr>
            </w:pPr>
            <w:r w:rsidRPr="00D30B16">
              <w:rPr>
                <w:sz w:val="24"/>
              </w:rPr>
              <w:t>100%</w:t>
            </w:r>
          </w:p>
        </w:tc>
      </w:tr>
    </w:tbl>
    <w:p w14:paraId="0217AE35" w14:textId="7F86CA1B" w:rsidR="006A6A63" w:rsidRPr="006A6A63" w:rsidRDefault="006A6A63" w:rsidP="00045DE7">
      <w:pPr>
        <w:rPr>
          <w:rStyle w:val="markedcontent"/>
        </w:rPr>
      </w:pPr>
      <w:r w:rsidRPr="006A6A63">
        <w:rPr>
          <w:rStyle w:val="markedcontent"/>
        </w:rPr>
        <w:t>*PHAB recommended including two measures of socioeconomic status for a single indicator</w:t>
      </w:r>
    </w:p>
    <w:p w14:paraId="7ECFF0BF" w14:textId="78F24A42" w:rsidR="00045DE7" w:rsidRPr="00045DE7" w:rsidRDefault="006A6A63" w:rsidP="00045DE7">
      <w:pPr>
        <w:rPr>
          <w:sz w:val="28"/>
          <w:szCs w:val="28"/>
        </w:rPr>
      </w:pPr>
      <w:r w:rsidRPr="0071241F">
        <w:rPr>
          <w:rStyle w:val="markedcontent"/>
          <w:sz w:val="28"/>
          <w:szCs w:val="28"/>
          <w:u w:val="single"/>
        </w:rPr>
        <w:lastRenderedPageBreak/>
        <w:t>Methodology</w:t>
      </w:r>
      <w:r w:rsidRPr="0071241F">
        <w:rPr>
          <w:sz w:val="28"/>
          <w:szCs w:val="28"/>
        </w:rPr>
        <w:br/>
      </w:r>
      <w:r w:rsidRPr="0071241F">
        <w:rPr>
          <w:rStyle w:val="markedcontent"/>
          <w:sz w:val="24"/>
          <w:szCs w:val="24"/>
        </w:rPr>
        <w:t>Base funding = floor payment + indicator pool payment</w:t>
      </w:r>
      <w:r w:rsidRPr="0071241F">
        <w:rPr>
          <w:sz w:val="24"/>
          <w:szCs w:val="24"/>
        </w:rPr>
        <w:br/>
      </w:r>
      <w:r w:rsidRPr="0071241F">
        <w:rPr>
          <w:rStyle w:val="markedcontent"/>
          <w:sz w:val="24"/>
          <w:szCs w:val="24"/>
        </w:rPr>
        <w:t>Floor payment = based on county size band</w:t>
      </w:r>
      <w:r w:rsidRPr="0071241F">
        <w:rPr>
          <w:sz w:val="24"/>
          <w:szCs w:val="24"/>
        </w:rPr>
        <w:br/>
      </w:r>
      <w:r w:rsidRPr="0071241F">
        <w:rPr>
          <w:rStyle w:val="markedcontent"/>
          <w:sz w:val="24"/>
          <w:szCs w:val="24"/>
        </w:rPr>
        <w:t>Indicator pool payment = all remaining base component funds</w:t>
      </w:r>
      <w:r w:rsidRPr="0071241F">
        <w:rPr>
          <w:sz w:val="24"/>
          <w:szCs w:val="24"/>
        </w:rPr>
        <w:br/>
      </w:r>
      <w:r w:rsidRPr="0071241F">
        <w:rPr>
          <w:rStyle w:val="markedcontent"/>
          <w:sz w:val="24"/>
          <w:szCs w:val="24"/>
        </w:rPr>
        <w:t>Indicator pool payment = (LPHA weight/sum of all LPHA weights)</w:t>
      </w:r>
      <w:r w:rsidRPr="0071241F">
        <w:rPr>
          <w:sz w:val="24"/>
          <w:szCs w:val="24"/>
        </w:rPr>
        <w:br/>
      </w:r>
      <w:r w:rsidRPr="0071241F">
        <w:rPr>
          <w:rStyle w:val="markedcontent"/>
          <w:sz w:val="24"/>
          <w:szCs w:val="24"/>
        </w:rPr>
        <w:t>* Total indicator pool</w:t>
      </w:r>
      <w:r w:rsidRPr="0071241F">
        <w:rPr>
          <w:sz w:val="24"/>
          <w:szCs w:val="24"/>
        </w:rPr>
        <w:br/>
      </w:r>
      <w:r w:rsidRPr="0071241F">
        <w:rPr>
          <w:rStyle w:val="markedcontent"/>
          <w:sz w:val="24"/>
          <w:szCs w:val="24"/>
        </w:rPr>
        <w:t>LPHA weight = LPHA population * LPHA indicator percentage</w:t>
      </w:r>
    </w:p>
    <w:sectPr w:rsidR="00045DE7" w:rsidRPr="00045DE7" w:rsidSect="00A6406D">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8A89" w14:textId="77777777" w:rsidR="006A6A63" w:rsidRDefault="006A6A63" w:rsidP="006A6A63">
      <w:pPr>
        <w:spacing w:after="0" w:line="240" w:lineRule="auto"/>
      </w:pPr>
      <w:r>
        <w:separator/>
      </w:r>
    </w:p>
  </w:endnote>
  <w:endnote w:type="continuationSeparator" w:id="0">
    <w:p w14:paraId="0F5C1E4C" w14:textId="77777777" w:rsidR="006A6A63" w:rsidRDefault="006A6A63" w:rsidP="006A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438F" w14:textId="77777777" w:rsidR="006A6A63" w:rsidRDefault="006A6A63" w:rsidP="006A6A63">
      <w:pPr>
        <w:spacing w:after="0" w:line="240" w:lineRule="auto"/>
      </w:pPr>
      <w:r>
        <w:separator/>
      </w:r>
    </w:p>
  </w:footnote>
  <w:footnote w:type="continuationSeparator" w:id="0">
    <w:p w14:paraId="02B7AAD2" w14:textId="77777777" w:rsidR="006A6A63" w:rsidRDefault="006A6A63" w:rsidP="006A6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9BD"/>
    <w:multiLevelType w:val="hybridMultilevel"/>
    <w:tmpl w:val="9B4AF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6BD"/>
    <w:multiLevelType w:val="hybridMultilevel"/>
    <w:tmpl w:val="272C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D025F"/>
    <w:multiLevelType w:val="hybridMultilevel"/>
    <w:tmpl w:val="86145646"/>
    <w:lvl w:ilvl="0" w:tplc="4F4C96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973D3"/>
    <w:multiLevelType w:val="hybridMultilevel"/>
    <w:tmpl w:val="681E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E5B3E"/>
    <w:multiLevelType w:val="hybridMultilevel"/>
    <w:tmpl w:val="FA3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208A3"/>
    <w:multiLevelType w:val="multilevel"/>
    <w:tmpl w:val="2470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59422A"/>
    <w:multiLevelType w:val="multilevel"/>
    <w:tmpl w:val="07A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7233BC"/>
    <w:multiLevelType w:val="hybridMultilevel"/>
    <w:tmpl w:val="10168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C64B8"/>
    <w:multiLevelType w:val="hybridMultilevel"/>
    <w:tmpl w:val="089A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67711"/>
    <w:multiLevelType w:val="hybridMultilevel"/>
    <w:tmpl w:val="8EC4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F08DD"/>
    <w:multiLevelType w:val="hybridMultilevel"/>
    <w:tmpl w:val="4670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E360F"/>
    <w:multiLevelType w:val="hybridMultilevel"/>
    <w:tmpl w:val="D9007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85A"/>
    <w:multiLevelType w:val="hybridMultilevel"/>
    <w:tmpl w:val="F662AC74"/>
    <w:lvl w:ilvl="0" w:tplc="8E3049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410B6E"/>
    <w:multiLevelType w:val="hybridMultilevel"/>
    <w:tmpl w:val="CDA02B7A"/>
    <w:lvl w:ilvl="0" w:tplc="2468FD3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76841"/>
    <w:multiLevelType w:val="hybridMultilevel"/>
    <w:tmpl w:val="2F82D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0"/>
  </w:num>
  <w:num w:numId="5">
    <w:abstractNumId w:val="1"/>
  </w:num>
  <w:num w:numId="6">
    <w:abstractNumId w:val="9"/>
  </w:num>
  <w:num w:numId="7">
    <w:abstractNumId w:val="14"/>
  </w:num>
  <w:num w:numId="8">
    <w:abstractNumId w:val="4"/>
  </w:num>
  <w:num w:numId="9">
    <w:abstractNumId w:val="7"/>
  </w:num>
  <w:num w:numId="10">
    <w:abstractNumId w:val="5"/>
  </w:num>
  <w:num w:numId="11">
    <w:abstractNumId w:val="6"/>
  </w:num>
  <w:num w:numId="12">
    <w:abstractNumId w:val="2"/>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93"/>
    <w:rsid w:val="0004203A"/>
    <w:rsid w:val="00045DE7"/>
    <w:rsid w:val="00072949"/>
    <w:rsid w:val="00095DDA"/>
    <w:rsid w:val="000972C1"/>
    <w:rsid w:val="000975D6"/>
    <w:rsid w:val="001933A3"/>
    <w:rsid w:val="00262B00"/>
    <w:rsid w:val="002902A5"/>
    <w:rsid w:val="00293AC9"/>
    <w:rsid w:val="002A08E6"/>
    <w:rsid w:val="002B48DE"/>
    <w:rsid w:val="002E635F"/>
    <w:rsid w:val="00384939"/>
    <w:rsid w:val="003F4858"/>
    <w:rsid w:val="00453E93"/>
    <w:rsid w:val="00470F26"/>
    <w:rsid w:val="004A6574"/>
    <w:rsid w:val="004B43F7"/>
    <w:rsid w:val="004F7774"/>
    <w:rsid w:val="00527312"/>
    <w:rsid w:val="005B27FB"/>
    <w:rsid w:val="006A6A63"/>
    <w:rsid w:val="0071241F"/>
    <w:rsid w:val="0073325F"/>
    <w:rsid w:val="00741828"/>
    <w:rsid w:val="007A5010"/>
    <w:rsid w:val="007E4FC7"/>
    <w:rsid w:val="007F1574"/>
    <w:rsid w:val="008702BE"/>
    <w:rsid w:val="00896AAE"/>
    <w:rsid w:val="008A624E"/>
    <w:rsid w:val="008B7CAD"/>
    <w:rsid w:val="00971355"/>
    <w:rsid w:val="00987B72"/>
    <w:rsid w:val="009A323A"/>
    <w:rsid w:val="009B5A93"/>
    <w:rsid w:val="00A6406D"/>
    <w:rsid w:val="00B70105"/>
    <w:rsid w:val="00B724D9"/>
    <w:rsid w:val="00B85231"/>
    <w:rsid w:val="00BA0360"/>
    <w:rsid w:val="00BE0DF6"/>
    <w:rsid w:val="00C258A5"/>
    <w:rsid w:val="00C86633"/>
    <w:rsid w:val="00CE56F6"/>
    <w:rsid w:val="00D55221"/>
    <w:rsid w:val="00DD5ED6"/>
    <w:rsid w:val="00DF0483"/>
    <w:rsid w:val="00E2033C"/>
    <w:rsid w:val="00E66415"/>
    <w:rsid w:val="00E66FA9"/>
    <w:rsid w:val="00E7048F"/>
    <w:rsid w:val="00EC72C4"/>
    <w:rsid w:val="00F3649A"/>
    <w:rsid w:val="00F536DA"/>
    <w:rsid w:val="00F74B12"/>
    <w:rsid w:val="00F86EE5"/>
    <w:rsid w:val="00FB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5C3E"/>
  <w15:chartTrackingRefBased/>
  <w15:docId w15:val="{0EB46EDC-0D68-430A-851B-75025ED5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74"/>
    <w:pPr>
      <w:ind w:left="720"/>
      <w:contextualSpacing/>
    </w:pPr>
  </w:style>
  <w:style w:type="table" w:styleId="TableGrid">
    <w:name w:val="Table Grid"/>
    <w:basedOn w:val="TableNormal"/>
    <w:uiPriority w:val="39"/>
    <w:rsid w:val="004A6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2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24D9"/>
  </w:style>
  <w:style w:type="character" w:customStyle="1" w:styleId="eop">
    <w:name w:val="eop"/>
    <w:basedOn w:val="DefaultParagraphFont"/>
    <w:rsid w:val="00B724D9"/>
  </w:style>
  <w:style w:type="character" w:customStyle="1" w:styleId="contextualspellingandgrammarerror">
    <w:name w:val="contextualspellingandgrammarerror"/>
    <w:basedOn w:val="DefaultParagraphFont"/>
    <w:rsid w:val="00B724D9"/>
  </w:style>
  <w:style w:type="character" w:customStyle="1" w:styleId="markedcontent">
    <w:name w:val="markedcontent"/>
    <w:basedOn w:val="DefaultParagraphFont"/>
    <w:rsid w:val="0071241F"/>
  </w:style>
  <w:style w:type="table" w:customStyle="1" w:styleId="ListTable4-Accent11">
    <w:name w:val="List Table 4 - Accent 11"/>
    <w:basedOn w:val="TableNormal"/>
    <w:next w:val="ListTable4-Accent1"/>
    <w:uiPriority w:val="49"/>
    <w:rsid w:val="006A6A6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6A6A6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6A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A63"/>
  </w:style>
  <w:style w:type="paragraph" w:styleId="Footer">
    <w:name w:val="footer"/>
    <w:basedOn w:val="Normal"/>
    <w:link w:val="FooterChar"/>
    <w:uiPriority w:val="99"/>
    <w:unhideWhenUsed/>
    <w:rsid w:val="006A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A63"/>
  </w:style>
  <w:style w:type="character" w:styleId="Hyperlink">
    <w:name w:val="Hyperlink"/>
    <w:basedOn w:val="DefaultParagraphFont"/>
    <w:uiPriority w:val="99"/>
    <w:unhideWhenUsed/>
    <w:rsid w:val="00E2033C"/>
    <w:rPr>
      <w:color w:val="0563C1" w:themeColor="hyperlink"/>
      <w:u w:val="single"/>
    </w:rPr>
  </w:style>
  <w:style w:type="character" w:styleId="FollowedHyperlink">
    <w:name w:val="FollowedHyperlink"/>
    <w:basedOn w:val="DefaultParagraphFont"/>
    <w:uiPriority w:val="99"/>
    <w:semiHidden/>
    <w:unhideWhenUsed/>
    <w:rsid w:val="00E203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ralstudies.oregonstate.edu/" TargetMode="External"/><Relationship Id="rId5" Type="http://schemas.openxmlformats.org/officeDocument/2006/relationships/styles" Target="styles.xml"/><Relationship Id="rId10" Type="http://schemas.openxmlformats.org/officeDocument/2006/relationships/hyperlink" Target="https://www.oregon.gov/oha/HPA/HP-PCO/Documents/2018%20Updates%20to%20MSFW%20Enumberation%20Studies%20Repor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complete_x003f_ xmlns="718a38bc-047d-48df-ae50-c323ec2e2e68" xsi:nil="true"/>
    <TaxCatchAll xmlns="b802b072-07da-488b-8c04-2a00d3022e3e" xsi:nil="true"/>
    <lcf76f155ced4ddcb4097134ff3c332f xmlns="718a38bc-047d-48df-ae50-c323ec2e2e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74903-A33A-426D-A77B-9F68A22D54E3}">
  <ds:schemaRefs>
    <ds:schemaRef ds:uri="http://schemas.microsoft.com/sharepoint/v3/contenttype/forms"/>
  </ds:schemaRefs>
</ds:datastoreItem>
</file>

<file path=customXml/itemProps2.xml><?xml version="1.0" encoding="utf-8"?>
<ds:datastoreItem xmlns:ds="http://schemas.openxmlformats.org/officeDocument/2006/customXml" ds:itemID="{91CF49BC-322D-4F20-9E41-B53772611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AEBCE-8DAE-4CFE-8BBB-81CA0ADABC0E}">
  <ds:schemaRefs>
    <ds:schemaRef ds:uri="b802b072-07da-488b-8c04-2a00d3022e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8a38bc-047d-48df-ae50-c323ec2e2e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BEAUDRAULT Sara</dc:creator>
  <cp:keywords/>
  <dc:description/>
  <cp:lastModifiedBy>BEAUDRAULT Sara</cp:lastModifiedBy>
  <cp:revision>28</cp:revision>
  <dcterms:created xsi:type="dcterms:W3CDTF">2022-05-24T23:54:00Z</dcterms:created>
  <dcterms:modified xsi:type="dcterms:W3CDTF">2022-05-25T00:13:00Z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