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222A8" w14:textId="77777777" w:rsidR="0068464B" w:rsidRPr="006F1FC1" w:rsidRDefault="0068464B" w:rsidP="006F1FC1">
      <w:pPr>
        <w:shd w:val="clear" w:color="auto" w:fill="FFFFFF"/>
        <w:jc w:val="center"/>
        <w:rPr>
          <w:rFonts w:eastAsia="Times New Roman" w:cs="Arial"/>
          <w:b/>
          <w:color w:val="2D888A"/>
          <w:lang w:eastAsia="en-US"/>
        </w:rPr>
      </w:pPr>
      <w:r w:rsidRPr="006F1FC1">
        <w:rPr>
          <w:rFonts w:eastAsia="Times New Roman" w:cs="Arial"/>
          <w:b/>
          <w:color w:val="2D888A"/>
          <w:lang w:eastAsia="en-US"/>
        </w:rPr>
        <w:t>Accreditation and Modernization Crosswalks: Opportunities for Alignment</w:t>
      </w:r>
    </w:p>
    <w:p w14:paraId="2C582CA6" w14:textId="77777777" w:rsidR="0068464B" w:rsidRPr="006F1FC1" w:rsidRDefault="0068464B" w:rsidP="002516FF">
      <w:pPr>
        <w:shd w:val="clear" w:color="auto" w:fill="FFFFFF"/>
        <w:rPr>
          <w:rFonts w:eastAsia="Times New Roman" w:cs="Arial"/>
          <w:color w:val="222222"/>
          <w:sz w:val="20"/>
          <w:szCs w:val="20"/>
          <w:lang w:eastAsia="en-US"/>
        </w:rPr>
      </w:pPr>
    </w:p>
    <w:p w14:paraId="4DB596D3" w14:textId="782A08C1" w:rsidR="002516FF" w:rsidRPr="006F1FC1" w:rsidRDefault="006F1FC1" w:rsidP="002516FF">
      <w:pPr>
        <w:shd w:val="clear" w:color="auto" w:fill="FFFFFF"/>
        <w:rPr>
          <w:rFonts w:eastAsia="Times New Roman" w:cs="Arial"/>
          <w:color w:val="222222"/>
          <w:sz w:val="21"/>
          <w:szCs w:val="21"/>
          <w:lang w:eastAsia="en-US"/>
        </w:rPr>
      </w:pPr>
      <w:r w:rsidRPr="006F1FC1">
        <w:rPr>
          <w:rFonts w:eastAsia="Times New Roman" w:cs="Arial"/>
          <w:color w:val="222222"/>
          <w:sz w:val="21"/>
          <w:szCs w:val="21"/>
          <w:lang w:eastAsia="en-US"/>
        </w:rPr>
        <w:t>The</w:t>
      </w:r>
      <w:r w:rsidR="00922D4F" w:rsidRPr="006F1FC1">
        <w:rPr>
          <w:rFonts w:eastAsia="Times New Roman" w:cs="Arial"/>
          <w:color w:val="222222"/>
          <w:sz w:val="21"/>
          <w:szCs w:val="21"/>
          <w:lang w:eastAsia="en-US"/>
        </w:rPr>
        <w:t xml:space="preserve"> aims of Oregon’s public health modernization overlap with the national </w:t>
      </w:r>
      <w:hyperlink r:id="rId7" w:history="1">
        <w:r w:rsidR="00922D4F" w:rsidRPr="006F1FC1">
          <w:rPr>
            <w:rStyle w:val="Hyperlink"/>
            <w:rFonts w:eastAsia="Times New Roman" w:cs="Arial"/>
            <w:sz w:val="21"/>
            <w:szCs w:val="21"/>
            <w:lang w:eastAsia="en-US"/>
          </w:rPr>
          <w:t xml:space="preserve">Public Health Accountability Board’s </w:t>
        </w:r>
        <w:r w:rsidR="00436DA3" w:rsidRPr="006F1FC1">
          <w:rPr>
            <w:rStyle w:val="Hyperlink"/>
            <w:rFonts w:eastAsia="Times New Roman" w:cs="Arial"/>
            <w:sz w:val="21"/>
            <w:szCs w:val="21"/>
            <w:lang w:eastAsia="en-US"/>
          </w:rPr>
          <w:t xml:space="preserve">(PHAB) </w:t>
        </w:r>
        <w:r w:rsidR="00922D4F" w:rsidRPr="006F1FC1">
          <w:rPr>
            <w:rStyle w:val="Hyperlink"/>
            <w:rFonts w:eastAsia="Times New Roman" w:cs="Arial"/>
            <w:sz w:val="21"/>
            <w:szCs w:val="21"/>
            <w:lang w:eastAsia="en-US"/>
          </w:rPr>
          <w:t>Standards and Measures for Accreditation</w:t>
        </w:r>
      </w:hyperlink>
      <w:r w:rsidR="00922D4F" w:rsidRPr="006F1FC1">
        <w:rPr>
          <w:rFonts w:eastAsia="Times New Roman" w:cs="Arial"/>
          <w:color w:val="222222"/>
          <w:sz w:val="21"/>
          <w:szCs w:val="21"/>
          <w:lang w:eastAsia="en-US"/>
        </w:rPr>
        <w:t xml:space="preserve">. </w:t>
      </w:r>
      <w:r w:rsidR="00041C21" w:rsidRPr="006F1FC1">
        <w:rPr>
          <w:rFonts w:eastAsia="Times New Roman" w:cs="Arial"/>
          <w:color w:val="222222"/>
          <w:sz w:val="21"/>
          <w:szCs w:val="21"/>
          <w:lang w:eastAsia="en-US"/>
        </w:rPr>
        <w:t>Thinking about</w:t>
      </w:r>
      <w:r w:rsidR="00F94E88" w:rsidRPr="006F1FC1">
        <w:rPr>
          <w:rFonts w:eastAsia="Times New Roman" w:cs="Arial"/>
          <w:color w:val="222222"/>
          <w:sz w:val="21"/>
          <w:szCs w:val="21"/>
          <w:lang w:eastAsia="en-US"/>
        </w:rPr>
        <w:t xml:space="preserve"> the alignment of the modernization and accreditation goals may help local health departments plan for both sets of deliverables in a manner that uses resources efficiently and avoids duplication. To support this</w:t>
      </w:r>
      <w:r w:rsidR="00436DA3" w:rsidRPr="006F1FC1">
        <w:rPr>
          <w:rFonts w:eastAsia="Times New Roman" w:cs="Arial"/>
          <w:color w:val="222222"/>
          <w:sz w:val="21"/>
          <w:szCs w:val="21"/>
          <w:lang w:eastAsia="en-US"/>
        </w:rPr>
        <w:t xml:space="preserve"> type of</w:t>
      </w:r>
      <w:r w:rsidR="00F94E88" w:rsidRPr="006F1FC1">
        <w:rPr>
          <w:rFonts w:eastAsia="Times New Roman" w:cs="Arial"/>
          <w:color w:val="222222"/>
          <w:sz w:val="21"/>
          <w:szCs w:val="21"/>
          <w:lang w:eastAsia="en-US"/>
        </w:rPr>
        <w:t xml:space="preserve"> planning, </w:t>
      </w:r>
      <w:r w:rsidR="00436DA3" w:rsidRPr="006F1FC1">
        <w:rPr>
          <w:rFonts w:eastAsia="Times New Roman" w:cs="Arial"/>
          <w:color w:val="222222"/>
          <w:sz w:val="21"/>
          <w:szCs w:val="21"/>
          <w:lang w:eastAsia="en-US"/>
        </w:rPr>
        <w:t xml:space="preserve">the AIMHI Public Health Modernization Roadmap includes two tools </w:t>
      </w:r>
      <w:r w:rsidR="0068464B" w:rsidRPr="006F1FC1">
        <w:rPr>
          <w:rFonts w:eastAsia="Times New Roman" w:cs="Arial"/>
          <w:color w:val="222222"/>
          <w:sz w:val="21"/>
          <w:szCs w:val="21"/>
          <w:lang w:eastAsia="en-US"/>
        </w:rPr>
        <w:t>(“crosswalks”) that demonstrate specific areas of alignment between modernization and accreditation.</w:t>
      </w:r>
    </w:p>
    <w:p w14:paraId="4A67F12C" w14:textId="77777777" w:rsidR="00922D4F" w:rsidRPr="006F1FC1" w:rsidRDefault="00922D4F" w:rsidP="002516FF">
      <w:pPr>
        <w:shd w:val="clear" w:color="auto" w:fill="FFFFFF"/>
        <w:rPr>
          <w:rFonts w:eastAsia="Times New Roman" w:cs="Arial"/>
          <w:color w:val="222222"/>
          <w:sz w:val="21"/>
          <w:szCs w:val="21"/>
          <w:lang w:eastAsia="en-US"/>
        </w:rPr>
      </w:pPr>
    </w:p>
    <w:p w14:paraId="109BFAA1" w14:textId="77777777" w:rsidR="002516FF" w:rsidRPr="006F1FC1" w:rsidRDefault="002516FF" w:rsidP="002516FF">
      <w:pPr>
        <w:shd w:val="clear" w:color="auto" w:fill="FFFFFF"/>
        <w:rPr>
          <w:rFonts w:eastAsia="Times New Roman" w:cs="Arial"/>
          <w:color w:val="222222"/>
          <w:sz w:val="21"/>
          <w:szCs w:val="21"/>
          <w:lang w:eastAsia="en-US"/>
        </w:rPr>
      </w:pPr>
      <w:r w:rsidRPr="006F1FC1">
        <w:rPr>
          <w:rFonts w:eastAsia="Times New Roman" w:cs="Arial"/>
          <w:b/>
          <w:bCs/>
          <w:color w:val="222222"/>
          <w:sz w:val="21"/>
          <w:szCs w:val="21"/>
          <w:lang w:eastAsia="en-US"/>
        </w:rPr>
        <w:t>Accreditation-Modernization</w:t>
      </w:r>
      <w:r w:rsidR="0068464B" w:rsidRPr="006F1FC1">
        <w:rPr>
          <w:rFonts w:eastAsia="Times New Roman" w:cs="Arial"/>
          <w:b/>
          <w:bCs/>
          <w:color w:val="222222"/>
          <w:sz w:val="21"/>
          <w:szCs w:val="21"/>
          <w:lang w:eastAsia="en-US"/>
        </w:rPr>
        <w:t xml:space="preserve"> </w:t>
      </w:r>
      <w:r w:rsidR="00041C21" w:rsidRPr="006F1FC1">
        <w:rPr>
          <w:rFonts w:eastAsia="Times New Roman" w:cs="Arial"/>
          <w:b/>
          <w:bCs/>
          <w:color w:val="222222"/>
          <w:sz w:val="21"/>
          <w:szCs w:val="21"/>
          <w:lang w:eastAsia="en-US"/>
        </w:rPr>
        <w:t>Crosswalk #1</w:t>
      </w:r>
      <w:r w:rsidR="0068464B" w:rsidRPr="006F1FC1">
        <w:rPr>
          <w:rFonts w:eastAsia="Times New Roman" w:cs="Arial"/>
          <w:b/>
          <w:bCs/>
          <w:color w:val="222222"/>
          <w:sz w:val="21"/>
          <w:szCs w:val="21"/>
          <w:lang w:eastAsia="en-US"/>
        </w:rPr>
        <w:t>: Opportunities for Alignment</w:t>
      </w:r>
      <w:r w:rsidR="00041C21" w:rsidRPr="006F1FC1">
        <w:rPr>
          <w:rFonts w:eastAsia="Times New Roman" w:cs="Arial"/>
          <w:color w:val="222222"/>
          <w:sz w:val="21"/>
          <w:szCs w:val="21"/>
          <w:lang w:eastAsia="en-US"/>
        </w:rPr>
        <w:t> (excel document - Sheet 1)</w:t>
      </w:r>
    </w:p>
    <w:p w14:paraId="4AEABD91" w14:textId="77777777" w:rsidR="002516FF" w:rsidRPr="006F1FC1" w:rsidRDefault="002516FF" w:rsidP="002516FF">
      <w:pPr>
        <w:shd w:val="clear" w:color="auto" w:fill="FFFFFF"/>
        <w:rPr>
          <w:b/>
          <w:color w:val="000000"/>
          <w:sz w:val="21"/>
          <w:szCs w:val="21"/>
        </w:rPr>
      </w:pPr>
    </w:p>
    <w:p w14:paraId="2A773DAB" w14:textId="77777777" w:rsidR="002516FF" w:rsidRPr="006F1FC1" w:rsidRDefault="000842A6" w:rsidP="002516FF">
      <w:pPr>
        <w:shd w:val="clear" w:color="auto" w:fill="FFFFFF"/>
        <w:rPr>
          <w:rFonts w:eastAsia="Times New Roman" w:cs="Arial"/>
          <w:color w:val="222222"/>
          <w:sz w:val="21"/>
          <w:szCs w:val="21"/>
          <w:lang w:eastAsia="en-US"/>
        </w:rPr>
      </w:pPr>
      <w:r w:rsidRPr="0028754A">
        <w:rPr>
          <w:rFonts w:eastAsia="Times New Roman" w:cs="Arial"/>
          <w:b/>
          <w:color w:val="222222"/>
          <w:sz w:val="21"/>
          <w:szCs w:val="21"/>
          <w:lang w:eastAsia="en-US"/>
        </w:rPr>
        <w:t>Crosswalk #1</w:t>
      </w:r>
      <w:r w:rsidRPr="006F1FC1">
        <w:rPr>
          <w:rFonts w:eastAsia="Times New Roman" w:cs="Arial"/>
          <w:color w:val="222222"/>
          <w:sz w:val="21"/>
          <w:szCs w:val="21"/>
          <w:lang w:eastAsia="en-US"/>
        </w:rPr>
        <w:t xml:space="preserve"> </w:t>
      </w:r>
      <w:r w:rsidR="002516FF" w:rsidRPr="006F1FC1">
        <w:rPr>
          <w:rFonts w:eastAsia="Times New Roman" w:cs="Arial"/>
          <w:color w:val="222222"/>
          <w:sz w:val="21"/>
          <w:szCs w:val="21"/>
          <w:lang w:eastAsia="en-US"/>
        </w:rPr>
        <w:t xml:space="preserve">is intended for health department administrators and public health staff working in the area of accreditation. </w:t>
      </w:r>
      <w:r w:rsidR="007E0651" w:rsidRPr="006F1FC1">
        <w:rPr>
          <w:rFonts w:eastAsia="Times New Roman" w:cs="Arial"/>
          <w:color w:val="222222"/>
          <w:sz w:val="21"/>
          <w:szCs w:val="21"/>
          <w:lang w:eastAsia="en-US"/>
        </w:rPr>
        <w:t>C</w:t>
      </w:r>
      <w:r w:rsidR="002516FF" w:rsidRPr="006F1FC1">
        <w:rPr>
          <w:rFonts w:eastAsia="Times New Roman" w:cs="Arial"/>
          <w:color w:val="222222"/>
          <w:sz w:val="21"/>
          <w:szCs w:val="21"/>
          <w:lang w:eastAsia="en-US"/>
        </w:rPr>
        <w:t>rosswalk</w:t>
      </w:r>
      <w:r w:rsidR="007E0651" w:rsidRPr="006F1FC1">
        <w:rPr>
          <w:rFonts w:eastAsia="Times New Roman" w:cs="Arial"/>
          <w:color w:val="222222"/>
          <w:sz w:val="21"/>
          <w:szCs w:val="21"/>
          <w:lang w:eastAsia="en-US"/>
        </w:rPr>
        <w:t xml:space="preserve"> #1</w:t>
      </w:r>
      <w:r w:rsidR="002516FF" w:rsidRPr="006F1FC1">
        <w:rPr>
          <w:rFonts w:eastAsia="Times New Roman" w:cs="Arial"/>
          <w:color w:val="222222"/>
          <w:sz w:val="21"/>
          <w:szCs w:val="21"/>
          <w:lang w:eastAsia="en-US"/>
        </w:rPr>
        <w:t xml:space="preserve"> </w:t>
      </w:r>
      <w:r w:rsidR="00041C21" w:rsidRPr="006F1FC1">
        <w:rPr>
          <w:rFonts w:eastAsia="Times New Roman" w:cs="Arial"/>
          <w:color w:val="222222"/>
          <w:sz w:val="21"/>
          <w:szCs w:val="21"/>
          <w:lang w:eastAsia="en-US"/>
        </w:rPr>
        <w:t>suggests</w:t>
      </w:r>
      <w:r w:rsidR="002516FF" w:rsidRPr="006F1FC1">
        <w:rPr>
          <w:rFonts w:eastAsia="Times New Roman" w:cs="Arial"/>
          <w:color w:val="222222"/>
          <w:sz w:val="21"/>
          <w:szCs w:val="21"/>
          <w:lang w:eastAsia="en-US"/>
        </w:rPr>
        <w:t xml:space="preserve"> areas of alignment between local deliverables set out in Oregon’s</w:t>
      </w:r>
      <w:r w:rsidR="0068464B" w:rsidRPr="006F1FC1">
        <w:rPr>
          <w:rFonts w:eastAsia="Times New Roman" w:cs="Arial"/>
          <w:color w:val="222222"/>
          <w:sz w:val="21"/>
          <w:szCs w:val="21"/>
          <w:lang w:eastAsia="en-US"/>
        </w:rPr>
        <w:t xml:space="preserve"> public health modernization foundational capabilities</w:t>
      </w:r>
      <w:r w:rsidR="00820400" w:rsidRPr="006F1FC1">
        <w:rPr>
          <w:rFonts w:eastAsia="Times New Roman" w:cs="Arial"/>
          <w:color w:val="222222"/>
          <w:sz w:val="21"/>
          <w:szCs w:val="21"/>
          <w:lang w:eastAsia="en-US"/>
        </w:rPr>
        <w:t xml:space="preserve"> </w:t>
      </w:r>
      <w:r w:rsidRPr="006F1FC1">
        <w:rPr>
          <w:rFonts w:eastAsia="Times New Roman" w:cs="Arial"/>
          <w:color w:val="222222"/>
          <w:sz w:val="21"/>
          <w:szCs w:val="21"/>
          <w:lang w:eastAsia="en-US"/>
        </w:rPr>
        <w:t xml:space="preserve">and programs </w:t>
      </w:r>
      <w:r w:rsidR="00820400" w:rsidRPr="006F1FC1">
        <w:rPr>
          <w:rFonts w:eastAsia="Times New Roman" w:cs="Arial"/>
          <w:color w:val="222222"/>
          <w:sz w:val="21"/>
          <w:szCs w:val="21"/>
          <w:lang w:eastAsia="en-US"/>
        </w:rPr>
        <w:t>(see</w:t>
      </w:r>
      <w:r w:rsidR="002516FF" w:rsidRPr="006F1FC1">
        <w:rPr>
          <w:rFonts w:eastAsia="Times New Roman" w:cs="Arial"/>
          <w:color w:val="222222"/>
          <w:sz w:val="21"/>
          <w:szCs w:val="21"/>
          <w:lang w:eastAsia="en-US"/>
        </w:rPr>
        <w:t> </w:t>
      </w:r>
      <w:hyperlink r:id="rId8" w:tgtFrame="_blank" w:history="1">
        <w:r w:rsidR="002516FF" w:rsidRPr="006F1FC1">
          <w:rPr>
            <w:rFonts w:eastAsia="Times New Roman" w:cs="Arial"/>
            <w:color w:val="1155CC"/>
            <w:sz w:val="21"/>
            <w:szCs w:val="21"/>
            <w:u w:val="single"/>
            <w:lang w:eastAsia="en-US"/>
          </w:rPr>
          <w:t>Public Health Modernization Manual (2017)</w:t>
        </w:r>
      </w:hyperlink>
      <w:r w:rsidR="00820400" w:rsidRPr="006F1FC1">
        <w:rPr>
          <w:rFonts w:eastAsia="Times New Roman" w:cs="Arial"/>
          <w:color w:val="222222"/>
          <w:sz w:val="21"/>
          <w:szCs w:val="21"/>
          <w:lang w:eastAsia="en-US"/>
        </w:rPr>
        <w:t>)</w:t>
      </w:r>
      <w:r w:rsidR="002516FF" w:rsidRPr="006F1FC1">
        <w:rPr>
          <w:rFonts w:eastAsia="Times New Roman" w:cs="Arial"/>
          <w:color w:val="222222"/>
          <w:sz w:val="21"/>
          <w:szCs w:val="21"/>
          <w:lang w:eastAsia="en-US"/>
        </w:rPr>
        <w:t> and the 12 domains of the</w:t>
      </w:r>
      <w:r w:rsidR="0068464B" w:rsidRPr="006F1FC1">
        <w:rPr>
          <w:rFonts w:eastAsia="Times New Roman" w:cs="Arial"/>
          <w:color w:val="222222"/>
          <w:sz w:val="21"/>
          <w:szCs w:val="21"/>
          <w:lang w:eastAsia="en-US"/>
        </w:rPr>
        <w:t xml:space="preserve"> national</w:t>
      </w:r>
      <w:r w:rsidR="002516FF" w:rsidRPr="006F1FC1">
        <w:rPr>
          <w:rFonts w:eastAsia="Times New Roman" w:cs="Arial"/>
          <w:color w:val="222222"/>
          <w:sz w:val="21"/>
          <w:szCs w:val="21"/>
          <w:lang w:eastAsia="en-US"/>
        </w:rPr>
        <w:t> </w:t>
      </w:r>
      <w:hyperlink r:id="rId9" w:tgtFrame="_blank" w:history="1">
        <w:r w:rsidR="002516FF" w:rsidRPr="006F1FC1">
          <w:rPr>
            <w:rFonts w:eastAsia="Times New Roman" w:cs="Arial"/>
            <w:color w:val="1155CC"/>
            <w:sz w:val="21"/>
            <w:szCs w:val="21"/>
            <w:u w:val="single"/>
            <w:lang w:eastAsia="en-US"/>
          </w:rPr>
          <w:t>Public Health Accreditation Board’s Standards and Measures (2015)</w:t>
        </w:r>
      </w:hyperlink>
      <w:r w:rsidR="002516FF" w:rsidRPr="006F1FC1">
        <w:rPr>
          <w:rFonts w:eastAsia="Times New Roman" w:cs="Arial"/>
          <w:color w:val="222222"/>
          <w:sz w:val="21"/>
          <w:szCs w:val="21"/>
          <w:lang w:eastAsia="en-US"/>
        </w:rPr>
        <w:t>. Th</w:t>
      </w:r>
      <w:r w:rsidRPr="006F1FC1">
        <w:rPr>
          <w:rFonts w:eastAsia="Times New Roman" w:cs="Arial"/>
          <w:color w:val="222222"/>
          <w:sz w:val="21"/>
          <w:szCs w:val="21"/>
          <w:lang w:eastAsia="en-US"/>
        </w:rPr>
        <w:t>is</w:t>
      </w:r>
      <w:r w:rsidR="007E0651" w:rsidRPr="006F1FC1">
        <w:rPr>
          <w:rFonts w:eastAsia="Times New Roman" w:cs="Arial"/>
          <w:color w:val="222222"/>
          <w:sz w:val="21"/>
          <w:szCs w:val="21"/>
          <w:lang w:eastAsia="en-US"/>
        </w:rPr>
        <w:t xml:space="preserve"> c</w:t>
      </w:r>
      <w:r w:rsidR="002516FF" w:rsidRPr="006F1FC1">
        <w:rPr>
          <w:rFonts w:eastAsia="Times New Roman" w:cs="Arial"/>
          <w:color w:val="222222"/>
          <w:sz w:val="21"/>
          <w:szCs w:val="21"/>
          <w:lang w:eastAsia="en-US"/>
        </w:rPr>
        <w:t xml:space="preserve">rosswalk is meant to provide public health practitioners with an example of how to envision, organize and operationalize the ways that modernization work is achievable and in tandem </w:t>
      </w:r>
      <w:r w:rsidR="0068464B" w:rsidRPr="006F1FC1">
        <w:rPr>
          <w:rFonts w:eastAsia="Times New Roman" w:cs="Arial"/>
          <w:color w:val="222222"/>
          <w:sz w:val="21"/>
          <w:szCs w:val="21"/>
          <w:lang w:eastAsia="en-US"/>
        </w:rPr>
        <w:t>with other public health goals.</w:t>
      </w:r>
    </w:p>
    <w:p w14:paraId="3B85825E" w14:textId="77777777" w:rsidR="0068464B" w:rsidRPr="006F1FC1" w:rsidRDefault="0068464B" w:rsidP="002516FF">
      <w:pPr>
        <w:shd w:val="clear" w:color="auto" w:fill="FFFFFF"/>
        <w:rPr>
          <w:rFonts w:eastAsia="Times New Roman" w:cs="Arial"/>
          <w:color w:val="222222"/>
          <w:sz w:val="21"/>
          <w:szCs w:val="21"/>
          <w:lang w:eastAsia="en-US"/>
        </w:rPr>
      </w:pPr>
    </w:p>
    <w:p w14:paraId="0BE7214D" w14:textId="77777777" w:rsidR="000C5767" w:rsidRPr="006F1FC1" w:rsidRDefault="000C5767" w:rsidP="002516FF">
      <w:pPr>
        <w:shd w:val="clear" w:color="auto" w:fill="FFFFFF"/>
        <w:rPr>
          <w:rFonts w:eastAsia="Times New Roman" w:cs="Arial"/>
          <w:b/>
          <w:i/>
          <w:color w:val="222222"/>
          <w:sz w:val="21"/>
          <w:szCs w:val="21"/>
          <w:lang w:eastAsia="en-US"/>
        </w:rPr>
      </w:pPr>
      <w:r w:rsidRPr="006F1FC1">
        <w:rPr>
          <w:rFonts w:eastAsia="Times New Roman" w:cs="Arial"/>
          <w:b/>
          <w:i/>
          <w:color w:val="222222"/>
          <w:sz w:val="21"/>
          <w:szCs w:val="21"/>
          <w:lang w:eastAsia="en-US"/>
        </w:rPr>
        <w:t>Using this tool:</w:t>
      </w:r>
    </w:p>
    <w:p w14:paraId="3CF52F96" w14:textId="77777777" w:rsidR="000C5767" w:rsidRPr="006F1FC1" w:rsidRDefault="000C5767" w:rsidP="002516FF">
      <w:pPr>
        <w:shd w:val="clear" w:color="auto" w:fill="FFFFFF"/>
        <w:rPr>
          <w:rFonts w:eastAsia="Times New Roman" w:cs="Arial"/>
          <w:color w:val="222222"/>
          <w:sz w:val="21"/>
          <w:szCs w:val="21"/>
          <w:lang w:eastAsia="en-US"/>
        </w:rPr>
      </w:pPr>
    </w:p>
    <w:p w14:paraId="252F5234" w14:textId="740C4EA3" w:rsidR="00092405" w:rsidRPr="006F1FC1" w:rsidRDefault="00092405" w:rsidP="00041C21">
      <w:pPr>
        <w:pStyle w:val="ListParagraph"/>
        <w:numPr>
          <w:ilvl w:val="0"/>
          <w:numId w:val="3"/>
        </w:numPr>
        <w:shd w:val="clear" w:color="auto" w:fill="FFFFFF"/>
        <w:rPr>
          <w:rFonts w:eastAsia="Times New Roman" w:cs="Arial"/>
          <w:color w:val="222222"/>
          <w:sz w:val="21"/>
          <w:szCs w:val="21"/>
          <w:lang w:eastAsia="en-US"/>
        </w:rPr>
      </w:pPr>
      <w:r w:rsidRPr="006F1FC1">
        <w:rPr>
          <w:rFonts w:eastAsia="Times New Roman" w:cs="Arial"/>
          <w:color w:val="222222"/>
          <w:sz w:val="21"/>
          <w:szCs w:val="21"/>
          <w:lang w:eastAsia="en-US"/>
        </w:rPr>
        <w:t>Review the Oregon Public Health Modernization Foundational Capabilities and Programs along with their local deliverables</w:t>
      </w:r>
      <w:r w:rsidR="000A41B2" w:rsidRPr="006F1FC1">
        <w:rPr>
          <w:rFonts w:eastAsia="Times New Roman" w:cs="Arial"/>
          <w:color w:val="222222"/>
          <w:sz w:val="21"/>
          <w:szCs w:val="21"/>
          <w:lang w:eastAsia="en-US"/>
        </w:rPr>
        <w:t xml:space="preserve"> </w:t>
      </w:r>
      <w:r w:rsidRPr="006F1FC1">
        <w:rPr>
          <w:rFonts w:eastAsia="Times New Roman" w:cs="Arial"/>
          <w:color w:val="222222"/>
          <w:sz w:val="21"/>
          <w:szCs w:val="21"/>
          <w:lang w:eastAsia="en-US"/>
        </w:rPr>
        <w:t xml:space="preserve">on the </w:t>
      </w:r>
      <w:r w:rsidR="000A41B2" w:rsidRPr="006F1FC1">
        <w:rPr>
          <w:rFonts w:eastAsia="Times New Roman" w:cs="Arial"/>
          <w:color w:val="222222"/>
          <w:sz w:val="21"/>
          <w:szCs w:val="21"/>
          <w:lang w:eastAsia="en-US"/>
        </w:rPr>
        <w:t>first</w:t>
      </w:r>
      <w:r w:rsidR="006F1FC1" w:rsidRPr="006F1FC1">
        <w:rPr>
          <w:rFonts w:eastAsia="Times New Roman" w:cs="Arial"/>
          <w:color w:val="222222"/>
          <w:sz w:val="21"/>
          <w:szCs w:val="21"/>
          <w:lang w:eastAsia="en-US"/>
        </w:rPr>
        <w:t xml:space="preserve"> two left columns of the table </w:t>
      </w:r>
      <w:r w:rsidR="000A41B2" w:rsidRPr="006F1FC1">
        <w:rPr>
          <w:rFonts w:eastAsia="Times New Roman" w:cs="Arial"/>
          <w:color w:val="222222"/>
          <w:sz w:val="21"/>
          <w:szCs w:val="21"/>
          <w:lang w:eastAsia="en-US"/>
        </w:rPr>
        <w:t>(shaded in blue)</w:t>
      </w:r>
      <w:r w:rsidRPr="006F1FC1">
        <w:rPr>
          <w:rFonts w:eastAsia="Times New Roman" w:cs="Arial"/>
          <w:color w:val="222222"/>
          <w:sz w:val="21"/>
          <w:szCs w:val="21"/>
          <w:lang w:eastAsia="en-US"/>
        </w:rPr>
        <w:t>.</w:t>
      </w:r>
    </w:p>
    <w:p w14:paraId="23715E06" w14:textId="77777777" w:rsidR="00092405" w:rsidRPr="006F1FC1" w:rsidRDefault="00092405" w:rsidP="00041C21">
      <w:pPr>
        <w:pStyle w:val="ListParagraph"/>
        <w:numPr>
          <w:ilvl w:val="0"/>
          <w:numId w:val="3"/>
        </w:numPr>
        <w:shd w:val="clear" w:color="auto" w:fill="FFFFFF"/>
        <w:rPr>
          <w:rFonts w:eastAsia="Times New Roman" w:cs="Arial"/>
          <w:color w:val="222222"/>
          <w:sz w:val="21"/>
          <w:szCs w:val="21"/>
          <w:lang w:eastAsia="en-US"/>
        </w:rPr>
      </w:pPr>
      <w:r w:rsidRPr="006F1FC1">
        <w:rPr>
          <w:rFonts w:eastAsia="Times New Roman" w:cs="Arial"/>
          <w:color w:val="222222"/>
          <w:sz w:val="21"/>
          <w:szCs w:val="21"/>
          <w:lang w:eastAsia="en-US"/>
        </w:rPr>
        <w:t xml:space="preserve">Review the PHAB Accreditation Domains on the top </w:t>
      </w:r>
      <w:r w:rsidR="000A41B2" w:rsidRPr="006F1FC1">
        <w:rPr>
          <w:rFonts w:eastAsia="Times New Roman" w:cs="Arial"/>
          <w:color w:val="222222"/>
          <w:sz w:val="21"/>
          <w:szCs w:val="21"/>
          <w:lang w:eastAsia="en-US"/>
        </w:rPr>
        <w:t xml:space="preserve">row </w:t>
      </w:r>
      <w:r w:rsidRPr="006F1FC1">
        <w:rPr>
          <w:rFonts w:eastAsia="Times New Roman" w:cs="Arial"/>
          <w:color w:val="222222"/>
          <w:sz w:val="21"/>
          <w:szCs w:val="21"/>
          <w:lang w:eastAsia="en-US"/>
        </w:rPr>
        <w:t>of the table</w:t>
      </w:r>
      <w:r w:rsidR="000A41B2" w:rsidRPr="006F1FC1">
        <w:rPr>
          <w:rFonts w:eastAsia="Times New Roman" w:cs="Arial"/>
          <w:color w:val="222222"/>
          <w:sz w:val="21"/>
          <w:szCs w:val="21"/>
          <w:lang w:eastAsia="en-US"/>
        </w:rPr>
        <w:t xml:space="preserve"> (shaded in grey)</w:t>
      </w:r>
      <w:r w:rsidRPr="006F1FC1">
        <w:rPr>
          <w:rFonts w:eastAsia="Times New Roman" w:cs="Arial"/>
          <w:color w:val="222222"/>
          <w:sz w:val="21"/>
          <w:szCs w:val="21"/>
          <w:lang w:eastAsia="en-US"/>
        </w:rPr>
        <w:t>.</w:t>
      </w:r>
    </w:p>
    <w:p w14:paraId="76E9DD3E" w14:textId="47DD2868" w:rsidR="0049787F" w:rsidRPr="006F1FC1" w:rsidRDefault="0049787F" w:rsidP="00041C21">
      <w:pPr>
        <w:pStyle w:val="ListParagraph"/>
        <w:numPr>
          <w:ilvl w:val="0"/>
          <w:numId w:val="3"/>
        </w:numPr>
        <w:shd w:val="clear" w:color="auto" w:fill="FFFFFF"/>
        <w:rPr>
          <w:rFonts w:eastAsia="Times New Roman" w:cs="Arial"/>
          <w:color w:val="222222"/>
          <w:sz w:val="21"/>
          <w:szCs w:val="21"/>
          <w:lang w:eastAsia="en-US"/>
        </w:rPr>
      </w:pPr>
      <w:r w:rsidRPr="006F1FC1">
        <w:rPr>
          <w:rFonts w:eastAsia="Times New Roman" w:cs="Arial"/>
          <w:color w:val="222222"/>
          <w:sz w:val="21"/>
          <w:szCs w:val="21"/>
          <w:lang w:eastAsia="en-US"/>
        </w:rPr>
        <w:t xml:space="preserve">Familiarize self with the description of the PHAB Accreditation Domains by reviewing </w:t>
      </w:r>
      <w:hyperlink r:id="rId10" w:tgtFrame="_blank" w:history="1">
        <w:r w:rsidRPr="006F1FC1">
          <w:rPr>
            <w:rFonts w:eastAsia="Times New Roman" w:cs="Arial"/>
            <w:color w:val="1155CC"/>
            <w:sz w:val="21"/>
            <w:szCs w:val="21"/>
            <w:u w:val="single"/>
            <w:lang w:eastAsia="en-US"/>
          </w:rPr>
          <w:t>PHAB Standards and Measures (2015)</w:t>
        </w:r>
      </w:hyperlink>
      <w:r w:rsidRPr="006F1FC1">
        <w:rPr>
          <w:rFonts w:eastAsia="Times New Roman" w:cs="Arial"/>
          <w:color w:val="222222"/>
          <w:sz w:val="21"/>
          <w:szCs w:val="21"/>
          <w:lang w:eastAsia="en-US"/>
        </w:rPr>
        <w:t xml:space="preserve"> manual.</w:t>
      </w:r>
    </w:p>
    <w:p w14:paraId="4F30CA72" w14:textId="77777777" w:rsidR="00820400" w:rsidRPr="006F1FC1" w:rsidRDefault="00092405" w:rsidP="00041C21">
      <w:pPr>
        <w:pStyle w:val="ListParagraph"/>
        <w:numPr>
          <w:ilvl w:val="0"/>
          <w:numId w:val="3"/>
        </w:numPr>
        <w:shd w:val="clear" w:color="auto" w:fill="FFFFFF"/>
        <w:rPr>
          <w:rFonts w:eastAsia="Times New Roman" w:cs="Arial"/>
          <w:color w:val="222222"/>
          <w:sz w:val="21"/>
          <w:szCs w:val="21"/>
          <w:lang w:eastAsia="en-US"/>
        </w:rPr>
      </w:pPr>
      <w:r w:rsidRPr="006F1FC1">
        <w:rPr>
          <w:rFonts w:eastAsia="Times New Roman" w:cs="Arial"/>
          <w:color w:val="222222"/>
          <w:sz w:val="21"/>
          <w:szCs w:val="21"/>
          <w:lang w:eastAsia="en-US"/>
        </w:rPr>
        <w:t xml:space="preserve">Identify the areas where the modernization capabilities/programs and deliverables match up with the PHAB domains (shaded in yellow). Use these matching points </w:t>
      </w:r>
      <w:r w:rsidR="000C5767" w:rsidRPr="006F1FC1">
        <w:rPr>
          <w:rFonts w:eastAsia="Times New Roman" w:cs="Arial"/>
          <w:color w:val="222222"/>
          <w:sz w:val="21"/>
          <w:szCs w:val="21"/>
          <w:lang w:eastAsia="en-US"/>
        </w:rPr>
        <w:t xml:space="preserve">as a </w:t>
      </w:r>
      <w:r w:rsidR="0068464B" w:rsidRPr="006F1FC1">
        <w:rPr>
          <w:rFonts w:eastAsia="Times New Roman" w:cs="Arial"/>
          <w:color w:val="222222"/>
          <w:sz w:val="21"/>
          <w:szCs w:val="21"/>
          <w:lang w:eastAsia="en-US"/>
        </w:rPr>
        <w:t xml:space="preserve">starting point for reflection and discussion at your health department. Your health department may be able to find additional ways that </w:t>
      </w:r>
      <w:r w:rsidR="000C5767" w:rsidRPr="006F1FC1">
        <w:rPr>
          <w:rFonts w:eastAsia="Times New Roman" w:cs="Arial"/>
          <w:color w:val="222222"/>
          <w:sz w:val="21"/>
          <w:szCs w:val="21"/>
          <w:lang w:eastAsia="en-US"/>
        </w:rPr>
        <w:t xml:space="preserve">the </w:t>
      </w:r>
      <w:r w:rsidR="0068464B" w:rsidRPr="006F1FC1">
        <w:rPr>
          <w:rFonts w:eastAsia="Times New Roman" w:cs="Arial"/>
          <w:color w:val="222222"/>
          <w:sz w:val="21"/>
          <w:szCs w:val="21"/>
          <w:lang w:eastAsia="en-US"/>
        </w:rPr>
        <w:t>goals of accreditation and modernization</w:t>
      </w:r>
      <w:r w:rsidR="000C5767" w:rsidRPr="006F1FC1">
        <w:rPr>
          <w:rFonts w:eastAsia="Times New Roman" w:cs="Arial"/>
          <w:color w:val="222222"/>
          <w:sz w:val="21"/>
          <w:szCs w:val="21"/>
          <w:lang w:eastAsia="en-US"/>
        </w:rPr>
        <w:t xml:space="preserve"> can be met in tandem. </w:t>
      </w:r>
    </w:p>
    <w:p w14:paraId="1DD34F15" w14:textId="77777777" w:rsidR="0068464B" w:rsidRPr="006F1FC1" w:rsidRDefault="00820400" w:rsidP="00041C21">
      <w:pPr>
        <w:pStyle w:val="ListParagraph"/>
        <w:numPr>
          <w:ilvl w:val="0"/>
          <w:numId w:val="3"/>
        </w:numPr>
        <w:shd w:val="clear" w:color="auto" w:fill="FFFFFF"/>
        <w:rPr>
          <w:rFonts w:eastAsia="Times New Roman" w:cs="Arial"/>
          <w:color w:val="222222"/>
          <w:sz w:val="21"/>
          <w:szCs w:val="21"/>
          <w:lang w:eastAsia="en-US"/>
        </w:rPr>
      </w:pPr>
      <w:r w:rsidRPr="006F1FC1">
        <w:rPr>
          <w:rFonts w:eastAsia="Times New Roman" w:cs="Arial"/>
          <w:color w:val="222222"/>
          <w:sz w:val="21"/>
          <w:szCs w:val="21"/>
          <w:lang w:eastAsia="en-US"/>
        </w:rPr>
        <w:t>B</w:t>
      </w:r>
      <w:r w:rsidR="000C5767" w:rsidRPr="006F1FC1">
        <w:rPr>
          <w:rFonts w:eastAsia="Times New Roman" w:cs="Arial"/>
          <w:color w:val="222222"/>
          <w:sz w:val="21"/>
          <w:szCs w:val="21"/>
          <w:lang w:eastAsia="en-US"/>
        </w:rPr>
        <w:t xml:space="preserve">egin modernization projects that can also meet the goals of </w:t>
      </w:r>
      <w:r w:rsidRPr="006F1FC1">
        <w:rPr>
          <w:rFonts w:eastAsia="Times New Roman" w:cs="Arial"/>
          <w:color w:val="222222"/>
          <w:sz w:val="21"/>
          <w:szCs w:val="21"/>
          <w:lang w:eastAsia="en-US"/>
        </w:rPr>
        <w:t>accreditation</w:t>
      </w:r>
      <w:r w:rsidR="000C5767" w:rsidRPr="006F1FC1">
        <w:rPr>
          <w:rFonts w:eastAsia="Times New Roman" w:cs="Arial"/>
          <w:color w:val="222222"/>
          <w:sz w:val="21"/>
          <w:szCs w:val="21"/>
          <w:lang w:eastAsia="en-US"/>
        </w:rPr>
        <w:t>.</w:t>
      </w:r>
    </w:p>
    <w:p w14:paraId="4E8DA009" w14:textId="77777777" w:rsidR="002516FF" w:rsidRPr="006F1FC1" w:rsidRDefault="002516FF" w:rsidP="002516FF">
      <w:pPr>
        <w:shd w:val="clear" w:color="auto" w:fill="FFFFFF"/>
        <w:rPr>
          <w:rFonts w:eastAsia="Times New Roman" w:cs="Arial"/>
          <w:color w:val="222222"/>
          <w:sz w:val="21"/>
          <w:szCs w:val="21"/>
          <w:lang w:eastAsia="en-US"/>
        </w:rPr>
      </w:pPr>
    </w:p>
    <w:p w14:paraId="2A415715" w14:textId="77777777" w:rsidR="00A21FEF" w:rsidRPr="006F1FC1" w:rsidRDefault="0068464B">
      <w:pPr>
        <w:rPr>
          <w:b/>
          <w:sz w:val="21"/>
          <w:szCs w:val="21"/>
        </w:rPr>
      </w:pPr>
      <w:r w:rsidRPr="006F1FC1">
        <w:rPr>
          <w:b/>
          <w:sz w:val="21"/>
          <w:szCs w:val="21"/>
        </w:rPr>
        <w:t>Accreditation-Modernization</w:t>
      </w:r>
      <w:r w:rsidR="00041C21" w:rsidRPr="006F1FC1">
        <w:rPr>
          <w:b/>
          <w:sz w:val="21"/>
          <w:szCs w:val="21"/>
        </w:rPr>
        <w:t xml:space="preserve"> Crosswalk # 2</w:t>
      </w:r>
      <w:r w:rsidRPr="006F1FC1">
        <w:rPr>
          <w:b/>
          <w:sz w:val="21"/>
          <w:szCs w:val="21"/>
        </w:rPr>
        <w:t xml:space="preserve">: Opportunities for </w:t>
      </w:r>
      <w:r w:rsidR="001F2037" w:rsidRPr="006F1FC1">
        <w:rPr>
          <w:b/>
          <w:sz w:val="21"/>
          <w:szCs w:val="21"/>
        </w:rPr>
        <w:t xml:space="preserve">Aligned </w:t>
      </w:r>
      <w:r w:rsidRPr="006F1FC1">
        <w:rPr>
          <w:b/>
          <w:sz w:val="21"/>
          <w:szCs w:val="21"/>
        </w:rPr>
        <w:t xml:space="preserve">Documentation </w:t>
      </w:r>
      <w:r w:rsidRPr="006F1FC1">
        <w:rPr>
          <w:rFonts w:eastAsia="Times New Roman" w:cs="Arial"/>
          <w:color w:val="222222"/>
          <w:sz w:val="21"/>
          <w:szCs w:val="21"/>
          <w:lang w:eastAsia="en-US"/>
        </w:rPr>
        <w:t>(</w:t>
      </w:r>
      <w:r w:rsidR="001F2037" w:rsidRPr="006F1FC1">
        <w:rPr>
          <w:rFonts w:eastAsia="Times New Roman" w:cs="Arial"/>
          <w:color w:val="222222"/>
          <w:sz w:val="21"/>
          <w:szCs w:val="21"/>
          <w:lang w:eastAsia="en-US"/>
        </w:rPr>
        <w:t xml:space="preserve">Worksheet Example - </w:t>
      </w:r>
      <w:r w:rsidRPr="006F1FC1">
        <w:rPr>
          <w:rFonts w:eastAsia="Times New Roman" w:cs="Arial"/>
          <w:color w:val="222222"/>
          <w:sz w:val="21"/>
          <w:szCs w:val="21"/>
          <w:lang w:eastAsia="en-US"/>
        </w:rPr>
        <w:t>excel document - Sheet 2):</w:t>
      </w:r>
    </w:p>
    <w:p w14:paraId="27B683FE" w14:textId="77777777" w:rsidR="002516FF" w:rsidRPr="006F1FC1" w:rsidRDefault="002516FF">
      <w:pPr>
        <w:rPr>
          <w:sz w:val="21"/>
          <w:szCs w:val="21"/>
        </w:rPr>
      </w:pPr>
    </w:p>
    <w:p w14:paraId="1FF26611" w14:textId="77777777" w:rsidR="00820400" w:rsidRPr="006F1FC1" w:rsidRDefault="000842A6">
      <w:pPr>
        <w:rPr>
          <w:rFonts w:eastAsia="Times New Roman" w:cs="Arial"/>
          <w:color w:val="222222"/>
          <w:sz w:val="21"/>
          <w:szCs w:val="21"/>
          <w:lang w:eastAsia="en-US"/>
        </w:rPr>
      </w:pPr>
      <w:bookmarkStart w:id="0" w:name="_GoBack"/>
      <w:r w:rsidRPr="0028754A">
        <w:rPr>
          <w:b/>
          <w:sz w:val="21"/>
          <w:szCs w:val="21"/>
        </w:rPr>
        <w:t>Crosswalk #2</w:t>
      </w:r>
      <w:r w:rsidRPr="006F1FC1">
        <w:rPr>
          <w:sz w:val="21"/>
          <w:szCs w:val="21"/>
        </w:rPr>
        <w:t xml:space="preserve"> </w:t>
      </w:r>
      <w:bookmarkEnd w:id="0"/>
      <w:r w:rsidRPr="006F1FC1">
        <w:rPr>
          <w:sz w:val="21"/>
          <w:szCs w:val="21"/>
        </w:rPr>
        <w:t xml:space="preserve">is also </w:t>
      </w:r>
      <w:r w:rsidRPr="006F1FC1">
        <w:rPr>
          <w:rFonts w:eastAsia="Times New Roman" w:cs="Arial"/>
          <w:color w:val="222222"/>
          <w:sz w:val="21"/>
          <w:szCs w:val="21"/>
          <w:lang w:eastAsia="en-US"/>
        </w:rPr>
        <w:t>intended for health department administrators and public health staff working in the area of accreditation. This document is a work</w:t>
      </w:r>
      <w:r w:rsidR="000A41B2" w:rsidRPr="006F1FC1">
        <w:rPr>
          <w:rFonts w:eastAsia="Times New Roman" w:cs="Arial"/>
          <w:color w:val="222222"/>
          <w:sz w:val="21"/>
          <w:szCs w:val="21"/>
          <w:lang w:eastAsia="en-US"/>
        </w:rPr>
        <w:t xml:space="preserve">sheet where public health staff, using information from </w:t>
      </w:r>
      <w:r w:rsidRPr="006F1FC1">
        <w:rPr>
          <w:rFonts w:eastAsia="Times New Roman" w:cs="Arial"/>
          <w:color w:val="222222"/>
          <w:sz w:val="21"/>
          <w:szCs w:val="21"/>
          <w:lang w:eastAsia="en-US"/>
        </w:rPr>
        <w:t>Crosswalk #1</w:t>
      </w:r>
      <w:r w:rsidR="000A41B2" w:rsidRPr="006F1FC1">
        <w:rPr>
          <w:rFonts w:eastAsia="Times New Roman" w:cs="Arial"/>
          <w:color w:val="222222"/>
          <w:sz w:val="21"/>
          <w:szCs w:val="21"/>
          <w:lang w:eastAsia="en-US"/>
        </w:rPr>
        <w:t xml:space="preserve">, can </w:t>
      </w:r>
      <w:r w:rsidRPr="006F1FC1">
        <w:rPr>
          <w:rFonts w:eastAsia="Times New Roman" w:cs="Arial"/>
          <w:color w:val="222222"/>
          <w:sz w:val="21"/>
          <w:szCs w:val="21"/>
          <w:lang w:eastAsia="en-US"/>
        </w:rPr>
        <w:t>identify required documentation for specific accreditation domains that align with modernization capabilities and programs.</w:t>
      </w:r>
      <w:r w:rsidR="007E0651" w:rsidRPr="006F1FC1">
        <w:rPr>
          <w:rFonts w:eastAsia="Times New Roman" w:cs="Arial"/>
          <w:color w:val="222222"/>
          <w:sz w:val="21"/>
          <w:szCs w:val="21"/>
          <w:lang w:eastAsia="en-US"/>
        </w:rPr>
        <w:t xml:space="preserve"> Completing this worksheet will allow public health staff to track how progress towards accreditation </w:t>
      </w:r>
      <w:r w:rsidR="000A41B2" w:rsidRPr="006F1FC1">
        <w:rPr>
          <w:rFonts w:eastAsia="Times New Roman" w:cs="Arial"/>
          <w:color w:val="222222"/>
          <w:sz w:val="21"/>
          <w:szCs w:val="21"/>
          <w:lang w:eastAsia="en-US"/>
        </w:rPr>
        <w:t>can</w:t>
      </w:r>
      <w:r w:rsidR="007E0651" w:rsidRPr="006F1FC1">
        <w:rPr>
          <w:rFonts w:eastAsia="Times New Roman" w:cs="Arial"/>
          <w:color w:val="222222"/>
          <w:sz w:val="21"/>
          <w:szCs w:val="21"/>
          <w:lang w:eastAsia="en-US"/>
        </w:rPr>
        <w:t xml:space="preserve"> also meets the goals of modernization.</w:t>
      </w:r>
    </w:p>
    <w:p w14:paraId="314255E5" w14:textId="77777777" w:rsidR="007E0651" w:rsidRPr="006F1FC1" w:rsidRDefault="007E0651">
      <w:pPr>
        <w:rPr>
          <w:rFonts w:eastAsia="Times New Roman" w:cs="Arial"/>
          <w:color w:val="222222"/>
          <w:sz w:val="21"/>
          <w:szCs w:val="21"/>
          <w:lang w:eastAsia="en-US"/>
        </w:rPr>
      </w:pPr>
    </w:p>
    <w:p w14:paraId="58E6031D" w14:textId="77777777" w:rsidR="007E0651" w:rsidRPr="006F1FC1" w:rsidRDefault="007E0651">
      <w:pPr>
        <w:rPr>
          <w:rFonts w:eastAsia="Times New Roman" w:cs="Arial"/>
          <w:b/>
          <w:i/>
          <w:color w:val="222222"/>
          <w:sz w:val="21"/>
          <w:szCs w:val="21"/>
          <w:lang w:eastAsia="en-US"/>
        </w:rPr>
      </w:pPr>
      <w:r w:rsidRPr="006F1FC1">
        <w:rPr>
          <w:rFonts w:eastAsia="Times New Roman" w:cs="Arial"/>
          <w:b/>
          <w:i/>
          <w:color w:val="222222"/>
          <w:sz w:val="21"/>
          <w:szCs w:val="21"/>
          <w:lang w:eastAsia="en-US"/>
        </w:rPr>
        <w:t>Using this tool:</w:t>
      </w:r>
    </w:p>
    <w:p w14:paraId="0B124FF9" w14:textId="77777777" w:rsidR="007E0651" w:rsidRPr="006F1FC1" w:rsidRDefault="007E0651">
      <w:pPr>
        <w:rPr>
          <w:rFonts w:eastAsia="Times New Roman" w:cs="Arial"/>
          <w:i/>
          <w:color w:val="222222"/>
          <w:sz w:val="21"/>
          <w:szCs w:val="21"/>
          <w:lang w:eastAsia="en-US"/>
        </w:rPr>
      </w:pPr>
    </w:p>
    <w:p w14:paraId="5892AE2A" w14:textId="5A1403E3" w:rsidR="007E0651" w:rsidRPr="006F1FC1" w:rsidRDefault="00A941B4" w:rsidP="00041C21">
      <w:pPr>
        <w:pStyle w:val="ListParagraph"/>
        <w:numPr>
          <w:ilvl w:val="0"/>
          <w:numId w:val="4"/>
        </w:numPr>
        <w:rPr>
          <w:rFonts w:eastAsia="Times New Roman" w:cs="Arial"/>
          <w:color w:val="222222"/>
          <w:sz w:val="21"/>
          <w:szCs w:val="21"/>
          <w:lang w:eastAsia="en-US"/>
        </w:rPr>
      </w:pPr>
      <w:r w:rsidRPr="006F1FC1">
        <w:rPr>
          <w:rFonts w:eastAsia="Times New Roman" w:cs="Arial"/>
          <w:color w:val="222222"/>
          <w:sz w:val="21"/>
          <w:szCs w:val="21"/>
          <w:lang w:eastAsia="en-US"/>
        </w:rPr>
        <w:t>Write down the PHAB domains that matched with</w:t>
      </w:r>
      <w:r w:rsidR="000A41B2" w:rsidRPr="006F1FC1">
        <w:rPr>
          <w:rFonts w:eastAsia="Times New Roman" w:cs="Arial"/>
          <w:color w:val="222222"/>
          <w:sz w:val="21"/>
          <w:szCs w:val="21"/>
          <w:lang w:eastAsia="en-US"/>
        </w:rPr>
        <w:t xml:space="preserve"> the</w:t>
      </w:r>
      <w:r w:rsidRPr="006F1FC1">
        <w:rPr>
          <w:rFonts w:eastAsia="Times New Roman" w:cs="Arial"/>
          <w:color w:val="222222"/>
          <w:sz w:val="21"/>
          <w:szCs w:val="21"/>
          <w:lang w:eastAsia="en-US"/>
        </w:rPr>
        <w:t xml:space="preserve"> modernization capabilities and programs in Crosswa</w:t>
      </w:r>
      <w:r w:rsidR="001F2037" w:rsidRPr="006F1FC1">
        <w:rPr>
          <w:rFonts w:eastAsia="Times New Roman" w:cs="Arial"/>
          <w:color w:val="222222"/>
          <w:sz w:val="21"/>
          <w:szCs w:val="21"/>
          <w:lang w:eastAsia="en-US"/>
        </w:rPr>
        <w:t>lk #1 i</w:t>
      </w:r>
      <w:r w:rsidRPr="006F1FC1">
        <w:rPr>
          <w:rFonts w:eastAsia="Times New Roman" w:cs="Arial"/>
          <w:color w:val="222222"/>
          <w:sz w:val="21"/>
          <w:szCs w:val="21"/>
          <w:lang w:eastAsia="en-US"/>
        </w:rPr>
        <w:t>n the</w:t>
      </w:r>
      <w:r w:rsidR="001F2037" w:rsidRPr="006F1FC1">
        <w:rPr>
          <w:rFonts w:eastAsia="Times New Roman" w:cs="Arial"/>
          <w:color w:val="222222"/>
          <w:sz w:val="21"/>
          <w:szCs w:val="21"/>
          <w:lang w:eastAsia="en-US"/>
        </w:rPr>
        <w:t xml:space="preserve"> first column</w:t>
      </w:r>
      <w:r w:rsidRPr="006F1FC1">
        <w:rPr>
          <w:rFonts w:eastAsia="Times New Roman" w:cs="Arial"/>
          <w:color w:val="222222"/>
          <w:sz w:val="21"/>
          <w:szCs w:val="21"/>
          <w:lang w:eastAsia="en-US"/>
        </w:rPr>
        <w:t xml:space="preserve"> of the table</w:t>
      </w:r>
      <w:r w:rsidR="009F5012" w:rsidRPr="006F1FC1">
        <w:rPr>
          <w:rFonts w:eastAsia="Times New Roman" w:cs="Arial"/>
          <w:color w:val="222222"/>
          <w:sz w:val="21"/>
          <w:szCs w:val="21"/>
          <w:lang w:eastAsia="en-US"/>
        </w:rPr>
        <w:t xml:space="preserve"> (those shaded in yellow)</w:t>
      </w:r>
      <w:r w:rsidRPr="006F1FC1">
        <w:rPr>
          <w:rFonts w:eastAsia="Times New Roman" w:cs="Arial"/>
          <w:color w:val="222222"/>
          <w:sz w:val="21"/>
          <w:szCs w:val="21"/>
          <w:lang w:eastAsia="en-US"/>
        </w:rPr>
        <w:t xml:space="preserve">. </w:t>
      </w:r>
      <w:r w:rsidR="000A41B2" w:rsidRPr="006F1FC1">
        <w:rPr>
          <w:rFonts w:eastAsia="Times New Roman" w:cs="Arial"/>
          <w:color w:val="222222"/>
          <w:sz w:val="21"/>
          <w:szCs w:val="21"/>
          <w:lang w:eastAsia="en-US"/>
        </w:rPr>
        <w:t>(</w:t>
      </w:r>
      <w:r w:rsidR="00195B5C" w:rsidRPr="006F1FC1">
        <w:rPr>
          <w:rFonts w:eastAsia="Times New Roman" w:cs="Arial"/>
          <w:color w:val="222222"/>
          <w:sz w:val="21"/>
          <w:szCs w:val="21"/>
          <w:lang w:eastAsia="en-US"/>
        </w:rPr>
        <w:t xml:space="preserve">Some examples have </w:t>
      </w:r>
      <w:r w:rsidRPr="006F1FC1">
        <w:rPr>
          <w:rFonts w:eastAsia="Times New Roman" w:cs="Arial"/>
          <w:color w:val="222222"/>
          <w:sz w:val="21"/>
          <w:szCs w:val="21"/>
          <w:lang w:eastAsia="en-US"/>
        </w:rPr>
        <w:t xml:space="preserve">been provided </w:t>
      </w:r>
      <w:r w:rsidR="001F2037" w:rsidRPr="006F1FC1">
        <w:rPr>
          <w:rFonts w:eastAsia="Times New Roman" w:cs="Arial"/>
          <w:color w:val="222222"/>
          <w:sz w:val="21"/>
          <w:szCs w:val="21"/>
          <w:lang w:eastAsia="en-US"/>
        </w:rPr>
        <w:t>using PHAB Domain 1</w:t>
      </w:r>
      <w:r w:rsidR="000A41B2" w:rsidRPr="006F1FC1">
        <w:rPr>
          <w:rFonts w:eastAsia="Times New Roman" w:cs="Arial"/>
          <w:color w:val="222222"/>
          <w:sz w:val="21"/>
          <w:szCs w:val="21"/>
          <w:lang w:eastAsia="en-US"/>
        </w:rPr>
        <w:t xml:space="preserve">: </w:t>
      </w:r>
      <w:r w:rsidR="001F2037" w:rsidRPr="006F1FC1">
        <w:rPr>
          <w:rFonts w:eastAsia="Times New Roman" w:cs="Arial"/>
          <w:color w:val="222222"/>
          <w:sz w:val="21"/>
          <w:szCs w:val="21"/>
          <w:lang w:eastAsia="en-US"/>
        </w:rPr>
        <w:t>Conduct and disseminate assessments focused on population health status and public health issues facing the community.</w:t>
      </w:r>
      <w:r w:rsidR="000A41B2" w:rsidRPr="006F1FC1">
        <w:rPr>
          <w:rFonts w:eastAsia="Times New Roman" w:cs="Arial"/>
          <w:color w:val="222222"/>
          <w:sz w:val="21"/>
          <w:szCs w:val="21"/>
          <w:lang w:eastAsia="en-US"/>
        </w:rPr>
        <w:t>)</w:t>
      </w:r>
    </w:p>
    <w:p w14:paraId="0E306FA1" w14:textId="77777777" w:rsidR="001F2037" w:rsidRPr="006F1FC1" w:rsidRDefault="001F2037" w:rsidP="00041C21">
      <w:pPr>
        <w:pStyle w:val="ListParagraph"/>
        <w:numPr>
          <w:ilvl w:val="0"/>
          <w:numId w:val="4"/>
        </w:numPr>
        <w:rPr>
          <w:rFonts w:eastAsia="Times New Roman" w:cs="Arial"/>
          <w:color w:val="222222"/>
          <w:sz w:val="21"/>
          <w:szCs w:val="21"/>
          <w:lang w:eastAsia="en-US"/>
        </w:rPr>
      </w:pPr>
      <w:r w:rsidRPr="006F1FC1">
        <w:rPr>
          <w:rFonts w:eastAsia="Times New Roman" w:cs="Arial"/>
          <w:color w:val="222222"/>
          <w:sz w:val="21"/>
          <w:szCs w:val="21"/>
          <w:lang w:eastAsia="en-US"/>
        </w:rPr>
        <w:t>Fill in the modernization capabilities and programs that align with the PHAB domains as identified in Crosswalk #1 in the second column of the table</w:t>
      </w:r>
      <w:r w:rsidR="000A41B2" w:rsidRPr="006F1FC1">
        <w:rPr>
          <w:rFonts w:eastAsia="Times New Roman" w:cs="Arial"/>
          <w:color w:val="222222"/>
          <w:sz w:val="21"/>
          <w:szCs w:val="21"/>
          <w:lang w:eastAsia="en-US"/>
        </w:rPr>
        <w:t xml:space="preserve"> (those shaded in yellow)</w:t>
      </w:r>
      <w:r w:rsidRPr="006F1FC1">
        <w:rPr>
          <w:rFonts w:eastAsia="Times New Roman" w:cs="Arial"/>
          <w:color w:val="222222"/>
          <w:sz w:val="21"/>
          <w:szCs w:val="21"/>
          <w:lang w:eastAsia="en-US"/>
        </w:rPr>
        <w:t>.</w:t>
      </w:r>
    </w:p>
    <w:p w14:paraId="4890F2B8" w14:textId="03B7F905" w:rsidR="00CD3195" w:rsidRPr="006F1FC1" w:rsidRDefault="001F2037" w:rsidP="006F1FC1">
      <w:pPr>
        <w:pStyle w:val="ListParagraph"/>
        <w:numPr>
          <w:ilvl w:val="0"/>
          <w:numId w:val="4"/>
        </w:numPr>
        <w:rPr>
          <w:rFonts w:eastAsia="Times New Roman" w:cs="Arial"/>
          <w:color w:val="222222"/>
          <w:sz w:val="21"/>
          <w:szCs w:val="21"/>
          <w:lang w:eastAsia="en-US"/>
        </w:rPr>
      </w:pPr>
      <w:r w:rsidRPr="006F1FC1">
        <w:rPr>
          <w:rFonts w:eastAsia="Times New Roman" w:cs="Arial"/>
          <w:color w:val="222222"/>
          <w:sz w:val="21"/>
          <w:szCs w:val="21"/>
          <w:lang w:eastAsia="en-US"/>
        </w:rPr>
        <w:t xml:space="preserve">For the remaining columns use the </w:t>
      </w:r>
      <w:hyperlink r:id="rId11" w:tgtFrame="_blank" w:history="1">
        <w:r w:rsidRPr="006F1FC1">
          <w:rPr>
            <w:rFonts w:eastAsia="Times New Roman" w:cs="Arial"/>
            <w:color w:val="1155CC"/>
            <w:sz w:val="21"/>
            <w:szCs w:val="21"/>
            <w:u w:val="single"/>
            <w:lang w:eastAsia="en-US"/>
          </w:rPr>
          <w:t>PHAB Standards and Measures (2015)</w:t>
        </w:r>
      </w:hyperlink>
      <w:r w:rsidRPr="006F1FC1">
        <w:rPr>
          <w:rFonts w:eastAsia="Times New Roman" w:cs="Arial"/>
          <w:color w:val="222222"/>
          <w:sz w:val="21"/>
          <w:szCs w:val="21"/>
          <w:lang w:eastAsia="en-US"/>
        </w:rPr>
        <w:t xml:space="preserve"> manual to complete the appropriate columns for the PHAB Standard</w:t>
      </w:r>
      <w:r w:rsidR="009F5012" w:rsidRPr="006F1FC1">
        <w:rPr>
          <w:rFonts w:eastAsia="Times New Roman" w:cs="Arial"/>
          <w:color w:val="222222"/>
          <w:sz w:val="21"/>
          <w:szCs w:val="21"/>
          <w:lang w:eastAsia="en-US"/>
        </w:rPr>
        <w:t>s</w:t>
      </w:r>
      <w:r w:rsidRPr="006F1FC1">
        <w:rPr>
          <w:rFonts w:eastAsia="Times New Roman" w:cs="Arial"/>
          <w:color w:val="222222"/>
          <w:sz w:val="21"/>
          <w:szCs w:val="21"/>
          <w:lang w:eastAsia="en-US"/>
        </w:rPr>
        <w:t xml:space="preserve"> and Measures (local/tribal only) as well as identify any Required Documentation (including examples). </w:t>
      </w:r>
    </w:p>
    <w:sectPr w:rsidR="00CD3195" w:rsidRPr="006F1FC1" w:rsidSect="006F1FC1">
      <w:footerReference w:type="default" r:id="rId12"/>
      <w:pgSz w:w="12240" w:h="15840"/>
      <w:pgMar w:top="115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ED68E6" w14:textId="77777777" w:rsidR="00E912F7" w:rsidRDefault="00E912F7" w:rsidP="006F1FC1">
      <w:r>
        <w:separator/>
      </w:r>
    </w:p>
  </w:endnote>
  <w:endnote w:type="continuationSeparator" w:id="0">
    <w:p w14:paraId="10F42FB4" w14:textId="77777777" w:rsidR="00E912F7" w:rsidRDefault="00E912F7" w:rsidP="006F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Optima">
    <w:panose1 w:val="02000503060000020004"/>
    <w:charset w:val="00"/>
    <w:family w:val="swiss"/>
    <w:pitch w:val="variable"/>
    <w:sig w:usb0="80000067" w:usb1="00000000" w:usb2="00000000" w:usb3="00000000" w:csb0="00000001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D41B6" w14:textId="0EE376EE" w:rsidR="006F1FC1" w:rsidRPr="006F1FC1" w:rsidRDefault="006F1FC1">
    <w:pPr>
      <w:pStyle w:val="Footer"/>
      <w:rPr>
        <w:sz w:val="16"/>
        <w:szCs w:val="16"/>
      </w:rPr>
    </w:pPr>
    <w:r>
      <w:rPr>
        <w:sz w:val="16"/>
        <w:szCs w:val="16"/>
      </w:rPr>
      <w:t xml:space="preserve">Developed by </w:t>
    </w:r>
    <w:r w:rsidRPr="006F1FC1">
      <w:rPr>
        <w:sz w:val="16"/>
        <w:szCs w:val="16"/>
      </w:rPr>
      <w:t>The Rede Group for the Oregon Coalition of Local Health Officials</w:t>
    </w:r>
    <w:r>
      <w:rPr>
        <w:sz w:val="16"/>
        <w:szCs w:val="16"/>
      </w:rPr>
      <w:t xml:space="preserve"> || 2018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760854" w14:textId="77777777" w:rsidR="00E912F7" w:rsidRDefault="00E912F7" w:rsidP="006F1FC1">
      <w:r>
        <w:separator/>
      </w:r>
    </w:p>
  </w:footnote>
  <w:footnote w:type="continuationSeparator" w:id="0">
    <w:p w14:paraId="5D6A19CA" w14:textId="77777777" w:rsidR="00E912F7" w:rsidRDefault="00E912F7" w:rsidP="006F1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F2581"/>
    <w:multiLevelType w:val="hybridMultilevel"/>
    <w:tmpl w:val="DE5270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DE0167"/>
    <w:multiLevelType w:val="hybridMultilevel"/>
    <w:tmpl w:val="D86C1F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DE5786"/>
    <w:multiLevelType w:val="hybridMultilevel"/>
    <w:tmpl w:val="E0164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930F13"/>
    <w:multiLevelType w:val="hybridMultilevel"/>
    <w:tmpl w:val="DE9A7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6FF"/>
    <w:rsid w:val="00041C21"/>
    <w:rsid w:val="000842A6"/>
    <w:rsid w:val="00092405"/>
    <w:rsid w:val="000A41B2"/>
    <w:rsid w:val="000C5767"/>
    <w:rsid w:val="000F0959"/>
    <w:rsid w:val="00134B11"/>
    <w:rsid w:val="00195B5C"/>
    <w:rsid w:val="001F2037"/>
    <w:rsid w:val="002516FF"/>
    <w:rsid w:val="0028754A"/>
    <w:rsid w:val="00357550"/>
    <w:rsid w:val="00436DA3"/>
    <w:rsid w:val="0049787F"/>
    <w:rsid w:val="0068464B"/>
    <w:rsid w:val="006F1FC1"/>
    <w:rsid w:val="007E0651"/>
    <w:rsid w:val="00806F1B"/>
    <w:rsid w:val="00820400"/>
    <w:rsid w:val="008A7932"/>
    <w:rsid w:val="00922D4F"/>
    <w:rsid w:val="009F5012"/>
    <w:rsid w:val="00A21FEF"/>
    <w:rsid w:val="00A941B4"/>
    <w:rsid w:val="00CD3195"/>
    <w:rsid w:val="00DF4541"/>
    <w:rsid w:val="00E912F7"/>
    <w:rsid w:val="00EA305E"/>
    <w:rsid w:val="00F94E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0A3F201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tima" w:eastAsiaTheme="minorEastAsia" w:hAnsi="Optima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A7932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5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5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16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4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1F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FC1"/>
  </w:style>
  <w:style w:type="paragraph" w:styleId="Footer">
    <w:name w:val="footer"/>
    <w:basedOn w:val="Normal"/>
    <w:link w:val="FooterChar"/>
    <w:uiPriority w:val="99"/>
    <w:unhideWhenUsed/>
    <w:rsid w:val="006F1F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haboard.org/wp-content/uploads/PHABSM_WEB_LR1.pdf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phaboard.org/wp-content/uploads/PHABSM_WEB_LR1.pdf" TargetMode="External"/><Relationship Id="rId8" Type="http://schemas.openxmlformats.org/officeDocument/2006/relationships/hyperlink" Target="http://www.oregon.gov/oha/ph/About/TaskForce/Documents/public_health_modernization_manual.pdf" TargetMode="External"/><Relationship Id="rId9" Type="http://schemas.openxmlformats.org/officeDocument/2006/relationships/hyperlink" Target="http://www.phaboard.org/wp-content/uploads/PHABSM_WEB_LR1.pdf" TargetMode="External"/><Relationship Id="rId10" Type="http://schemas.openxmlformats.org/officeDocument/2006/relationships/hyperlink" Target="http://www.phaboard.org/wp-content/uploads/PHABSM_WEB_LR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614</Words>
  <Characters>3505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Rede Group</Company>
  <LinksUpToDate>false</LinksUpToDate>
  <CharactersWithSpaces>4111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Caralee Oakey</dc:creator>
  <cp:keywords/>
  <dc:description/>
  <cp:lastModifiedBy>Jill Huston</cp:lastModifiedBy>
  <cp:revision>3</cp:revision>
  <dcterms:created xsi:type="dcterms:W3CDTF">2018-02-23T17:32:00Z</dcterms:created>
  <dcterms:modified xsi:type="dcterms:W3CDTF">2018-02-23T17:33:00Z</dcterms:modified>
</cp:coreProperties>
</file>