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37" w:rsidRDefault="00E24217" w:rsidP="00E6157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</w:t>
      </w:r>
      <w:r w:rsidR="00E61579">
        <w:rPr>
          <w:b/>
          <w:sz w:val="28"/>
          <w:szCs w:val="28"/>
        </w:rPr>
        <w:t xml:space="preserve"> Minutes</w:t>
      </w:r>
    </w:p>
    <w:p w:rsidR="00BE3D69" w:rsidRDefault="00A006FA" w:rsidP="00E61579">
      <w:pPr>
        <w:spacing w:after="0" w:line="240" w:lineRule="auto"/>
        <w:jc w:val="center"/>
      </w:pPr>
      <w:r>
        <w:t>March 19</w:t>
      </w:r>
      <w:r w:rsidR="00F26C92" w:rsidRPr="00F26C92">
        <w:rPr>
          <w:vertAlign w:val="superscript"/>
        </w:rPr>
        <w:t>th</w:t>
      </w:r>
      <w:r w:rsidR="00F26C92">
        <w:t xml:space="preserve"> 2018 2 to 3</w:t>
      </w:r>
      <w:r w:rsidR="00E9478D">
        <w:t>:30</w:t>
      </w:r>
      <w:r w:rsidR="00F26C92">
        <w:t xml:space="preserve"> pm</w:t>
      </w:r>
    </w:p>
    <w:p w:rsidR="00BE3D69" w:rsidRDefault="00BE3D69" w:rsidP="00E61579">
      <w:pPr>
        <w:spacing w:after="0" w:line="240" w:lineRule="auto"/>
        <w:jc w:val="center"/>
      </w:pPr>
      <w:r>
        <w:t>PSOB room 915</w:t>
      </w:r>
    </w:p>
    <w:p w:rsidR="00E61579" w:rsidRDefault="00E61579" w:rsidP="00E61579">
      <w:pPr>
        <w:spacing w:after="0" w:line="240" w:lineRule="auto"/>
      </w:pPr>
      <w:r>
        <w:t xml:space="preserve">Members present: Amanda Garcia-Snell, Sara </w:t>
      </w:r>
      <w:proofErr w:type="spellStart"/>
      <w:r>
        <w:t>Beaudrault</w:t>
      </w:r>
      <w:proofErr w:type="spellEnd"/>
      <w:r>
        <w:t xml:space="preserve">, Brian Johnson, Florence Pourtal-Stevens, Frank Brown, Judy </w:t>
      </w:r>
      <w:proofErr w:type="spellStart"/>
      <w:r>
        <w:t>Bankman</w:t>
      </w:r>
      <w:proofErr w:type="spellEnd"/>
      <w:r>
        <w:t xml:space="preserve">, </w:t>
      </w:r>
      <w:proofErr w:type="spellStart"/>
      <w:r>
        <w:t>Koua</w:t>
      </w:r>
      <w:proofErr w:type="spellEnd"/>
      <w:r>
        <w:t xml:space="preserve"> Cha, </w:t>
      </w:r>
      <w:r w:rsidR="000134FE">
        <w:t xml:space="preserve">Lindsey Manfrin, </w:t>
      </w:r>
      <w:r w:rsidR="00FC6044">
        <w:t xml:space="preserve">Caitlin Hill, </w:t>
      </w:r>
      <w:r>
        <w:t>Janis Payne</w:t>
      </w:r>
    </w:p>
    <w:p w:rsidR="00E61579" w:rsidRDefault="00E61579" w:rsidP="00E61579">
      <w:pPr>
        <w:spacing w:after="0" w:line="240" w:lineRule="auto"/>
      </w:pPr>
      <w:r>
        <w:t xml:space="preserve">Guests: Kim </w:t>
      </w:r>
      <w:proofErr w:type="spellStart"/>
      <w:r>
        <w:t>LaCroix</w:t>
      </w:r>
      <w:proofErr w:type="spellEnd"/>
      <w:r>
        <w:t>, Andrew Epstein, Caitlin Hill</w:t>
      </w:r>
    </w:p>
    <w:tbl>
      <w:tblPr>
        <w:tblStyle w:val="TableGrid"/>
        <w:tblW w:w="9825" w:type="dxa"/>
        <w:jc w:val="center"/>
        <w:tblLook w:val="04A0" w:firstRow="1" w:lastRow="0" w:firstColumn="1" w:lastColumn="0" w:noHBand="0" w:noVBand="1"/>
      </w:tblPr>
      <w:tblGrid>
        <w:gridCol w:w="2785"/>
        <w:gridCol w:w="5018"/>
        <w:gridCol w:w="2022"/>
      </w:tblGrid>
      <w:tr w:rsidR="00564485" w:rsidRPr="00BE3D69" w:rsidTr="00564485">
        <w:trPr>
          <w:trHeight w:val="432"/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:rsidR="00564485" w:rsidRPr="00BE3D69" w:rsidRDefault="00564485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5018" w:type="dxa"/>
            <w:shd w:val="clear" w:color="auto" w:fill="D9D9D9" w:themeFill="background1" w:themeFillShade="D9"/>
          </w:tcPr>
          <w:p w:rsidR="00564485" w:rsidRPr="00BE3D69" w:rsidRDefault="00564485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:rsidR="00564485" w:rsidRPr="00BE3D69" w:rsidRDefault="00564485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</w:tr>
      <w:tr w:rsidR="00564485" w:rsidTr="00564485">
        <w:trPr>
          <w:jc w:val="center"/>
        </w:trPr>
        <w:tc>
          <w:tcPr>
            <w:tcW w:w="2785" w:type="dxa"/>
          </w:tcPr>
          <w:p w:rsidR="00564485" w:rsidRDefault="00564485" w:rsidP="00BE3D69">
            <w:r>
              <w:t>Welcome, Introductions (as needed) and roll call</w:t>
            </w:r>
          </w:p>
        </w:tc>
        <w:tc>
          <w:tcPr>
            <w:tcW w:w="5018" w:type="dxa"/>
          </w:tcPr>
          <w:p w:rsidR="00564485" w:rsidRDefault="00564485" w:rsidP="00BE3D69">
            <w:r>
              <w:t>Quorum is 50% +1 of committee membership</w:t>
            </w:r>
          </w:p>
          <w:p w:rsidR="00564485" w:rsidRDefault="000134FE" w:rsidP="00BE3D69">
            <w:r>
              <w:t>Quorum was not achieved.</w:t>
            </w:r>
          </w:p>
        </w:tc>
        <w:tc>
          <w:tcPr>
            <w:tcW w:w="2022" w:type="dxa"/>
          </w:tcPr>
          <w:p w:rsidR="00564485" w:rsidRDefault="00564485" w:rsidP="00BE3D69">
            <w:r>
              <w:t>Mike and Florence</w:t>
            </w:r>
          </w:p>
        </w:tc>
      </w:tr>
      <w:tr w:rsidR="00564485" w:rsidTr="00564485">
        <w:trPr>
          <w:jc w:val="center"/>
        </w:trPr>
        <w:tc>
          <w:tcPr>
            <w:tcW w:w="2785" w:type="dxa"/>
          </w:tcPr>
          <w:p w:rsidR="00564485" w:rsidRDefault="00564485" w:rsidP="00BE3D69">
            <w:r>
              <w:t>Review of minutes</w:t>
            </w:r>
          </w:p>
        </w:tc>
        <w:tc>
          <w:tcPr>
            <w:tcW w:w="5018" w:type="dxa"/>
          </w:tcPr>
          <w:p w:rsidR="00564485" w:rsidRDefault="00564485" w:rsidP="00BE3D69">
            <w:r>
              <w:t xml:space="preserve">Review minutes from last meeting, make corrections as needed </w:t>
            </w:r>
          </w:p>
          <w:p w:rsidR="00564485" w:rsidRDefault="000134FE" w:rsidP="00BE3D69">
            <w:r>
              <w:t>Quorum was not achieved.</w:t>
            </w:r>
          </w:p>
        </w:tc>
        <w:tc>
          <w:tcPr>
            <w:tcW w:w="2022" w:type="dxa"/>
          </w:tcPr>
          <w:p w:rsidR="00564485" w:rsidRDefault="00564485" w:rsidP="00F26C92">
            <w:r>
              <w:t>Mike and Florence</w:t>
            </w:r>
          </w:p>
        </w:tc>
      </w:tr>
      <w:tr w:rsidR="00564485" w:rsidTr="00564485">
        <w:trPr>
          <w:jc w:val="center"/>
        </w:trPr>
        <w:tc>
          <w:tcPr>
            <w:tcW w:w="2785" w:type="dxa"/>
          </w:tcPr>
          <w:p w:rsidR="00564485" w:rsidRDefault="00564485" w:rsidP="00BE3D69">
            <w:r>
              <w:t>Approve Committee Charter</w:t>
            </w:r>
          </w:p>
        </w:tc>
        <w:tc>
          <w:tcPr>
            <w:tcW w:w="5018" w:type="dxa"/>
          </w:tcPr>
          <w:p w:rsidR="00564485" w:rsidRDefault="00564485" w:rsidP="00BE3D69">
            <w:r>
              <w:t>Approve Charter since we did not have quorum at January meeting</w:t>
            </w:r>
          </w:p>
          <w:p w:rsidR="00564485" w:rsidRDefault="002C4D60" w:rsidP="00BE3D69">
            <w:r>
              <w:t xml:space="preserve">Approved at February meeting. </w:t>
            </w:r>
          </w:p>
        </w:tc>
        <w:tc>
          <w:tcPr>
            <w:tcW w:w="2022" w:type="dxa"/>
          </w:tcPr>
          <w:p w:rsidR="00564485" w:rsidRDefault="00564485" w:rsidP="00F26C92">
            <w:r>
              <w:t>Mike and Florence</w:t>
            </w:r>
          </w:p>
        </w:tc>
      </w:tr>
      <w:tr w:rsidR="00564485" w:rsidTr="00564485">
        <w:trPr>
          <w:jc w:val="center"/>
        </w:trPr>
        <w:tc>
          <w:tcPr>
            <w:tcW w:w="2785" w:type="dxa"/>
          </w:tcPr>
          <w:p w:rsidR="00564485" w:rsidRDefault="00564485" w:rsidP="00564485">
            <w:r>
              <w:t>Presentation of the revised triennial review tools</w:t>
            </w:r>
          </w:p>
        </w:tc>
        <w:tc>
          <w:tcPr>
            <w:tcW w:w="5018" w:type="dxa"/>
          </w:tcPr>
          <w:p w:rsidR="00564485" w:rsidRDefault="00564485" w:rsidP="00D230D8">
            <w:r>
              <w:t>Kim and Andrew will present on the revised triennial review administrative review tool, health officer tool and supplemental information form. They would like some feedback from our committee.</w:t>
            </w:r>
          </w:p>
          <w:p w:rsidR="00B605E9" w:rsidRDefault="00B605E9" w:rsidP="00D230D8"/>
          <w:p w:rsidR="00821562" w:rsidRDefault="00B605E9" w:rsidP="00D230D8">
            <w:r>
              <w:t>Our intention is to align the review tools with the current statutes and rules.</w:t>
            </w:r>
            <w:r>
              <w:rPr>
                <w:b/>
                <w:color w:val="FF0000"/>
              </w:rPr>
              <w:t xml:space="preserve"> </w:t>
            </w:r>
            <w:r w:rsidRPr="00B605E9">
              <w:t>Areas outside our purview to review have been removed</w:t>
            </w:r>
            <w:r w:rsidR="009D2F44">
              <w:t xml:space="preserve">. </w:t>
            </w:r>
            <w:r w:rsidRPr="00B605E9">
              <w:t xml:space="preserve"> CLHO minimum standards</w:t>
            </w:r>
            <w:r w:rsidR="009D2F44">
              <w:t xml:space="preserve"> were removed as t</w:t>
            </w:r>
            <w:r w:rsidR="00821562">
              <w:t>hose were supplanted by the modernization rules. We want to ensure we align with Federal and State content requirements</w:t>
            </w:r>
            <w:r w:rsidR="0067454D">
              <w:t xml:space="preserve"> and</w:t>
            </w:r>
            <w:r w:rsidR="00821562">
              <w:t xml:space="preserve"> want to eliminate duplication in the review tools. </w:t>
            </w:r>
          </w:p>
          <w:p w:rsidR="00821562" w:rsidRDefault="00821562" w:rsidP="00D230D8"/>
          <w:p w:rsidR="00103003" w:rsidRDefault="00564485" w:rsidP="00D230D8">
            <w:r>
              <w:t xml:space="preserve">Administration review tool: </w:t>
            </w:r>
            <w:r w:rsidR="009D2F44">
              <w:t xml:space="preserve">We are trying to get a sense of how </w:t>
            </w:r>
            <w:r w:rsidR="00103003">
              <w:t xml:space="preserve">services and foundational programs are being delivered. LPHA’s have the option to do compliance only or compliance and quality assurance. We are not asking for specific documentation. </w:t>
            </w:r>
            <w:r w:rsidR="008814DB">
              <w:t xml:space="preserve">It is more conversational, looking for awareness of OARs. There will be a one-pager titled “Preparing for the Administrative, Civil Rights and Health Officer Review” to walk </w:t>
            </w:r>
            <w:r w:rsidR="00FE030C">
              <w:t xml:space="preserve">LPHAs through what will be required. </w:t>
            </w:r>
          </w:p>
          <w:p w:rsidR="00FE030C" w:rsidRDefault="00FE030C" w:rsidP="00D230D8"/>
          <w:p w:rsidR="00FE030C" w:rsidRDefault="00FE030C" w:rsidP="00D230D8">
            <w:r>
              <w:t>Sub-awards and sub-contracting: This applies if a LPHA is contracting for a substantial amount of services. This ensures OHA is notified of sub-contracting and that the sub-contractor is sufficiently monitored.</w:t>
            </w:r>
            <w:r w:rsidR="00E16ED7">
              <w:t xml:space="preserve"> </w:t>
            </w:r>
            <w:r w:rsidR="00B85644">
              <w:t xml:space="preserve">The sub-contractor will have to comply with </w:t>
            </w:r>
            <w:r w:rsidR="00C84DBD">
              <w:t xml:space="preserve">all civil </w:t>
            </w:r>
            <w:r w:rsidR="002259F9">
              <w:t xml:space="preserve">rights </w:t>
            </w:r>
            <w:r w:rsidR="00C84DBD">
              <w:t xml:space="preserve">requirements. </w:t>
            </w:r>
            <w:r w:rsidR="00E16ED7">
              <w:t>OHA will also need to see a copy of the contract to ensure it meets all the requirements of the FAA.</w:t>
            </w:r>
          </w:p>
          <w:p w:rsidR="00564485" w:rsidRDefault="0019425A" w:rsidP="002259F9">
            <w:r>
              <w:lastRenderedPageBreak/>
              <w:t xml:space="preserve">Nursing, pharmacy and personnel review requirements are greatly reduced. </w:t>
            </w:r>
          </w:p>
        </w:tc>
        <w:tc>
          <w:tcPr>
            <w:tcW w:w="2022" w:type="dxa"/>
          </w:tcPr>
          <w:p w:rsidR="00564485" w:rsidRDefault="00564485" w:rsidP="00D230D8">
            <w:r>
              <w:lastRenderedPageBreak/>
              <w:t>Kim La</w:t>
            </w:r>
            <w:r w:rsidR="008814DB">
              <w:t xml:space="preserve"> </w:t>
            </w:r>
            <w:r>
              <w:t>Croix and Andrew Epstein</w:t>
            </w:r>
          </w:p>
        </w:tc>
      </w:tr>
      <w:tr w:rsidR="00564485" w:rsidTr="00564485">
        <w:trPr>
          <w:jc w:val="center"/>
        </w:trPr>
        <w:tc>
          <w:tcPr>
            <w:tcW w:w="2785" w:type="dxa"/>
            <w:vMerge w:val="restart"/>
          </w:tcPr>
          <w:p w:rsidR="00564485" w:rsidRDefault="00564485" w:rsidP="00D230D8">
            <w:r>
              <w:t>SI committee work plan</w:t>
            </w:r>
          </w:p>
        </w:tc>
        <w:tc>
          <w:tcPr>
            <w:tcW w:w="5018" w:type="dxa"/>
          </w:tcPr>
          <w:p w:rsidR="00564485" w:rsidRDefault="00564485" w:rsidP="00D230D8">
            <w:r>
              <w:t>Review, discuss and approve draft work plan.</w:t>
            </w:r>
          </w:p>
          <w:p w:rsidR="00DD3D74" w:rsidRDefault="00564485" w:rsidP="00D230D8">
            <w:r>
              <w:t xml:space="preserve">Objectives: </w:t>
            </w:r>
            <w:r w:rsidR="00DD3D74">
              <w:t xml:space="preserve"> </w:t>
            </w:r>
          </w:p>
          <w:p w:rsidR="005346F7" w:rsidRDefault="005346F7" w:rsidP="00D230D8"/>
          <w:p w:rsidR="005346F7" w:rsidRDefault="005346F7" w:rsidP="005346F7">
            <w:pPr>
              <w:pStyle w:val="ListParagraph"/>
              <w:numPr>
                <w:ilvl w:val="0"/>
                <w:numId w:val="1"/>
              </w:numPr>
            </w:pPr>
            <w:r>
              <w:t>Ensure high quality measurement of program elements, perhaps using a checklist.</w:t>
            </w:r>
          </w:p>
          <w:p w:rsidR="005346F7" w:rsidRDefault="005346F7" w:rsidP="007C210A">
            <w:pPr>
              <w:pStyle w:val="ListParagraph"/>
              <w:numPr>
                <w:ilvl w:val="0"/>
                <w:numId w:val="1"/>
              </w:numPr>
            </w:pPr>
            <w:r>
              <w:t>Identify methods to align public h</w:t>
            </w:r>
            <w:r w:rsidR="007A6E0E">
              <w:t>ealth modernization</w:t>
            </w:r>
            <w:r w:rsidR="00E07468">
              <w:t xml:space="preserve"> and </w:t>
            </w:r>
            <w:r>
              <w:t>accreditation.</w:t>
            </w:r>
            <w:r w:rsidR="007C210A">
              <w:t xml:space="preserve"> The Reed Group has been working with CLHO to develop a crosswalk between the two which we can use as a starting point.</w:t>
            </w:r>
            <w:r w:rsidR="007A6E0E">
              <w:t xml:space="preserve"> </w:t>
            </w:r>
          </w:p>
          <w:p w:rsidR="005346F7" w:rsidRDefault="005346F7" w:rsidP="005346F7">
            <w:pPr>
              <w:pStyle w:val="ListParagraph"/>
              <w:numPr>
                <w:ilvl w:val="0"/>
                <w:numId w:val="1"/>
              </w:numPr>
            </w:pPr>
            <w:r>
              <w:t>Identify and make recommendations t</w:t>
            </w:r>
            <w:r w:rsidR="007C210A">
              <w:t xml:space="preserve">o eliminate duplicate reporting, especially fiscal reporting. </w:t>
            </w:r>
            <w:r w:rsidR="007A6E0E">
              <w:t>We may have a role in the annual county public health budgeting report.</w:t>
            </w:r>
          </w:p>
          <w:p w:rsidR="005346F7" w:rsidRDefault="005346F7" w:rsidP="005346F7">
            <w:pPr>
              <w:pStyle w:val="ListParagraph"/>
              <w:numPr>
                <w:ilvl w:val="0"/>
                <w:numId w:val="1"/>
              </w:numPr>
            </w:pPr>
            <w:r>
              <w:t xml:space="preserve">Develop </w:t>
            </w:r>
            <w:r w:rsidR="005B3161">
              <w:t xml:space="preserve">a process for </w:t>
            </w:r>
            <w:r w:rsidR="002133CA">
              <w:t>funding formulas inclusive of</w:t>
            </w:r>
            <w:r w:rsidR="005B3161">
              <w:t xml:space="preserve"> reviews or modifications to program elements</w:t>
            </w:r>
            <w:r>
              <w:t xml:space="preserve">. </w:t>
            </w:r>
            <w:r w:rsidR="002133CA">
              <w:t>Can this be combined with objective one?</w:t>
            </w:r>
          </w:p>
          <w:p w:rsidR="002133CA" w:rsidRDefault="002133CA" w:rsidP="005346F7">
            <w:pPr>
              <w:pStyle w:val="ListParagraph"/>
              <w:numPr>
                <w:ilvl w:val="0"/>
                <w:numId w:val="1"/>
              </w:numPr>
            </w:pPr>
            <w:r>
              <w:t>Identify methods and/or procedures to remain flexible as new public health and/or CLHO issues emerge.</w:t>
            </w:r>
          </w:p>
          <w:p w:rsidR="0026232E" w:rsidRDefault="0026232E" w:rsidP="00D230D8">
            <w:pPr>
              <w:rPr>
                <w:b/>
                <w:color w:val="FF0000"/>
              </w:rPr>
            </w:pPr>
          </w:p>
          <w:p w:rsidR="00DD3D74" w:rsidRDefault="006056A2" w:rsidP="00D230D8">
            <w:r>
              <w:t xml:space="preserve">It would be helpful to align accreditation requirements with triennial review requirements. </w:t>
            </w:r>
            <w:r w:rsidR="008E61F8">
              <w:t>A large portion of the accreditation process is d</w:t>
            </w:r>
            <w:r>
              <w:t>evelop</w:t>
            </w:r>
            <w:r w:rsidR="008E61F8">
              <w:t>ing</w:t>
            </w:r>
            <w:r>
              <w:t xml:space="preserve"> a performance management plan and system and a quality improvement plan. </w:t>
            </w:r>
            <w:r w:rsidR="008E61F8">
              <w:t>North Central incorporated</w:t>
            </w:r>
            <w:r w:rsidR="006D4836">
              <w:t xml:space="preserve"> modernization into the performance management plan using the foundational programs and capabilities to</w:t>
            </w:r>
            <w:r w:rsidR="008E61F8">
              <w:t xml:space="preserve"> guide the measures and goals then b</w:t>
            </w:r>
            <w:r w:rsidR="006D4836">
              <w:t>reaking it down accor</w:t>
            </w:r>
            <w:r w:rsidR="008E61F8">
              <w:t>ding to foundational programs. Another suggestion is to compile</w:t>
            </w:r>
            <w:r w:rsidR="006D4836">
              <w:t xml:space="preserve"> comments on what offices need to work on before their re-accreditation comes up and see if there are any themes we could work into the triennial review process. </w:t>
            </w:r>
          </w:p>
          <w:p w:rsidR="00564485" w:rsidRDefault="00C46E37" w:rsidP="001D32F8">
            <w:r>
              <w:t>There is an a</w:t>
            </w:r>
            <w:r w:rsidR="00564485">
              <w:t xml:space="preserve">ccreditation </w:t>
            </w:r>
            <w:r>
              <w:t>support</w:t>
            </w:r>
            <w:r w:rsidR="00564485">
              <w:t xml:space="preserve"> group that meets </w:t>
            </w:r>
            <w:r>
              <w:t>monthly</w:t>
            </w:r>
            <w:r w:rsidR="00564485">
              <w:t>.</w:t>
            </w:r>
            <w:r>
              <w:t xml:space="preserve"> They highlight and share information on trainings, resources and experiences that would help with accreditation. </w:t>
            </w:r>
            <w:r w:rsidR="00231AF6">
              <w:t xml:space="preserve">They do not have projects. It is a shared learning forum. The Systems and Innovations Committee would like to ensure that they are not duplicating the work. </w:t>
            </w:r>
            <w:r w:rsidR="001D32F8" w:rsidRPr="001D32F8">
              <w:t xml:space="preserve">Caitlin will take this committees ideas to the accreditation support group and bring </w:t>
            </w:r>
            <w:r w:rsidR="001D32F8" w:rsidRPr="001D32F8">
              <w:lastRenderedPageBreak/>
              <w:t>their feedback.</w:t>
            </w:r>
            <w:r w:rsidR="00564485">
              <w:t xml:space="preserve"> </w:t>
            </w:r>
            <w:r w:rsidR="008A3F65" w:rsidRPr="008A3F65">
              <w:t xml:space="preserve">What is PHABs interest in modernization alignment? </w:t>
            </w:r>
            <w:r w:rsidR="0026232E">
              <w:t xml:space="preserve">Re-accreditation is not a pressing issue </w:t>
            </w:r>
            <w:r w:rsidR="00E66FD6">
              <w:t xml:space="preserve">to any of our offices </w:t>
            </w:r>
            <w:r w:rsidR="0026232E">
              <w:t xml:space="preserve">right now. </w:t>
            </w:r>
            <w:r w:rsidR="001D32F8">
              <w:t>What is PHABs interest in modernization alignment?</w:t>
            </w:r>
            <w:r w:rsidR="00564485">
              <w:t xml:space="preserve"> </w:t>
            </w:r>
          </w:p>
          <w:p w:rsidR="003853D4" w:rsidRDefault="003853D4" w:rsidP="00D62CC4">
            <w:r>
              <w:t>Objectives one and f</w:t>
            </w:r>
            <w:r w:rsidR="007F49A8">
              <w:t xml:space="preserve">our seem to be the priority for </w:t>
            </w:r>
            <w:r>
              <w:t>CLHO.</w:t>
            </w:r>
            <w:r w:rsidR="00D62CC4">
              <w:t xml:space="preserve"> We could develop a checklist to ensure the program elements are reviewed in tandem with the fiscal.</w:t>
            </w:r>
            <w:r w:rsidR="007F49A8">
              <w:t xml:space="preserve"> Get direction from CLHO. </w:t>
            </w:r>
          </w:p>
        </w:tc>
        <w:tc>
          <w:tcPr>
            <w:tcW w:w="2022" w:type="dxa"/>
          </w:tcPr>
          <w:p w:rsidR="00564485" w:rsidRDefault="003E5A42" w:rsidP="00D230D8">
            <w:r>
              <w:lastRenderedPageBreak/>
              <w:t>Florence</w:t>
            </w:r>
          </w:p>
        </w:tc>
      </w:tr>
      <w:tr w:rsidR="00564485" w:rsidTr="00A64F12">
        <w:trPr>
          <w:jc w:val="center"/>
        </w:trPr>
        <w:tc>
          <w:tcPr>
            <w:tcW w:w="2785" w:type="dxa"/>
            <w:vMerge/>
          </w:tcPr>
          <w:p w:rsidR="00564485" w:rsidRDefault="00564485" w:rsidP="00D230D8"/>
        </w:tc>
        <w:tc>
          <w:tcPr>
            <w:tcW w:w="5018" w:type="dxa"/>
          </w:tcPr>
          <w:p w:rsidR="00564485" w:rsidRDefault="00564485" w:rsidP="00D230D8"/>
        </w:tc>
        <w:tc>
          <w:tcPr>
            <w:tcW w:w="2022" w:type="dxa"/>
          </w:tcPr>
          <w:p w:rsidR="00564485" w:rsidRDefault="00564485" w:rsidP="00D230D8"/>
        </w:tc>
      </w:tr>
      <w:tr w:rsidR="00564485" w:rsidTr="00564485">
        <w:trPr>
          <w:jc w:val="center"/>
        </w:trPr>
        <w:tc>
          <w:tcPr>
            <w:tcW w:w="2785" w:type="dxa"/>
            <w:tcBorders>
              <w:bottom w:val="single" w:sz="4" w:space="0" w:color="auto"/>
            </w:tcBorders>
          </w:tcPr>
          <w:p w:rsidR="00564485" w:rsidRDefault="00564485" w:rsidP="00D230D8">
            <w:r>
              <w:t>To do item for next meeting</w:t>
            </w:r>
          </w:p>
        </w:tc>
        <w:tc>
          <w:tcPr>
            <w:tcW w:w="5018" w:type="dxa"/>
            <w:tcBorders>
              <w:bottom w:val="single" w:sz="4" w:space="0" w:color="auto"/>
            </w:tcBorders>
          </w:tcPr>
          <w:p w:rsidR="00041838" w:rsidRDefault="00564485" w:rsidP="00D230D8">
            <w:r>
              <w:t>F</w:t>
            </w:r>
            <w:r w:rsidR="00E07468">
              <w:t>l</w:t>
            </w:r>
            <w:r>
              <w:t>orence will work</w:t>
            </w:r>
            <w:r w:rsidR="00041838">
              <w:t xml:space="preserve"> with Mike</w:t>
            </w:r>
            <w:r>
              <w:t xml:space="preserve"> to put objective 1 and four</w:t>
            </w:r>
            <w:r w:rsidR="00041838">
              <w:t xml:space="preserve"> together in the work plan</w:t>
            </w:r>
            <w:r>
              <w:t xml:space="preserve">. </w:t>
            </w:r>
            <w:r w:rsidR="00B11B92">
              <w:t>They will b</w:t>
            </w:r>
            <w:r>
              <w:t xml:space="preserve">uild </w:t>
            </w:r>
            <w:r w:rsidR="00B11B92">
              <w:t xml:space="preserve">the </w:t>
            </w:r>
            <w:r>
              <w:t xml:space="preserve">next agenda around that. </w:t>
            </w:r>
          </w:p>
          <w:p w:rsidR="00041838" w:rsidRDefault="00D62CC4" w:rsidP="00D230D8">
            <w:r w:rsidRPr="00D62CC4">
              <w:t xml:space="preserve">How do we use PHAB’s funding formula as a guiding principle? </w:t>
            </w:r>
          </w:p>
          <w:p w:rsidR="00564485" w:rsidRDefault="00A64F12" w:rsidP="00D230D8">
            <w:r>
              <w:t>Caitlin will post the final report and tools dev</w:t>
            </w:r>
            <w:r w:rsidR="003853D4">
              <w:t>eloped by Re-Group.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564485" w:rsidRDefault="00041838" w:rsidP="00D230D8">
            <w:r>
              <w:t>Florence and Mike</w:t>
            </w:r>
          </w:p>
          <w:p w:rsidR="00041838" w:rsidRDefault="00041838" w:rsidP="00D230D8"/>
          <w:p w:rsidR="00041838" w:rsidRDefault="00041838" w:rsidP="00D230D8"/>
          <w:p w:rsidR="00041838" w:rsidRDefault="00041838" w:rsidP="00D230D8">
            <w:r>
              <w:t>Amanda</w:t>
            </w:r>
          </w:p>
          <w:p w:rsidR="00041838" w:rsidRDefault="00041838" w:rsidP="00D230D8"/>
          <w:p w:rsidR="00041838" w:rsidRDefault="00041838" w:rsidP="00D230D8">
            <w:r>
              <w:t>Caitlin</w:t>
            </w:r>
          </w:p>
        </w:tc>
      </w:tr>
    </w:tbl>
    <w:p w:rsidR="00BE3D69" w:rsidRDefault="00BE3D69" w:rsidP="004D045C">
      <w:pPr>
        <w:spacing w:after="0" w:line="240" w:lineRule="auto"/>
      </w:pPr>
    </w:p>
    <w:sectPr w:rsidR="00BE3D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AA" w:rsidRDefault="00CD48AA" w:rsidP="00BE3D69">
      <w:pPr>
        <w:spacing w:after="0" w:line="240" w:lineRule="auto"/>
      </w:pPr>
      <w:r>
        <w:separator/>
      </w:r>
    </w:p>
  </w:endnote>
  <w:endnote w:type="continuationSeparator" w:id="0">
    <w:p w:rsidR="00CD48AA" w:rsidRDefault="00CD48A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AA" w:rsidRDefault="00CD48AA" w:rsidP="00BE3D69">
      <w:pPr>
        <w:spacing w:after="0" w:line="240" w:lineRule="auto"/>
      </w:pPr>
      <w:r>
        <w:separator/>
      </w:r>
    </w:p>
  </w:footnote>
  <w:footnote w:type="continuationSeparator" w:id="0">
    <w:p w:rsidR="00CD48AA" w:rsidRDefault="00CD48A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D69" w:rsidRDefault="00974A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857A7D" wp14:editId="08B8F75D">
              <wp:simplePos x="0" y="0"/>
              <wp:positionH relativeFrom="column">
                <wp:posOffset>-695325</wp:posOffset>
              </wp:positionH>
              <wp:positionV relativeFrom="paragraph">
                <wp:posOffset>-257175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A37" w:rsidRPr="00726A3E" w:rsidRDefault="00974A37" w:rsidP="00974A37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group w14:anchorId="51857A7D" id="Group 4" o:spid="_x0000_s1026" style="position:absolute;margin-left:-54.75pt;margin-top:-20.25pt;width:130.5pt;height:1in;z-index:251657216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tznZ&#10;sN8AAAAM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974A37" w:rsidRPr="00726A3E" w:rsidRDefault="00974A37" w:rsidP="00974A37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DF" w:rsidRDefault="005223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55ECC"/>
    <w:multiLevelType w:val="hybridMultilevel"/>
    <w:tmpl w:val="D200D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134FE"/>
    <w:rsid w:val="00027F1E"/>
    <w:rsid w:val="00041838"/>
    <w:rsid w:val="00065871"/>
    <w:rsid w:val="000B48F1"/>
    <w:rsid w:val="00103003"/>
    <w:rsid w:val="0014787B"/>
    <w:rsid w:val="0019425A"/>
    <w:rsid w:val="001D32F8"/>
    <w:rsid w:val="002133CA"/>
    <w:rsid w:val="002259F9"/>
    <w:rsid w:val="00231AF6"/>
    <w:rsid w:val="0026232E"/>
    <w:rsid w:val="00263D21"/>
    <w:rsid w:val="002C4D60"/>
    <w:rsid w:val="002D45B3"/>
    <w:rsid w:val="002F082A"/>
    <w:rsid w:val="00362684"/>
    <w:rsid w:val="00366864"/>
    <w:rsid w:val="003853D4"/>
    <w:rsid w:val="003E5A42"/>
    <w:rsid w:val="004161E8"/>
    <w:rsid w:val="004604AF"/>
    <w:rsid w:val="00475F44"/>
    <w:rsid w:val="004A220E"/>
    <w:rsid w:val="004D045C"/>
    <w:rsid w:val="005223DF"/>
    <w:rsid w:val="005346F7"/>
    <w:rsid w:val="00564485"/>
    <w:rsid w:val="005B3161"/>
    <w:rsid w:val="00600C8F"/>
    <w:rsid w:val="006056A2"/>
    <w:rsid w:val="0061600B"/>
    <w:rsid w:val="0067454D"/>
    <w:rsid w:val="006D4836"/>
    <w:rsid w:val="006E5B61"/>
    <w:rsid w:val="007557B1"/>
    <w:rsid w:val="00756BBF"/>
    <w:rsid w:val="00797129"/>
    <w:rsid w:val="007A6E0E"/>
    <w:rsid w:val="007C210A"/>
    <w:rsid w:val="007F49A8"/>
    <w:rsid w:val="00821562"/>
    <w:rsid w:val="00830E37"/>
    <w:rsid w:val="008448B1"/>
    <w:rsid w:val="00852F63"/>
    <w:rsid w:val="00867088"/>
    <w:rsid w:val="008814DB"/>
    <w:rsid w:val="0089038E"/>
    <w:rsid w:val="008A3F65"/>
    <w:rsid w:val="008E61F8"/>
    <w:rsid w:val="00917625"/>
    <w:rsid w:val="00925C0C"/>
    <w:rsid w:val="00974A37"/>
    <w:rsid w:val="009D2F44"/>
    <w:rsid w:val="00A006FA"/>
    <w:rsid w:val="00A17AFA"/>
    <w:rsid w:val="00A403DE"/>
    <w:rsid w:val="00A43338"/>
    <w:rsid w:val="00A61E35"/>
    <w:rsid w:val="00A643F6"/>
    <w:rsid w:val="00A64F12"/>
    <w:rsid w:val="00AA257E"/>
    <w:rsid w:val="00AA4D63"/>
    <w:rsid w:val="00AC528F"/>
    <w:rsid w:val="00AE5194"/>
    <w:rsid w:val="00B010B8"/>
    <w:rsid w:val="00B11B92"/>
    <w:rsid w:val="00B40743"/>
    <w:rsid w:val="00B605E9"/>
    <w:rsid w:val="00B710DE"/>
    <w:rsid w:val="00B85644"/>
    <w:rsid w:val="00BD470D"/>
    <w:rsid w:val="00BE3D69"/>
    <w:rsid w:val="00C46E37"/>
    <w:rsid w:val="00C76927"/>
    <w:rsid w:val="00C84DBD"/>
    <w:rsid w:val="00C8727B"/>
    <w:rsid w:val="00CA7110"/>
    <w:rsid w:val="00CD48AA"/>
    <w:rsid w:val="00D230D8"/>
    <w:rsid w:val="00D62CC4"/>
    <w:rsid w:val="00D879B0"/>
    <w:rsid w:val="00D93A5F"/>
    <w:rsid w:val="00DA4979"/>
    <w:rsid w:val="00DB70E1"/>
    <w:rsid w:val="00DD3D74"/>
    <w:rsid w:val="00DE2A31"/>
    <w:rsid w:val="00E07468"/>
    <w:rsid w:val="00E12600"/>
    <w:rsid w:val="00E1575F"/>
    <w:rsid w:val="00E16ED7"/>
    <w:rsid w:val="00E20415"/>
    <w:rsid w:val="00E24217"/>
    <w:rsid w:val="00E45D19"/>
    <w:rsid w:val="00E61579"/>
    <w:rsid w:val="00E61947"/>
    <w:rsid w:val="00E66FD6"/>
    <w:rsid w:val="00E923A1"/>
    <w:rsid w:val="00E9478D"/>
    <w:rsid w:val="00F26C92"/>
    <w:rsid w:val="00FC6044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E942-E76C-4AF2-B317-144CC4B2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2</cp:revision>
  <dcterms:created xsi:type="dcterms:W3CDTF">2018-04-16T21:16:00Z</dcterms:created>
  <dcterms:modified xsi:type="dcterms:W3CDTF">2018-04-16T21:16:00Z</dcterms:modified>
</cp:coreProperties>
</file>