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41" w:rsidRPr="00A05B79" w:rsidRDefault="00FC0041" w:rsidP="00A05B79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vertAnchor="page" w:horzAnchor="margin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7"/>
        <w:gridCol w:w="2700"/>
        <w:gridCol w:w="1761"/>
        <w:gridCol w:w="3600"/>
      </w:tblGrid>
      <w:tr w:rsidR="00C35BE2" w:rsidTr="00B85C0E">
        <w:trPr>
          <w:trHeight w:val="710"/>
          <w:tblHeader/>
        </w:trPr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C35BE2" w:rsidRPr="00A347E8" w:rsidRDefault="00C35BE2" w:rsidP="00FC23F8">
            <w:pPr>
              <w:spacing w:after="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347E8">
              <w:rPr>
                <w:rFonts w:ascii="Calibri" w:hAnsi="Calibri"/>
                <w:b/>
                <w:sz w:val="28"/>
                <w:szCs w:val="28"/>
              </w:rPr>
              <w:t>Priority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C35BE2" w:rsidRPr="00A347E8" w:rsidRDefault="00C35BE2" w:rsidP="0023351E">
            <w:pPr>
              <w:spacing w:after="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Performance </w:t>
            </w:r>
            <w:r w:rsidRPr="00A347E8">
              <w:rPr>
                <w:rFonts w:ascii="Calibri" w:hAnsi="Calibri"/>
                <w:b/>
                <w:sz w:val="28"/>
                <w:szCs w:val="28"/>
              </w:rPr>
              <w:t>Measure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C35BE2" w:rsidRPr="00A347E8" w:rsidRDefault="00C35BE2" w:rsidP="00B85C0E">
            <w:pPr>
              <w:spacing w:after="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Leads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35BE2" w:rsidRPr="00A347E8" w:rsidRDefault="00C35BE2" w:rsidP="0023351E">
            <w:pPr>
              <w:spacing w:after="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347E8">
              <w:rPr>
                <w:rFonts w:ascii="Calibri" w:hAnsi="Calibri"/>
                <w:b/>
                <w:sz w:val="28"/>
                <w:szCs w:val="28"/>
              </w:rPr>
              <w:t>Alignment</w:t>
            </w:r>
          </w:p>
        </w:tc>
      </w:tr>
      <w:tr w:rsidR="00C35BE2" w:rsidTr="00B85C0E">
        <w:trPr>
          <w:trHeight w:val="350"/>
        </w:trPr>
        <w:tc>
          <w:tcPr>
            <w:tcW w:w="9738" w:type="dxa"/>
            <w:gridSpan w:val="4"/>
            <w:shd w:val="pct25" w:color="auto" w:fill="auto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21E85">
              <w:rPr>
                <w:rFonts w:ascii="Calibri" w:hAnsi="Calibri" w:cs="Calibri"/>
                <w:b/>
              </w:rPr>
              <w:t>Maternal and Women’s Health</w:t>
            </w:r>
          </w:p>
        </w:tc>
      </w:tr>
      <w:tr w:rsidR="00C35BE2" w:rsidTr="00B85C0E">
        <w:tc>
          <w:tcPr>
            <w:tcW w:w="1677" w:type="dxa"/>
            <w:tcBorders>
              <w:bottom w:val="single" w:sz="4" w:space="0" w:color="auto"/>
            </w:tcBorders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Well woman care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women with a past year preventive visit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C35BE2" w:rsidRPr="00C35BE2" w:rsidRDefault="00C35BE2" w:rsidP="00B85C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BE2">
              <w:rPr>
                <w:rFonts w:ascii="Calibri" w:hAnsi="Calibri" w:cs="Calibri"/>
              </w:rPr>
              <w:t>Anna Stiefvater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</w:t>
            </w:r>
            <w:r w:rsidRPr="00A21E85">
              <w:rPr>
                <w:rFonts w:ascii="Calibri" w:hAnsi="Calibri" w:cs="Calibri"/>
              </w:rPr>
              <w:t>:</w:t>
            </w:r>
          </w:p>
          <w:p w:rsidR="00C35BE2" w:rsidRPr="00C35BE2" w:rsidRDefault="00C35BE2" w:rsidP="00C35BE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Link public health and health care system to collaboratively achieve improved health outcomes</w:t>
            </w:r>
          </w:p>
        </w:tc>
      </w:tr>
      <w:tr w:rsidR="00C35BE2" w:rsidTr="00B85C0E">
        <w:trPr>
          <w:trHeight w:val="422"/>
        </w:trPr>
        <w:tc>
          <w:tcPr>
            <w:tcW w:w="9738" w:type="dxa"/>
            <w:gridSpan w:val="4"/>
            <w:shd w:val="pct25" w:color="auto" w:fill="auto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A21E85">
              <w:rPr>
                <w:rFonts w:ascii="Calibri" w:hAnsi="Calibri" w:cs="Calibri"/>
                <w:b/>
              </w:rPr>
              <w:t>Perinatal</w:t>
            </w:r>
            <w:proofErr w:type="spellEnd"/>
            <w:r w:rsidRPr="00A21E85">
              <w:rPr>
                <w:rFonts w:ascii="Calibri" w:hAnsi="Calibri" w:cs="Calibri"/>
                <w:b/>
              </w:rPr>
              <w:t xml:space="preserve"> and Infant Health</w:t>
            </w:r>
          </w:p>
        </w:tc>
      </w:tr>
      <w:tr w:rsidR="00C35BE2" w:rsidTr="00B85C0E">
        <w:tc>
          <w:tcPr>
            <w:tcW w:w="1677" w:type="dxa"/>
            <w:tcBorders>
              <w:bottom w:val="single" w:sz="4" w:space="0" w:color="auto"/>
            </w:tcBorders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Breastfeeding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35BE2" w:rsidRPr="00A21E85" w:rsidRDefault="00C35BE2" w:rsidP="00253285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infants who are ever breastfed;</w:t>
            </w:r>
          </w:p>
          <w:p w:rsidR="00C35BE2" w:rsidRPr="00A21E85" w:rsidRDefault="00C35BE2" w:rsidP="00253285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infants breastfed exclusively through 6 months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C35BE2" w:rsidRPr="00C35BE2" w:rsidRDefault="00C35BE2" w:rsidP="00B85C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BE2">
              <w:rPr>
                <w:rFonts w:ascii="Calibri" w:hAnsi="Calibri" w:cs="Calibri"/>
              </w:rPr>
              <w:t>Robin Stanton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</w:t>
            </w:r>
            <w:r w:rsidRPr="00A21E85">
              <w:rPr>
                <w:rFonts w:ascii="Calibri" w:hAnsi="Calibri" w:cs="Calibri"/>
              </w:rPr>
              <w:t>: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Improve nutrition, increase physical activity and reduce obesity</w:t>
            </w:r>
          </w:p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SHIP:</w:t>
            </w:r>
          </w:p>
          <w:p w:rsidR="00C35BE2" w:rsidRPr="009174AA" w:rsidRDefault="00C35BE2" w:rsidP="009174AA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Slow the increase of obesit</w:t>
            </w:r>
            <w:r>
              <w:rPr>
                <w:rFonts w:ascii="Calibri" w:hAnsi="Calibri" w:cs="Calibri"/>
              </w:rPr>
              <w:t>y</w:t>
            </w:r>
          </w:p>
        </w:tc>
      </w:tr>
      <w:tr w:rsidR="00C35BE2" w:rsidTr="00B85C0E">
        <w:trPr>
          <w:trHeight w:val="422"/>
        </w:trPr>
        <w:tc>
          <w:tcPr>
            <w:tcW w:w="9738" w:type="dxa"/>
            <w:gridSpan w:val="4"/>
            <w:shd w:val="pct25" w:color="auto" w:fill="auto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b/>
              </w:rPr>
              <w:t>Child Health</w:t>
            </w:r>
          </w:p>
        </w:tc>
      </w:tr>
      <w:tr w:rsidR="00C35BE2" w:rsidTr="00B85C0E">
        <w:tc>
          <w:tcPr>
            <w:tcW w:w="1677" w:type="dxa"/>
            <w:tcBorders>
              <w:bottom w:val="single" w:sz="4" w:space="0" w:color="auto"/>
            </w:tcBorders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Physical Activity for children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children ages 6 through 11 years who are physically active at least 60 minutes per day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C35BE2" w:rsidRPr="00B85C0E" w:rsidRDefault="00DB43B3" w:rsidP="00B85C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Heather Morrow </w:t>
            </w:r>
            <w:r w:rsidR="00B85C0E">
              <w:rPr>
                <w:rFonts w:ascii="Calibri" w:hAnsi="Calibri" w:cs="Calibri"/>
              </w:rPr>
              <w:t>Almeida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Improve nutrition, increase physical activity and reduce obesity</w:t>
            </w:r>
          </w:p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SHIP:</w:t>
            </w:r>
          </w:p>
          <w:p w:rsidR="00C35BE2" w:rsidRPr="00C35BE2" w:rsidRDefault="00C35BE2" w:rsidP="00C35BE2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Slow the increase of obesity</w:t>
            </w:r>
          </w:p>
        </w:tc>
      </w:tr>
      <w:tr w:rsidR="00C35BE2" w:rsidTr="00B85C0E">
        <w:tc>
          <w:tcPr>
            <w:tcW w:w="9738" w:type="dxa"/>
            <w:gridSpan w:val="4"/>
            <w:shd w:val="pct25" w:color="auto" w:fill="auto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21E85">
              <w:rPr>
                <w:rFonts w:ascii="Calibri" w:hAnsi="Calibri" w:cs="Calibri"/>
                <w:b/>
              </w:rPr>
              <w:t>Adolescent Health</w:t>
            </w:r>
          </w:p>
        </w:tc>
      </w:tr>
      <w:tr w:rsidR="00C35BE2" w:rsidTr="00B85C0E">
        <w:tc>
          <w:tcPr>
            <w:tcW w:w="1677" w:type="dxa"/>
            <w:tcBorders>
              <w:bottom w:val="single" w:sz="4" w:space="0" w:color="auto"/>
            </w:tcBorders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Adolescent well-visit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adolescents with a preventive services visit in the last year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C35BE2" w:rsidRPr="00B85C0E" w:rsidRDefault="00B85C0E" w:rsidP="00B85C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5C0E">
              <w:rPr>
                <w:rFonts w:ascii="Calibri" w:hAnsi="Calibri" w:cs="Calibri"/>
              </w:rPr>
              <w:t>Liz Thorne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Link public health and health care system to collaboratively achieve improved health outcomes</w:t>
            </w:r>
          </w:p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CCO Incentive measure:</w:t>
            </w:r>
          </w:p>
          <w:p w:rsidR="00C35BE2" w:rsidRDefault="00C35BE2" w:rsidP="00C35BE2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Adolescent well-care visits (NCQA)</w:t>
            </w:r>
          </w:p>
          <w:p w:rsidR="00B85C0E" w:rsidRPr="00B85C0E" w:rsidRDefault="00B85C0E" w:rsidP="00B85C0E">
            <w:pPr>
              <w:spacing w:after="0" w:line="240" w:lineRule="auto"/>
              <w:ind w:left="720"/>
              <w:rPr>
                <w:rFonts w:ascii="Calibri" w:hAnsi="Calibri" w:cs="Calibri"/>
              </w:rPr>
            </w:pPr>
          </w:p>
        </w:tc>
      </w:tr>
      <w:tr w:rsidR="00C35BE2" w:rsidTr="00B85C0E">
        <w:tc>
          <w:tcPr>
            <w:tcW w:w="9738" w:type="dxa"/>
            <w:gridSpan w:val="4"/>
            <w:shd w:val="pct25" w:color="auto" w:fill="auto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21E85">
              <w:rPr>
                <w:rFonts w:ascii="Calibri" w:hAnsi="Calibri" w:cs="Calibri"/>
                <w:b/>
              </w:rPr>
              <w:t>Children and Youth with Special Health Needs</w:t>
            </w:r>
          </w:p>
        </w:tc>
      </w:tr>
      <w:tr w:rsidR="00C35BE2" w:rsidTr="00B85C0E">
        <w:tc>
          <w:tcPr>
            <w:tcW w:w="1677" w:type="dxa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Medical home</w:t>
            </w:r>
          </w:p>
        </w:tc>
        <w:tc>
          <w:tcPr>
            <w:tcW w:w="2700" w:type="dxa"/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children with and without special health care needs having a medical home</w:t>
            </w:r>
          </w:p>
        </w:tc>
        <w:tc>
          <w:tcPr>
            <w:tcW w:w="1761" w:type="dxa"/>
          </w:tcPr>
          <w:p w:rsidR="00C35BE2" w:rsidRPr="00B85C0E" w:rsidRDefault="00B85C0E" w:rsidP="00B85C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5C0E">
              <w:rPr>
                <w:rFonts w:ascii="Calibri" w:hAnsi="Calibri" w:cs="Calibri"/>
              </w:rPr>
              <w:t>TBD</w:t>
            </w:r>
          </w:p>
        </w:tc>
        <w:tc>
          <w:tcPr>
            <w:tcW w:w="3600" w:type="dxa"/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Link public health and health care system to collaboratively achieve improved health outcomes</w:t>
            </w:r>
          </w:p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CCO Incentive measure:</w:t>
            </w:r>
          </w:p>
          <w:p w:rsidR="00C35BE2" w:rsidRDefault="00C35BE2" w:rsidP="00B85C0E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342" w:hanging="270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Patient-centered primary care home enrollment</w:t>
            </w:r>
          </w:p>
          <w:p w:rsidR="00B85C0E" w:rsidRPr="00B85C0E" w:rsidRDefault="00B85C0E" w:rsidP="00B85C0E">
            <w:pPr>
              <w:spacing w:after="0" w:line="240" w:lineRule="auto"/>
              <w:ind w:left="342"/>
              <w:rPr>
                <w:rFonts w:ascii="Calibri" w:hAnsi="Calibri" w:cs="Calibri"/>
              </w:rPr>
            </w:pPr>
          </w:p>
        </w:tc>
      </w:tr>
      <w:tr w:rsidR="00C35BE2" w:rsidTr="00B85C0E">
        <w:trPr>
          <w:trHeight w:val="890"/>
        </w:trPr>
        <w:tc>
          <w:tcPr>
            <w:tcW w:w="1677" w:type="dxa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Transition</w:t>
            </w:r>
          </w:p>
        </w:tc>
        <w:tc>
          <w:tcPr>
            <w:tcW w:w="2700" w:type="dxa"/>
          </w:tcPr>
          <w:p w:rsidR="00C35BE2" w:rsidRPr="00A21E85" w:rsidRDefault="00B85C0E" w:rsidP="0025328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Percent of children with and </w:t>
            </w:r>
            <w:r w:rsidR="00C35BE2" w:rsidRPr="00A21E85">
              <w:rPr>
                <w:rFonts w:ascii="Calibri" w:hAnsi="Calibri" w:cs="Calibri"/>
              </w:rPr>
              <w:t>without special health care needs who received services</w:t>
            </w:r>
            <w:r>
              <w:rPr>
                <w:rFonts w:ascii="Calibri" w:hAnsi="Calibri" w:cs="Calibri"/>
              </w:rPr>
              <w:t xml:space="preserve"> necessary to make </w:t>
            </w:r>
            <w:r w:rsidR="00C35BE2" w:rsidRPr="00A21E85">
              <w:rPr>
                <w:rFonts w:ascii="Calibri" w:hAnsi="Calibri" w:cs="Calibri"/>
              </w:rPr>
              <w:t>transitions to adult health care</w:t>
            </w:r>
          </w:p>
        </w:tc>
        <w:tc>
          <w:tcPr>
            <w:tcW w:w="1761" w:type="dxa"/>
          </w:tcPr>
          <w:p w:rsidR="00C35BE2" w:rsidRPr="00B85C0E" w:rsidRDefault="00B85C0E" w:rsidP="00B85C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TBD</w:t>
            </w:r>
          </w:p>
        </w:tc>
        <w:tc>
          <w:tcPr>
            <w:tcW w:w="3600" w:type="dxa"/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</w:t>
            </w:r>
            <w:r w:rsidRPr="00A21E85">
              <w:rPr>
                <w:rFonts w:ascii="Calibri" w:hAnsi="Calibri" w:cs="Calibri"/>
              </w:rPr>
              <w:t>:</w:t>
            </w:r>
          </w:p>
          <w:p w:rsidR="00C35BE2" w:rsidRPr="00B85C0E" w:rsidRDefault="00C35BE2" w:rsidP="00B85C0E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Link public health and health care system to collaboratively achieve improved health outcomes</w:t>
            </w:r>
          </w:p>
        </w:tc>
      </w:tr>
      <w:tr w:rsidR="00C35BE2" w:rsidTr="00B85C0E">
        <w:trPr>
          <w:tblHeader/>
        </w:trPr>
        <w:tc>
          <w:tcPr>
            <w:tcW w:w="1677" w:type="dxa"/>
            <w:tcBorders>
              <w:bottom w:val="single" w:sz="4" w:space="0" w:color="auto"/>
            </w:tcBorders>
          </w:tcPr>
          <w:p w:rsidR="00C35BE2" w:rsidRPr="00A347E8" w:rsidRDefault="00C35BE2" w:rsidP="00FC23F8">
            <w:pPr>
              <w:spacing w:after="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347E8">
              <w:rPr>
                <w:rFonts w:ascii="Calibri" w:hAnsi="Calibri"/>
                <w:b/>
                <w:sz w:val="28"/>
                <w:szCs w:val="28"/>
              </w:rPr>
              <w:lastRenderedPageBreak/>
              <w:t>Priority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Area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35BE2" w:rsidRPr="00A347E8" w:rsidRDefault="00C35BE2" w:rsidP="00253285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A347E8">
              <w:rPr>
                <w:rFonts w:ascii="Calibri" w:hAnsi="Calibri"/>
                <w:b/>
                <w:sz w:val="28"/>
                <w:szCs w:val="28"/>
              </w:rPr>
              <w:t>Measure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C35BE2" w:rsidRPr="00A347E8" w:rsidRDefault="00C35BE2" w:rsidP="00B85C0E">
            <w:pPr>
              <w:spacing w:after="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35BE2" w:rsidRPr="00A347E8" w:rsidRDefault="00C35BE2" w:rsidP="00253285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A347E8">
              <w:rPr>
                <w:rFonts w:ascii="Calibri" w:hAnsi="Calibri"/>
                <w:b/>
                <w:sz w:val="28"/>
                <w:szCs w:val="28"/>
              </w:rPr>
              <w:t>Alignment</w:t>
            </w:r>
          </w:p>
        </w:tc>
      </w:tr>
      <w:tr w:rsidR="00B85C0E" w:rsidTr="00D73295">
        <w:tc>
          <w:tcPr>
            <w:tcW w:w="9738" w:type="dxa"/>
            <w:gridSpan w:val="4"/>
            <w:shd w:val="pct25" w:color="auto" w:fill="auto"/>
          </w:tcPr>
          <w:p w:rsidR="00B85C0E" w:rsidRPr="00A21E85" w:rsidRDefault="00B85C0E" w:rsidP="00FC23F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21E85">
              <w:rPr>
                <w:rFonts w:ascii="Calibri" w:hAnsi="Calibri" w:cs="Calibri"/>
                <w:b/>
              </w:rPr>
              <w:t xml:space="preserve">Cross-cutting or </w:t>
            </w:r>
            <w:proofErr w:type="spellStart"/>
            <w:r w:rsidRPr="00A21E85">
              <w:rPr>
                <w:rFonts w:ascii="Calibri" w:hAnsi="Calibri" w:cs="Calibri"/>
                <w:b/>
              </w:rPr>
              <w:t>Lifecourse</w:t>
            </w:r>
            <w:proofErr w:type="spellEnd"/>
          </w:p>
        </w:tc>
      </w:tr>
      <w:tr w:rsidR="00C35BE2" w:rsidTr="00B85C0E">
        <w:tc>
          <w:tcPr>
            <w:tcW w:w="1677" w:type="dxa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Oral health</w:t>
            </w:r>
          </w:p>
        </w:tc>
        <w:tc>
          <w:tcPr>
            <w:tcW w:w="2700" w:type="dxa"/>
          </w:tcPr>
          <w:p w:rsidR="00C35BE2" w:rsidRPr="00A21E85" w:rsidRDefault="00C35BE2" w:rsidP="00253285">
            <w:pPr>
              <w:numPr>
                <w:ilvl w:val="0"/>
                <w:numId w:val="9"/>
              </w:numPr>
              <w:tabs>
                <w:tab w:val="clear" w:pos="720"/>
                <w:tab w:val="left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women who had a dental visit during pregnancy</w:t>
            </w:r>
          </w:p>
          <w:p w:rsidR="00C35BE2" w:rsidRPr="00A21E85" w:rsidRDefault="00C35BE2" w:rsidP="00253285">
            <w:pPr>
              <w:numPr>
                <w:ilvl w:val="0"/>
                <w:numId w:val="9"/>
              </w:numPr>
              <w:tabs>
                <w:tab w:val="clear" w:pos="720"/>
                <w:tab w:val="left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children ages 1 to 6 years who had a preventive dental visit in the last year</w:t>
            </w:r>
          </w:p>
        </w:tc>
        <w:tc>
          <w:tcPr>
            <w:tcW w:w="1761" w:type="dxa"/>
          </w:tcPr>
          <w:p w:rsidR="00C35BE2" w:rsidRPr="00B85C0E" w:rsidRDefault="00DB43B3" w:rsidP="00B85C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Amy </w:t>
            </w:r>
            <w:proofErr w:type="spellStart"/>
            <w:r>
              <w:rPr>
                <w:rFonts w:ascii="Calibri" w:hAnsi="Calibri" w:cs="Calibri"/>
              </w:rPr>
              <w:t>Umphlett</w:t>
            </w:r>
            <w:proofErr w:type="spellEnd"/>
          </w:p>
        </w:tc>
        <w:tc>
          <w:tcPr>
            <w:tcW w:w="3600" w:type="dxa"/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Prevent and reduce rates of communicable disease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Link public health and health care system to collaboratively achieve improved health outcomes</w:t>
            </w:r>
          </w:p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SHIP: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Improve oral health</w:t>
            </w:r>
          </w:p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CCO Incentive measure: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Dental sealants on permanent molars for children</w:t>
            </w:r>
          </w:p>
        </w:tc>
      </w:tr>
      <w:tr w:rsidR="00C35BE2" w:rsidTr="00B85C0E">
        <w:tc>
          <w:tcPr>
            <w:tcW w:w="1677" w:type="dxa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Smoking</w:t>
            </w:r>
          </w:p>
        </w:tc>
        <w:tc>
          <w:tcPr>
            <w:tcW w:w="2700" w:type="dxa"/>
          </w:tcPr>
          <w:p w:rsidR="00C35BE2" w:rsidRPr="00A21E85" w:rsidRDefault="00C35BE2" w:rsidP="00253285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women who smoke during pregnancy</w:t>
            </w:r>
          </w:p>
          <w:p w:rsidR="00C35BE2" w:rsidRPr="00A21E85" w:rsidRDefault="00C35BE2" w:rsidP="00253285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children who live in households where someone smokes</w:t>
            </w:r>
          </w:p>
        </w:tc>
        <w:tc>
          <w:tcPr>
            <w:tcW w:w="1761" w:type="dxa"/>
          </w:tcPr>
          <w:p w:rsidR="00C35BE2" w:rsidRPr="00B85C0E" w:rsidRDefault="00B85C0E" w:rsidP="00B85C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5C0E">
              <w:rPr>
                <w:rFonts w:ascii="Calibri" w:hAnsi="Calibri" w:cs="Calibri"/>
              </w:rPr>
              <w:t>Lesa Dixon-Gray</w:t>
            </w:r>
          </w:p>
        </w:tc>
        <w:tc>
          <w:tcPr>
            <w:tcW w:w="3600" w:type="dxa"/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 and SHIP: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Prevent and reduce tobacco use</w:t>
            </w:r>
          </w:p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35BE2" w:rsidTr="00B85C0E">
        <w:tc>
          <w:tcPr>
            <w:tcW w:w="1677" w:type="dxa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Toxic stress, trauma, and adverse childhood experiences</w:t>
            </w:r>
          </w:p>
        </w:tc>
        <w:tc>
          <w:tcPr>
            <w:tcW w:w="2700" w:type="dxa"/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TBD</w:t>
            </w:r>
          </w:p>
        </w:tc>
        <w:tc>
          <w:tcPr>
            <w:tcW w:w="1761" w:type="dxa"/>
          </w:tcPr>
          <w:p w:rsidR="00C35BE2" w:rsidRPr="00B85C0E" w:rsidRDefault="00B85C0E" w:rsidP="00B85C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5C0E">
              <w:rPr>
                <w:rFonts w:ascii="Calibri" w:hAnsi="Calibri" w:cs="Calibri"/>
              </w:rPr>
              <w:t xml:space="preserve">Beth </w:t>
            </w:r>
            <w:proofErr w:type="spellStart"/>
            <w:r w:rsidRPr="00B85C0E">
              <w:rPr>
                <w:rFonts w:ascii="Calibri" w:hAnsi="Calibri" w:cs="Calibri"/>
              </w:rPr>
              <w:t>Gebstadt</w:t>
            </w:r>
            <w:proofErr w:type="spellEnd"/>
          </w:p>
        </w:tc>
        <w:tc>
          <w:tcPr>
            <w:tcW w:w="3600" w:type="dxa"/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Reduce violence and suicide rates through prevention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Support AMH with public health tools to prevent and reduce alcohol and substance abuse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Promote healthy aging</w:t>
            </w:r>
          </w:p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SHIP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Slow the increase of obesity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Reduce substance abuse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Prevent deaths from suicide</w:t>
            </w:r>
          </w:p>
        </w:tc>
      </w:tr>
      <w:tr w:rsidR="00C35BE2" w:rsidTr="00B85C0E">
        <w:tc>
          <w:tcPr>
            <w:tcW w:w="1677" w:type="dxa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Nutrition and food insecurity</w:t>
            </w:r>
          </w:p>
        </w:tc>
        <w:tc>
          <w:tcPr>
            <w:tcW w:w="2700" w:type="dxa"/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TBD</w:t>
            </w:r>
          </w:p>
        </w:tc>
        <w:tc>
          <w:tcPr>
            <w:tcW w:w="1761" w:type="dxa"/>
          </w:tcPr>
          <w:p w:rsidR="00C35BE2" w:rsidRPr="00B85C0E" w:rsidRDefault="00B85C0E" w:rsidP="00B85C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5C0E">
              <w:rPr>
                <w:rFonts w:ascii="Calibri" w:hAnsi="Calibri" w:cs="Calibri"/>
              </w:rPr>
              <w:t>Robin Stanton</w:t>
            </w:r>
          </w:p>
        </w:tc>
        <w:tc>
          <w:tcPr>
            <w:tcW w:w="3600" w:type="dxa"/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Improve nutrition, increase physical activity and reduce obesity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Increase community preparedness and resilience</w:t>
            </w:r>
          </w:p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SHIP</w:t>
            </w:r>
          </w:p>
          <w:p w:rsidR="00C35BE2" w:rsidRPr="00A21E85" w:rsidRDefault="00C35BE2" w:rsidP="00253285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Slow the increase of obesity</w:t>
            </w:r>
          </w:p>
        </w:tc>
      </w:tr>
      <w:tr w:rsidR="00C35BE2" w:rsidTr="00B85C0E">
        <w:tc>
          <w:tcPr>
            <w:tcW w:w="1677" w:type="dxa"/>
          </w:tcPr>
          <w:p w:rsidR="00C35BE2" w:rsidRPr="00A21E85" w:rsidRDefault="00C35BE2" w:rsidP="00FC23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Culturally and linguistically responsive services</w:t>
            </w:r>
          </w:p>
        </w:tc>
        <w:tc>
          <w:tcPr>
            <w:tcW w:w="2700" w:type="dxa"/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TBD</w:t>
            </w:r>
          </w:p>
        </w:tc>
        <w:tc>
          <w:tcPr>
            <w:tcW w:w="1761" w:type="dxa"/>
          </w:tcPr>
          <w:p w:rsidR="00C35BE2" w:rsidRPr="00B85C0E" w:rsidRDefault="00B85C0E" w:rsidP="00B85C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5C0E">
              <w:rPr>
                <w:rFonts w:ascii="Calibri" w:hAnsi="Calibri" w:cs="Calibri"/>
              </w:rPr>
              <w:t>Wendy Morgan</w:t>
            </w:r>
          </w:p>
        </w:tc>
        <w:tc>
          <w:tcPr>
            <w:tcW w:w="3600" w:type="dxa"/>
          </w:tcPr>
          <w:p w:rsidR="00C35BE2" w:rsidRPr="00A21E85" w:rsidRDefault="00C35BE2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Promote health equity in all programs and policies</w:t>
            </w:r>
          </w:p>
          <w:p w:rsidR="00C35BE2" w:rsidRPr="00A21E85" w:rsidRDefault="00C35BE2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Promote and develop a competent, skilled, and satisfied workforce</w:t>
            </w:r>
          </w:p>
        </w:tc>
      </w:tr>
    </w:tbl>
    <w:p w:rsidR="004678A5" w:rsidRPr="00FC0041" w:rsidRDefault="004678A5" w:rsidP="004678A5">
      <w:pPr>
        <w:pStyle w:val="ListParagraph"/>
        <w:spacing w:after="0" w:line="240" w:lineRule="auto"/>
        <w:rPr>
          <w:sz w:val="24"/>
          <w:szCs w:val="24"/>
        </w:rPr>
      </w:pPr>
    </w:p>
    <w:sectPr w:rsidR="004678A5" w:rsidRPr="00FC0041" w:rsidSect="00B85C0E">
      <w:headerReference w:type="default" r:id="rId7"/>
      <w:footerReference w:type="default" r:id="rId8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E2" w:rsidRDefault="00C35BE2" w:rsidP="00DD5297">
      <w:pPr>
        <w:spacing w:after="0" w:line="240" w:lineRule="auto"/>
      </w:pPr>
      <w:r>
        <w:separator/>
      </w:r>
    </w:p>
  </w:endnote>
  <w:endnote w:type="continuationSeparator" w:id="0">
    <w:p w:rsidR="00C35BE2" w:rsidRDefault="00C35BE2" w:rsidP="00DD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E2" w:rsidRDefault="00C35BE2" w:rsidP="00C35BE2">
    <w:pPr>
      <w:pStyle w:val="Footer"/>
      <w:jc w:val="right"/>
    </w:pPr>
    <w:r>
      <w:t>(Rev 7/14/15)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E2" w:rsidRDefault="00C35BE2" w:rsidP="00DD5297">
      <w:pPr>
        <w:spacing w:after="0" w:line="240" w:lineRule="auto"/>
      </w:pPr>
      <w:r>
        <w:separator/>
      </w:r>
    </w:p>
  </w:footnote>
  <w:footnote w:type="continuationSeparator" w:id="0">
    <w:p w:rsidR="00C35BE2" w:rsidRDefault="00C35BE2" w:rsidP="00DD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E2" w:rsidRPr="00AA1C8D" w:rsidRDefault="00C35BE2" w:rsidP="00AA1C8D">
    <w:pPr>
      <w:pStyle w:val="Header"/>
      <w:jc w:val="center"/>
      <w:rPr>
        <w:b/>
        <w:sz w:val="28"/>
      </w:rPr>
    </w:pPr>
    <w:r>
      <w:rPr>
        <w:b/>
        <w:sz w:val="28"/>
      </w:rPr>
      <w:t>Oregon’s Title V Needs A</w:t>
    </w:r>
    <w:r w:rsidRPr="00AA1C8D">
      <w:rPr>
        <w:b/>
        <w:sz w:val="28"/>
      </w:rPr>
      <w:t>ssessment and 201</w:t>
    </w:r>
    <w:r>
      <w:rPr>
        <w:b/>
        <w:sz w:val="28"/>
      </w:rPr>
      <w:t>6</w:t>
    </w:r>
    <w:r w:rsidRPr="00AA1C8D">
      <w:rPr>
        <w:b/>
        <w:sz w:val="28"/>
      </w:rPr>
      <w:t xml:space="preserve">-2020 </w:t>
    </w:r>
    <w:r>
      <w:rPr>
        <w:b/>
        <w:sz w:val="28"/>
      </w:rPr>
      <w:t>P</w:t>
    </w:r>
    <w:r w:rsidRPr="00AA1C8D">
      <w:rPr>
        <w:b/>
        <w:sz w:val="28"/>
      </w:rPr>
      <w:t>riorit</w:t>
    </w:r>
    <w:r>
      <w:rPr>
        <w:b/>
        <w:sz w:val="28"/>
      </w:rPr>
      <w:t xml:space="preserve">ies </w:t>
    </w:r>
  </w:p>
  <w:p w:rsidR="00C35BE2" w:rsidRDefault="00C35B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367"/>
    <w:multiLevelType w:val="hybridMultilevel"/>
    <w:tmpl w:val="E06E7E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B5C22"/>
    <w:multiLevelType w:val="hybridMultilevel"/>
    <w:tmpl w:val="A48645C8"/>
    <w:lvl w:ilvl="0" w:tplc="85A2F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A11A2"/>
    <w:multiLevelType w:val="hybridMultilevel"/>
    <w:tmpl w:val="373A1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33779"/>
    <w:multiLevelType w:val="hybridMultilevel"/>
    <w:tmpl w:val="3FACF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B4526C"/>
    <w:multiLevelType w:val="hybridMultilevel"/>
    <w:tmpl w:val="A0D20866"/>
    <w:lvl w:ilvl="0" w:tplc="73A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048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F29F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8EE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082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BE2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D6F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C76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DA62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C22E3"/>
    <w:multiLevelType w:val="hybridMultilevel"/>
    <w:tmpl w:val="21A293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870AC"/>
    <w:multiLevelType w:val="hybridMultilevel"/>
    <w:tmpl w:val="37FAF84C"/>
    <w:lvl w:ilvl="0" w:tplc="74E874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EC0112"/>
    <w:multiLevelType w:val="hybridMultilevel"/>
    <w:tmpl w:val="8DA8C8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A1049"/>
    <w:multiLevelType w:val="hybridMultilevel"/>
    <w:tmpl w:val="0E923CD2"/>
    <w:lvl w:ilvl="0" w:tplc="6D34D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9763F"/>
    <w:multiLevelType w:val="hybridMultilevel"/>
    <w:tmpl w:val="6728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C3CDC"/>
    <w:multiLevelType w:val="hybridMultilevel"/>
    <w:tmpl w:val="F21A8C30"/>
    <w:lvl w:ilvl="0" w:tplc="849CF7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D43A48"/>
    <w:multiLevelType w:val="hybridMultilevel"/>
    <w:tmpl w:val="1E82BE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8281C"/>
    <w:multiLevelType w:val="hybridMultilevel"/>
    <w:tmpl w:val="1CBE1C18"/>
    <w:lvl w:ilvl="0" w:tplc="94421E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974A3"/>
    <w:multiLevelType w:val="hybridMultilevel"/>
    <w:tmpl w:val="C3DC45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92CB8"/>
    <w:multiLevelType w:val="hybridMultilevel"/>
    <w:tmpl w:val="AEB6E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556DC"/>
    <w:multiLevelType w:val="hybridMultilevel"/>
    <w:tmpl w:val="0F5EC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C96A52"/>
    <w:multiLevelType w:val="hybridMultilevel"/>
    <w:tmpl w:val="4F560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739B0"/>
    <w:multiLevelType w:val="hybridMultilevel"/>
    <w:tmpl w:val="AA72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B0037"/>
    <w:multiLevelType w:val="hybridMultilevel"/>
    <w:tmpl w:val="A032328E"/>
    <w:lvl w:ilvl="0" w:tplc="F850A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18"/>
  </w:num>
  <w:num w:numId="9">
    <w:abstractNumId w:val="10"/>
  </w:num>
  <w:num w:numId="10">
    <w:abstractNumId w:val="6"/>
  </w:num>
  <w:num w:numId="11">
    <w:abstractNumId w:val="3"/>
  </w:num>
  <w:num w:numId="12">
    <w:abstractNumId w:val="15"/>
  </w:num>
  <w:num w:numId="13">
    <w:abstractNumId w:val="2"/>
  </w:num>
  <w:num w:numId="14">
    <w:abstractNumId w:val="17"/>
  </w:num>
  <w:num w:numId="15">
    <w:abstractNumId w:val="0"/>
  </w:num>
  <w:num w:numId="16">
    <w:abstractNumId w:val="11"/>
  </w:num>
  <w:num w:numId="17">
    <w:abstractNumId w:val="7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0CF1"/>
    <w:rsid w:val="00013397"/>
    <w:rsid w:val="000171BA"/>
    <w:rsid w:val="000E68DC"/>
    <w:rsid w:val="00104DBB"/>
    <w:rsid w:val="0017095E"/>
    <w:rsid w:val="001761DE"/>
    <w:rsid w:val="00181F99"/>
    <w:rsid w:val="001B1615"/>
    <w:rsid w:val="001B30AD"/>
    <w:rsid w:val="001B4110"/>
    <w:rsid w:val="001C5AE6"/>
    <w:rsid w:val="001D2977"/>
    <w:rsid w:val="001E40E2"/>
    <w:rsid w:val="00206343"/>
    <w:rsid w:val="00220CDA"/>
    <w:rsid w:val="0023351E"/>
    <w:rsid w:val="00253285"/>
    <w:rsid w:val="00257EF0"/>
    <w:rsid w:val="00291888"/>
    <w:rsid w:val="0029358F"/>
    <w:rsid w:val="002D683D"/>
    <w:rsid w:val="002F309F"/>
    <w:rsid w:val="002F7C45"/>
    <w:rsid w:val="003365A7"/>
    <w:rsid w:val="003935BB"/>
    <w:rsid w:val="003B3C29"/>
    <w:rsid w:val="003D030C"/>
    <w:rsid w:val="004237BC"/>
    <w:rsid w:val="0045083F"/>
    <w:rsid w:val="00455074"/>
    <w:rsid w:val="00456807"/>
    <w:rsid w:val="004678A5"/>
    <w:rsid w:val="004939EB"/>
    <w:rsid w:val="004A680E"/>
    <w:rsid w:val="00542575"/>
    <w:rsid w:val="0057459C"/>
    <w:rsid w:val="00580DBC"/>
    <w:rsid w:val="00584AD6"/>
    <w:rsid w:val="005F5018"/>
    <w:rsid w:val="00603EC4"/>
    <w:rsid w:val="00607EF7"/>
    <w:rsid w:val="00640641"/>
    <w:rsid w:val="00646276"/>
    <w:rsid w:val="006705BF"/>
    <w:rsid w:val="00697728"/>
    <w:rsid w:val="0070195D"/>
    <w:rsid w:val="0073327F"/>
    <w:rsid w:val="00750597"/>
    <w:rsid w:val="007D2EEE"/>
    <w:rsid w:val="007D4DA6"/>
    <w:rsid w:val="007E0775"/>
    <w:rsid w:val="007F7E32"/>
    <w:rsid w:val="00803B6F"/>
    <w:rsid w:val="00804C71"/>
    <w:rsid w:val="0081335B"/>
    <w:rsid w:val="00823698"/>
    <w:rsid w:val="00837284"/>
    <w:rsid w:val="00851A88"/>
    <w:rsid w:val="0086381D"/>
    <w:rsid w:val="00893384"/>
    <w:rsid w:val="008C7B4E"/>
    <w:rsid w:val="008D125B"/>
    <w:rsid w:val="008D730B"/>
    <w:rsid w:val="00910B9E"/>
    <w:rsid w:val="009174AA"/>
    <w:rsid w:val="00942588"/>
    <w:rsid w:val="009479B5"/>
    <w:rsid w:val="009931F4"/>
    <w:rsid w:val="009B6105"/>
    <w:rsid w:val="009C296C"/>
    <w:rsid w:val="009F3353"/>
    <w:rsid w:val="009F512B"/>
    <w:rsid w:val="00A03FC4"/>
    <w:rsid w:val="00A041BF"/>
    <w:rsid w:val="00A05B79"/>
    <w:rsid w:val="00A23745"/>
    <w:rsid w:val="00A579A1"/>
    <w:rsid w:val="00A57BE4"/>
    <w:rsid w:val="00A659E0"/>
    <w:rsid w:val="00A73C62"/>
    <w:rsid w:val="00AA1C8D"/>
    <w:rsid w:val="00AB6278"/>
    <w:rsid w:val="00B02B33"/>
    <w:rsid w:val="00B352BF"/>
    <w:rsid w:val="00B848BC"/>
    <w:rsid w:val="00B85C0E"/>
    <w:rsid w:val="00B972D8"/>
    <w:rsid w:val="00BD3272"/>
    <w:rsid w:val="00BF671D"/>
    <w:rsid w:val="00C01B60"/>
    <w:rsid w:val="00C21117"/>
    <w:rsid w:val="00C35289"/>
    <w:rsid w:val="00C35BE2"/>
    <w:rsid w:val="00C63D77"/>
    <w:rsid w:val="00C91957"/>
    <w:rsid w:val="00CB131C"/>
    <w:rsid w:val="00CF0F64"/>
    <w:rsid w:val="00CF779D"/>
    <w:rsid w:val="00D17575"/>
    <w:rsid w:val="00D25A03"/>
    <w:rsid w:val="00D63BC1"/>
    <w:rsid w:val="00D64048"/>
    <w:rsid w:val="00D7461B"/>
    <w:rsid w:val="00D82758"/>
    <w:rsid w:val="00DB43B3"/>
    <w:rsid w:val="00DD5297"/>
    <w:rsid w:val="00DF0CF1"/>
    <w:rsid w:val="00E0324F"/>
    <w:rsid w:val="00EA5691"/>
    <w:rsid w:val="00EA581F"/>
    <w:rsid w:val="00EC4E02"/>
    <w:rsid w:val="00F0789F"/>
    <w:rsid w:val="00F11D64"/>
    <w:rsid w:val="00F14E67"/>
    <w:rsid w:val="00F22ACA"/>
    <w:rsid w:val="00F25910"/>
    <w:rsid w:val="00F34F0B"/>
    <w:rsid w:val="00F506F5"/>
    <w:rsid w:val="00FB1000"/>
    <w:rsid w:val="00FB598B"/>
    <w:rsid w:val="00FC0041"/>
    <w:rsid w:val="00FC23F8"/>
    <w:rsid w:val="00FD77AE"/>
    <w:rsid w:val="00FE09EB"/>
    <w:rsid w:val="00FF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63BC1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C29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297"/>
  </w:style>
  <w:style w:type="paragraph" w:styleId="Footer">
    <w:name w:val="footer"/>
    <w:basedOn w:val="Normal"/>
    <w:link w:val="FooterChar"/>
    <w:uiPriority w:val="99"/>
    <w:unhideWhenUsed/>
    <w:rsid w:val="00DD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297"/>
  </w:style>
  <w:style w:type="paragraph" w:styleId="BalloonText">
    <w:name w:val="Balloon Text"/>
    <w:basedOn w:val="Normal"/>
    <w:link w:val="BalloonTextChar"/>
    <w:uiPriority w:val="99"/>
    <w:semiHidden/>
    <w:unhideWhenUsed/>
    <w:rsid w:val="00DD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63BC1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C29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297"/>
  </w:style>
  <w:style w:type="paragraph" w:styleId="Footer">
    <w:name w:val="footer"/>
    <w:basedOn w:val="Normal"/>
    <w:link w:val="FooterChar"/>
    <w:uiPriority w:val="99"/>
    <w:unhideWhenUsed/>
    <w:rsid w:val="00DD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297"/>
  </w:style>
  <w:style w:type="paragraph" w:styleId="BalloonText">
    <w:name w:val="Balloon Text"/>
    <w:basedOn w:val="Normal"/>
    <w:link w:val="BalloonTextChar"/>
    <w:uiPriority w:val="99"/>
    <w:semiHidden/>
    <w:unhideWhenUsed/>
    <w:rsid w:val="00DD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3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DHS-OIS-NDS</dc:creator>
  <cp:keywords/>
  <dc:description/>
  <cp:lastModifiedBy>DHS-OIS-NDS</cp:lastModifiedBy>
  <cp:revision>2</cp:revision>
  <cp:lastPrinted>2015-07-14T19:47:00Z</cp:lastPrinted>
  <dcterms:created xsi:type="dcterms:W3CDTF">2015-07-14T19:49:00Z</dcterms:created>
  <dcterms:modified xsi:type="dcterms:W3CDTF">2015-07-14T19:49:00Z</dcterms:modified>
</cp:coreProperties>
</file>