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4A7" w:rsidRPr="00F4497D" w:rsidRDefault="00DC4E04" w:rsidP="00544ACA">
      <w:pPr>
        <w:jc w:val="center"/>
        <w:rPr>
          <w:rFonts w:asciiTheme="majorHAnsi" w:hAnsiTheme="majorHAnsi"/>
          <w:sz w:val="24"/>
          <w:szCs w:val="24"/>
        </w:rPr>
      </w:pPr>
      <w:bookmarkStart w:id="0" w:name="_GoBack"/>
      <w:bookmarkEnd w:id="0"/>
      <w:r w:rsidRPr="00F4497D">
        <w:rPr>
          <w:rFonts w:asciiTheme="majorHAnsi" w:hAnsiTheme="majorHAnsi"/>
          <w:sz w:val="24"/>
          <w:szCs w:val="24"/>
        </w:rPr>
        <w:t xml:space="preserve">CLHO </w:t>
      </w:r>
      <w:r w:rsidR="00ED2BFA" w:rsidRPr="00F4497D">
        <w:rPr>
          <w:rFonts w:asciiTheme="majorHAnsi" w:hAnsiTheme="majorHAnsi"/>
          <w:sz w:val="24"/>
          <w:szCs w:val="24"/>
        </w:rPr>
        <w:t xml:space="preserve">Healthy Communities </w:t>
      </w:r>
      <w:r w:rsidRPr="00F4497D">
        <w:rPr>
          <w:rFonts w:asciiTheme="majorHAnsi" w:hAnsiTheme="majorHAnsi"/>
          <w:sz w:val="24"/>
          <w:szCs w:val="24"/>
        </w:rPr>
        <w:t xml:space="preserve">Committee </w:t>
      </w:r>
      <w:r w:rsidR="006151B7">
        <w:rPr>
          <w:rFonts w:asciiTheme="majorHAnsi" w:hAnsiTheme="majorHAnsi"/>
          <w:sz w:val="24"/>
          <w:szCs w:val="24"/>
        </w:rPr>
        <w:t>Minutes</w:t>
      </w:r>
    </w:p>
    <w:p w:rsidR="009B54A7" w:rsidRPr="00F4497D" w:rsidRDefault="00DC4E04" w:rsidP="00A764F2">
      <w:pPr>
        <w:jc w:val="center"/>
        <w:rPr>
          <w:rFonts w:asciiTheme="majorHAnsi" w:hAnsiTheme="majorHAnsi"/>
          <w:sz w:val="24"/>
          <w:szCs w:val="24"/>
        </w:rPr>
      </w:pPr>
      <w:r w:rsidRPr="00F4497D">
        <w:rPr>
          <w:rFonts w:asciiTheme="majorHAnsi" w:hAnsiTheme="majorHAnsi"/>
          <w:sz w:val="24"/>
          <w:szCs w:val="24"/>
        </w:rPr>
        <w:t>Date</w:t>
      </w:r>
      <w:r w:rsidR="00ED2BFA" w:rsidRPr="00F4497D">
        <w:rPr>
          <w:rFonts w:asciiTheme="majorHAnsi" w:hAnsiTheme="majorHAnsi"/>
          <w:sz w:val="24"/>
          <w:szCs w:val="24"/>
        </w:rPr>
        <w:t xml:space="preserve">:  Thursday, </w:t>
      </w:r>
      <w:r w:rsidR="00D81791">
        <w:rPr>
          <w:rFonts w:asciiTheme="majorHAnsi" w:hAnsiTheme="majorHAnsi"/>
          <w:sz w:val="24"/>
          <w:szCs w:val="24"/>
        </w:rPr>
        <w:t>November 6</w:t>
      </w:r>
      <w:r w:rsidR="00543175" w:rsidRPr="00F4497D">
        <w:rPr>
          <w:rFonts w:asciiTheme="majorHAnsi" w:hAnsiTheme="majorHAnsi"/>
          <w:sz w:val="24"/>
          <w:szCs w:val="24"/>
        </w:rPr>
        <w:t>, 2014</w:t>
      </w:r>
    </w:p>
    <w:p w:rsidR="00ED2BFA" w:rsidRPr="00F4497D" w:rsidRDefault="00ED2BFA" w:rsidP="00A764F2">
      <w:pPr>
        <w:jc w:val="center"/>
        <w:rPr>
          <w:rFonts w:asciiTheme="majorHAnsi" w:hAnsiTheme="majorHAnsi"/>
          <w:sz w:val="24"/>
          <w:szCs w:val="24"/>
        </w:rPr>
      </w:pPr>
      <w:r w:rsidRPr="00F4497D">
        <w:rPr>
          <w:rFonts w:asciiTheme="majorHAnsi" w:hAnsiTheme="majorHAnsi"/>
          <w:sz w:val="24"/>
          <w:szCs w:val="24"/>
        </w:rPr>
        <w:t>1:00 – 3:00 pm</w:t>
      </w:r>
    </w:p>
    <w:p w:rsidR="00576C4D" w:rsidRPr="00F4497D" w:rsidRDefault="00576C4D" w:rsidP="00A764F2">
      <w:pPr>
        <w:jc w:val="center"/>
        <w:rPr>
          <w:rFonts w:asciiTheme="majorHAnsi" w:hAnsiTheme="majorHAnsi"/>
          <w:sz w:val="24"/>
          <w:szCs w:val="24"/>
        </w:rPr>
      </w:pPr>
      <w:r w:rsidRPr="00F4497D">
        <w:rPr>
          <w:rFonts w:asciiTheme="majorHAnsi" w:hAnsiTheme="majorHAnsi"/>
          <w:sz w:val="24"/>
          <w:szCs w:val="24"/>
        </w:rPr>
        <w:t xml:space="preserve">PSOB Room </w:t>
      </w:r>
      <w:r w:rsidR="00543175" w:rsidRPr="00F4497D">
        <w:rPr>
          <w:rFonts w:asciiTheme="majorHAnsi" w:hAnsiTheme="majorHAnsi"/>
          <w:sz w:val="24"/>
          <w:szCs w:val="24"/>
        </w:rPr>
        <w:t>618</w:t>
      </w:r>
      <w:r w:rsidRPr="00F4497D">
        <w:rPr>
          <w:rFonts w:asciiTheme="majorHAnsi" w:hAnsiTheme="majorHAnsi"/>
          <w:sz w:val="24"/>
          <w:szCs w:val="24"/>
        </w:rPr>
        <w:t xml:space="preserve"> or </w:t>
      </w:r>
      <w:r w:rsidR="00923DB2" w:rsidRPr="00F4497D">
        <w:rPr>
          <w:rFonts w:asciiTheme="majorHAnsi" w:hAnsiTheme="majorHAnsi"/>
          <w:sz w:val="24"/>
          <w:szCs w:val="24"/>
        </w:rPr>
        <w:t>by</w:t>
      </w:r>
    </w:p>
    <w:p w:rsidR="008B441B" w:rsidRPr="00F4497D" w:rsidRDefault="00923DB2" w:rsidP="00576C4D">
      <w:pPr>
        <w:jc w:val="center"/>
        <w:rPr>
          <w:rFonts w:asciiTheme="majorHAnsi" w:hAnsiTheme="majorHAnsi" w:cstheme="minorHAnsi"/>
          <w:sz w:val="24"/>
        </w:rPr>
      </w:pPr>
      <w:r w:rsidRPr="00F4497D">
        <w:rPr>
          <w:rFonts w:asciiTheme="majorHAnsi" w:hAnsiTheme="majorHAnsi" w:cstheme="minorHAnsi"/>
          <w:sz w:val="24"/>
        </w:rPr>
        <w:t>Conference call number:</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Dial: (888) 363-4735</w:t>
      </w:r>
    </w:p>
    <w:p w:rsidR="00576C4D" w:rsidRPr="00F4497D" w:rsidRDefault="008B441B" w:rsidP="00576C4D">
      <w:pPr>
        <w:jc w:val="center"/>
        <w:rPr>
          <w:rFonts w:asciiTheme="majorHAnsi" w:hAnsiTheme="majorHAnsi" w:cstheme="minorHAnsi"/>
          <w:sz w:val="24"/>
        </w:rPr>
      </w:pPr>
      <w:r w:rsidRPr="00F4497D">
        <w:rPr>
          <w:rFonts w:asciiTheme="majorHAnsi" w:hAnsiTheme="majorHAnsi" w:cstheme="minorHAnsi"/>
          <w:sz w:val="24"/>
        </w:rPr>
        <w:t>Participant: 868346</w:t>
      </w:r>
    </w:p>
    <w:p w:rsidR="00B12572" w:rsidRPr="00F4497D" w:rsidRDefault="008B441B" w:rsidP="00B12572">
      <w:pPr>
        <w:jc w:val="center"/>
        <w:rPr>
          <w:rFonts w:asciiTheme="majorHAnsi" w:hAnsiTheme="majorHAnsi" w:cstheme="minorHAnsi"/>
          <w:sz w:val="24"/>
        </w:rPr>
      </w:pPr>
      <w:r w:rsidRPr="00F4497D">
        <w:rPr>
          <w:rFonts w:asciiTheme="majorHAnsi" w:hAnsiTheme="majorHAnsi" w:cstheme="minorHAnsi"/>
          <w:sz w:val="24"/>
        </w:rPr>
        <w:t>Host: (Portland): 862516</w:t>
      </w:r>
    </w:p>
    <w:p w:rsidR="009B54A7" w:rsidRPr="00F4497D" w:rsidRDefault="009B54A7" w:rsidP="00A764F2">
      <w:pPr>
        <w:jc w:val="center"/>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240"/>
        <w:gridCol w:w="6480"/>
        <w:gridCol w:w="2088"/>
      </w:tblGrid>
      <w:tr w:rsidR="009B54A7" w:rsidRPr="00D81791" w:rsidTr="00354A29">
        <w:tc>
          <w:tcPr>
            <w:tcW w:w="14616" w:type="dxa"/>
            <w:gridSpan w:val="4"/>
          </w:tcPr>
          <w:p w:rsidR="009B54A7" w:rsidRPr="00D81791" w:rsidRDefault="00752C74" w:rsidP="00BD7F91">
            <w:pPr>
              <w:jc w:val="center"/>
              <w:rPr>
                <w:rFonts w:asciiTheme="majorHAnsi" w:hAnsiTheme="majorHAnsi"/>
                <w:sz w:val="24"/>
                <w:szCs w:val="24"/>
              </w:rPr>
            </w:pPr>
            <w:r w:rsidRPr="00D81791">
              <w:rPr>
                <w:rFonts w:asciiTheme="majorHAnsi" w:hAnsiTheme="majorHAnsi"/>
                <w:sz w:val="24"/>
                <w:szCs w:val="24"/>
              </w:rPr>
              <w:t>Agenda</w:t>
            </w:r>
          </w:p>
        </w:tc>
      </w:tr>
      <w:tr w:rsidR="009B54A7" w:rsidRPr="00D81791" w:rsidTr="0055702B">
        <w:trPr>
          <w:trHeight w:val="170"/>
        </w:trPr>
        <w:tc>
          <w:tcPr>
            <w:tcW w:w="2808"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Agenda Item</w:t>
            </w:r>
          </w:p>
        </w:tc>
        <w:tc>
          <w:tcPr>
            <w:tcW w:w="3240"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Detail</w:t>
            </w:r>
          </w:p>
        </w:tc>
        <w:tc>
          <w:tcPr>
            <w:tcW w:w="6480"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Action Item</w:t>
            </w:r>
            <w:r w:rsidR="006151B7">
              <w:rPr>
                <w:rFonts w:asciiTheme="majorHAnsi" w:hAnsiTheme="majorHAnsi"/>
                <w:sz w:val="24"/>
                <w:szCs w:val="24"/>
              </w:rPr>
              <w:t xml:space="preserve"> or Discussion </w:t>
            </w:r>
          </w:p>
        </w:tc>
        <w:tc>
          <w:tcPr>
            <w:tcW w:w="2088" w:type="dxa"/>
          </w:tcPr>
          <w:p w:rsidR="009B54A7" w:rsidRPr="00D81791" w:rsidRDefault="009B54A7" w:rsidP="00BD7F91">
            <w:pPr>
              <w:jc w:val="center"/>
              <w:rPr>
                <w:rFonts w:asciiTheme="majorHAnsi" w:hAnsiTheme="majorHAnsi"/>
                <w:sz w:val="24"/>
                <w:szCs w:val="24"/>
              </w:rPr>
            </w:pPr>
            <w:r w:rsidRPr="00D81791">
              <w:rPr>
                <w:rFonts w:asciiTheme="majorHAnsi" w:hAnsiTheme="majorHAnsi"/>
                <w:sz w:val="24"/>
                <w:szCs w:val="24"/>
              </w:rPr>
              <w:t>Responsible Party</w:t>
            </w:r>
          </w:p>
        </w:tc>
      </w:tr>
      <w:tr w:rsidR="00DF5CDF" w:rsidRPr="00D81791" w:rsidTr="0055702B">
        <w:trPr>
          <w:trHeight w:val="692"/>
        </w:trPr>
        <w:tc>
          <w:tcPr>
            <w:tcW w:w="2808" w:type="dxa"/>
          </w:tcPr>
          <w:p w:rsidR="00DF5CDF" w:rsidRPr="00D81791" w:rsidRDefault="00783ABB" w:rsidP="00783ABB">
            <w:pPr>
              <w:rPr>
                <w:rFonts w:asciiTheme="majorHAnsi" w:hAnsiTheme="majorHAnsi"/>
                <w:sz w:val="24"/>
                <w:szCs w:val="24"/>
              </w:rPr>
            </w:pPr>
            <w:r w:rsidRPr="007C6493">
              <w:rPr>
                <w:rFonts w:asciiTheme="majorHAnsi" w:hAnsiTheme="majorHAnsi"/>
                <w:b/>
                <w:sz w:val="24"/>
                <w:szCs w:val="24"/>
              </w:rPr>
              <w:t>Welcome &amp; Introductions</w:t>
            </w:r>
            <w:r w:rsidRPr="00D81791">
              <w:rPr>
                <w:rFonts w:asciiTheme="majorHAnsi" w:hAnsiTheme="majorHAnsi"/>
                <w:sz w:val="24"/>
                <w:szCs w:val="24"/>
              </w:rPr>
              <w:t xml:space="preserve"> </w:t>
            </w:r>
            <w:r w:rsidR="00BD7097" w:rsidRPr="00D81791">
              <w:rPr>
                <w:rFonts w:asciiTheme="majorHAnsi" w:hAnsiTheme="majorHAnsi"/>
                <w:sz w:val="24"/>
                <w:szCs w:val="24"/>
              </w:rPr>
              <w:t>(5 min</w:t>
            </w:r>
            <w:r w:rsidR="00F540EE" w:rsidRPr="00D81791">
              <w:rPr>
                <w:rFonts w:asciiTheme="majorHAnsi" w:hAnsiTheme="majorHAnsi"/>
                <w:sz w:val="24"/>
                <w:szCs w:val="24"/>
              </w:rPr>
              <w:t>) 1:00 – 1:05</w:t>
            </w:r>
          </w:p>
        </w:tc>
        <w:tc>
          <w:tcPr>
            <w:tcW w:w="3240" w:type="dxa"/>
          </w:tcPr>
          <w:p w:rsidR="009352E1" w:rsidRPr="009352E1" w:rsidRDefault="009352E1" w:rsidP="000434F0">
            <w:pPr>
              <w:rPr>
                <w:rFonts w:asciiTheme="majorHAnsi" w:hAnsiTheme="majorHAnsi"/>
                <w:sz w:val="24"/>
                <w:szCs w:val="24"/>
              </w:rPr>
            </w:pPr>
          </w:p>
        </w:tc>
        <w:tc>
          <w:tcPr>
            <w:tcW w:w="6480" w:type="dxa"/>
          </w:tcPr>
          <w:p w:rsidR="0055702B" w:rsidRDefault="0055702B" w:rsidP="0055702B">
            <w:pPr>
              <w:rPr>
                <w:rFonts w:asciiTheme="majorHAnsi" w:hAnsiTheme="majorHAnsi"/>
                <w:i/>
                <w:sz w:val="24"/>
                <w:szCs w:val="24"/>
              </w:rPr>
            </w:pPr>
            <w:r w:rsidRPr="00D81791">
              <w:rPr>
                <w:rFonts w:asciiTheme="majorHAnsi" w:hAnsiTheme="majorHAnsi"/>
                <w:sz w:val="24"/>
                <w:szCs w:val="24"/>
              </w:rPr>
              <w:t>Attendance</w:t>
            </w:r>
            <w:r>
              <w:rPr>
                <w:rFonts w:asciiTheme="majorHAnsi" w:hAnsiTheme="majorHAnsi"/>
                <w:sz w:val="24"/>
                <w:szCs w:val="24"/>
              </w:rPr>
              <w:t xml:space="preserve">:   </w:t>
            </w:r>
            <w:r>
              <w:rPr>
                <w:rFonts w:asciiTheme="majorHAnsi" w:hAnsiTheme="majorHAnsi"/>
                <w:i/>
                <w:sz w:val="24"/>
                <w:szCs w:val="24"/>
              </w:rPr>
              <w:t>Charlie Fautin (Benton)</w:t>
            </w:r>
            <w:r w:rsidRPr="003C1151">
              <w:rPr>
                <w:rFonts w:asciiTheme="majorHAnsi" w:hAnsiTheme="majorHAnsi"/>
                <w:i/>
                <w:sz w:val="24"/>
                <w:szCs w:val="24"/>
              </w:rPr>
              <w:t xml:space="preserve">, Robin Nudd </w:t>
            </w:r>
            <w:r>
              <w:rPr>
                <w:rFonts w:asciiTheme="majorHAnsi" w:hAnsiTheme="majorHAnsi"/>
                <w:i/>
                <w:sz w:val="24"/>
                <w:szCs w:val="24"/>
              </w:rPr>
              <w:t>(Baker), Tatiana Dierwecht</w:t>
            </w:r>
            <w:r w:rsidRPr="003C1151">
              <w:rPr>
                <w:rFonts w:asciiTheme="majorHAnsi" w:hAnsiTheme="majorHAnsi"/>
                <w:i/>
                <w:sz w:val="24"/>
                <w:szCs w:val="24"/>
              </w:rPr>
              <w:t>er (Benton), Julie Aalbers (Clackamas), Kris Williams (Crook), Marily</w:t>
            </w:r>
            <w:r>
              <w:rPr>
                <w:rFonts w:asciiTheme="majorHAnsi" w:hAnsiTheme="majorHAnsi"/>
                <w:i/>
                <w:sz w:val="24"/>
                <w:szCs w:val="24"/>
              </w:rPr>
              <w:t>n</w:t>
            </w:r>
            <w:r w:rsidRPr="003C1151">
              <w:rPr>
                <w:rFonts w:asciiTheme="majorHAnsi" w:hAnsiTheme="majorHAnsi"/>
                <w:i/>
                <w:sz w:val="24"/>
                <w:szCs w:val="24"/>
              </w:rPr>
              <w:t>n Sutherland (</w:t>
            </w:r>
            <w:r>
              <w:rPr>
                <w:rFonts w:asciiTheme="majorHAnsi" w:hAnsiTheme="majorHAnsi"/>
                <w:i/>
                <w:sz w:val="24"/>
                <w:szCs w:val="24"/>
              </w:rPr>
              <w:t>Klamath), Kim Tierney (Multnoma</w:t>
            </w:r>
            <w:r w:rsidRPr="003C1151">
              <w:rPr>
                <w:rFonts w:asciiTheme="majorHAnsi" w:hAnsiTheme="majorHAnsi"/>
                <w:i/>
                <w:sz w:val="24"/>
                <w:szCs w:val="24"/>
              </w:rPr>
              <w:t xml:space="preserve">h), </w:t>
            </w:r>
            <w:r>
              <w:rPr>
                <w:rFonts w:asciiTheme="majorHAnsi" w:hAnsiTheme="majorHAnsi"/>
                <w:i/>
                <w:sz w:val="24"/>
                <w:szCs w:val="24"/>
              </w:rPr>
              <w:t xml:space="preserve">Amanda Garcia-Snell (Washington), </w:t>
            </w:r>
            <w:r w:rsidRPr="003C1151">
              <w:rPr>
                <w:rFonts w:asciiTheme="majorHAnsi" w:hAnsiTheme="majorHAnsi"/>
                <w:i/>
                <w:sz w:val="24"/>
                <w:szCs w:val="24"/>
              </w:rPr>
              <w:t>Karen Girard (PHD Lead), Sabrina Freewyn</w:t>
            </w:r>
            <w:r>
              <w:rPr>
                <w:rFonts w:asciiTheme="majorHAnsi" w:hAnsiTheme="majorHAnsi"/>
                <w:i/>
                <w:sz w:val="24"/>
                <w:szCs w:val="24"/>
              </w:rPr>
              <w:t>n</w:t>
            </w:r>
            <w:r w:rsidRPr="003C1151">
              <w:rPr>
                <w:rFonts w:asciiTheme="majorHAnsi" w:hAnsiTheme="majorHAnsi"/>
                <w:i/>
                <w:sz w:val="24"/>
                <w:szCs w:val="24"/>
              </w:rPr>
              <w:t xml:space="preserve"> (PHD Staff), Jan Kaplan (Community Liaison), </w:t>
            </w:r>
            <w:r>
              <w:rPr>
                <w:rFonts w:asciiTheme="majorHAnsi" w:hAnsiTheme="majorHAnsi"/>
                <w:i/>
                <w:sz w:val="24"/>
                <w:szCs w:val="24"/>
              </w:rPr>
              <w:t xml:space="preserve">Ronnie Zusman (Community Liaison), </w:t>
            </w:r>
            <w:r w:rsidRPr="003C1151">
              <w:rPr>
                <w:rFonts w:asciiTheme="majorHAnsi" w:hAnsiTheme="majorHAnsi"/>
                <w:i/>
                <w:sz w:val="24"/>
                <w:szCs w:val="24"/>
              </w:rPr>
              <w:t>Kati Moseley (PHD Staff), Carol Welch (Minutes Recorder)</w:t>
            </w:r>
          </w:p>
          <w:p w:rsidR="0055702B" w:rsidRPr="000434F0" w:rsidRDefault="0055702B" w:rsidP="0055702B">
            <w:pPr>
              <w:rPr>
                <w:rFonts w:asciiTheme="majorHAnsi" w:hAnsiTheme="majorHAnsi"/>
                <w:sz w:val="24"/>
                <w:szCs w:val="24"/>
              </w:rPr>
            </w:pPr>
            <w:r>
              <w:rPr>
                <w:rFonts w:asciiTheme="majorHAnsi" w:hAnsiTheme="majorHAnsi"/>
                <w:sz w:val="24"/>
                <w:szCs w:val="24"/>
              </w:rPr>
              <w:t xml:space="preserve">Excused: </w:t>
            </w:r>
            <w:r w:rsidRPr="003C1151">
              <w:rPr>
                <w:rFonts w:asciiTheme="majorHAnsi" w:hAnsiTheme="majorHAnsi"/>
                <w:i/>
                <w:sz w:val="24"/>
                <w:szCs w:val="24"/>
              </w:rPr>
              <w:t>Tanya Phillips (Jackson)</w:t>
            </w:r>
          </w:p>
          <w:p w:rsidR="00E30E9E" w:rsidRPr="00D81791" w:rsidRDefault="0055702B" w:rsidP="0055702B">
            <w:pPr>
              <w:rPr>
                <w:rFonts w:asciiTheme="majorHAnsi" w:hAnsiTheme="majorHAnsi"/>
                <w:sz w:val="24"/>
                <w:szCs w:val="24"/>
              </w:rPr>
            </w:pPr>
            <w:r w:rsidRPr="009352E1">
              <w:rPr>
                <w:rFonts w:asciiTheme="majorHAnsi" w:hAnsiTheme="majorHAnsi"/>
                <w:sz w:val="24"/>
                <w:szCs w:val="24"/>
              </w:rPr>
              <w:t>Absent:</w:t>
            </w:r>
            <w:r>
              <w:rPr>
                <w:rFonts w:asciiTheme="majorHAnsi" w:hAnsiTheme="majorHAnsi"/>
                <w:sz w:val="24"/>
                <w:szCs w:val="24"/>
              </w:rPr>
              <w:t xml:space="preserve"> </w:t>
            </w:r>
            <w:r w:rsidRPr="000434F0">
              <w:rPr>
                <w:rFonts w:asciiTheme="majorHAnsi" w:hAnsiTheme="majorHAnsi"/>
                <w:i/>
                <w:sz w:val="24"/>
                <w:szCs w:val="24"/>
              </w:rPr>
              <w:t>Sherrie Ford (Columbia), Max Hamblin (Crook), Tom Kuhn (Deschutes), Eric Mone (Deschutes), Adelle Adams (Multnom</w:t>
            </w:r>
            <w:r>
              <w:rPr>
                <w:rFonts w:asciiTheme="majorHAnsi" w:hAnsiTheme="majorHAnsi"/>
                <w:i/>
                <w:sz w:val="24"/>
                <w:szCs w:val="24"/>
              </w:rPr>
              <w:t>ah), Julie Early-Alberts (PHD)</w:t>
            </w:r>
          </w:p>
        </w:tc>
        <w:tc>
          <w:tcPr>
            <w:tcW w:w="2088" w:type="dxa"/>
          </w:tcPr>
          <w:p w:rsidR="00DF5CDF" w:rsidRPr="00D81791" w:rsidRDefault="00D81791" w:rsidP="003E0C0E">
            <w:pPr>
              <w:rPr>
                <w:rFonts w:asciiTheme="majorHAnsi" w:hAnsiTheme="majorHAnsi"/>
                <w:sz w:val="24"/>
                <w:szCs w:val="24"/>
              </w:rPr>
            </w:pPr>
            <w:r w:rsidRPr="00D81791">
              <w:rPr>
                <w:rFonts w:asciiTheme="majorHAnsi" w:hAnsiTheme="majorHAnsi"/>
                <w:sz w:val="24"/>
                <w:szCs w:val="24"/>
              </w:rPr>
              <w:t>Charlie Fautin</w:t>
            </w:r>
          </w:p>
        </w:tc>
      </w:tr>
      <w:tr w:rsidR="00DF5CDF" w:rsidRPr="00D81791" w:rsidTr="0055702B">
        <w:trPr>
          <w:trHeight w:val="863"/>
        </w:trPr>
        <w:tc>
          <w:tcPr>
            <w:tcW w:w="2808" w:type="dxa"/>
          </w:tcPr>
          <w:p w:rsidR="009230DC" w:rsidRPr="00D81791" w:rsidRDefault="00783ABB" w:rsidP="00783ABB">
            <w:pPr>
              <w:rPr>
                <w:rFonts w:asciiTheme="majorHAnsi" w:hAnsiTheme="majorHAnsi"/>
                <w:sz w:val="24"/>
                <w:szCs w:val="24"/>
              </w:rPr>
            </w:pPr>
            <w:r w:rsidRPr="007C6493">
              <w:rPr>
                <w:rFonts w:asciiTheme="majorHAnsi" w:hAnsiTheme="majorHAnsi"/>
                <w:b/>
                <w:sz w:val="24"/>
                <w:szCs w:val="24"/>
              </w:rPr>
              <w:t>Review of Prior Month’s Minutes</w:t>
            </w:r>
            <w:r w:rsidR="00DF5CDF" w:rsidRPr="00D81791">
              <w:rPr>
                <w:rFonts w:asciiTheme="majorHAnsi" w:hAnsiTheme="majorHAnsi"/>
                <w:sz w:val="24"/>
                <w:szCs w:val="24"/>
              </w:rPr>
              <w:t xml:space="preserve"> </w:t>
            </w:r>
            <w:r w:rsidRPr="00D81791">
              <w:rPr>
                <w:rFonts w:asciiTheme="majorHAnsi" w:hAnsiTheme="majorHAnsi"/>
                <w:sz w:val="24"/>
                <w:szCs w:val="24"/>
              </w:rPr>
              <w:t>(5</w:t>
            </w:r>
            <w:r w:rsidR="00BD7097" w:rsidRPr="00D81791">
              <w:rPr>
                <w:rFonts w:asciiTheme="majorHAnsi" w:hAnsiTheme="majorHAnsi"/>
                <w:sz w:val="24"/>
                <w:szCs w:val="24"/>
              </w:rPr>
              <w:t xml:space="preserve"> min</w:t>
            </w:r>
            <w:r w:rsidR="00DF5CDF" w:rsidRPr="00D81791">
              <w:rPr>
                <w:rFonts w:asciiTheme="majorHAnsi" w:hAnsiTheme="majorHAnsi"/>
                <w:sz w:val="24"/>
                <w:szCs w:val="24"/>
              </w:rPr>
              <w:t>)</w:t>
            </w:r>
            <w:r w:rsidR="00F540EE" w:rsidRPr="00D81791">
              <w:rPr>
                <w:rFonts w:asciiTheme="majorHAnsi" w:hAnsiTheme="majorHAnsi"/>
                <w:sz w:val="24"/>
                <w:szCs w:val="24"/>
              </w:rPr>
              <w:t xml:space="preserve"> </w:t>
            </w:r>
          </w:p>
          <w:p w:rsidR="00DF5CDF" w:rsidRPr="00D81791" w:rsidRDefault="00F540EE" w:rsidP="00783ABB">
            <w:pPr>
              <w:rPr>
                <w:rFonts w:asciiTheme="majorHAnsi" w:hAnsiTheme="majorHAnsi"/>
                <w:sz w:val="24"/>
                <w:szCs w:val="24"/>
              </w:rPr>
            </w:pPr>
            <w:r w:rsidRPr="00D81791">
              <w:rPr>
                <w:rFonts w:asciiTheme="majorHAnsi" w:hAnsiTheme="majorHAnsi"/>
                <w:sz w:val="24"/>
                <w:szCs w:val="24"/>
              </w:rPr>
              <w:t>1:</w:t>
            </w:r>
            <w:r w:rsidR="00012097" w:rsidRPr="00D81791">
              <w:rPr>
                <w:rFonts w:asciiTheme="majorHAnsi" w:hAnsiTheme="majorHAnsi"/>
                <w:sz w:val="24"/>
                <w:szCs w:val="24"/>
              </w:rPr>
              <w:t>0</w:t>
            </w:r>
            <w:r w:rsidRPr="00D81791">
              <w:rPr>
                <w:rFonts w:asciiTheme="majorHAnsi" w:hAnsiTheme="majorHAnsi"/>
                <w:sz w:val="24"/>
                <w:szCs w:val="24"/>
              </w:rPr>
              <w:t>5 – 1:</w:t>
            </w:r>
            <w:r w:rsidR="00E6249B" w:rsidRPr="00D81791">
              <w:rPr>
                <w:rFonts w:asciiTheme="majorHAnsi" w:hAnsiTheme="majorHAnsi"/>
                <w:sz w:val="24"/>
                <w:szCs w:val="24"/>
              </w:rPr>
              <w:t>1</w:t>
            </w:r>
            <w:r w:rsidR="00783ABB" w:rsidRPr="00D81791">
              <w:rPr>
                <w:rFonts w:asciiTheme="majorHAnsi" w:hAnsiTheme="majorHAnsi"/>
                <w:sz w:val="24"/>
                <w:szCs w:val="24"/>
              </w:rPr>
              <w:t>0</w:t>
            </w:r>
          </w:p>
        </w:tc>
        <w:tc>
          <w:tcPr>
            <w:tcW w:w="3240" w:type="dxa"/>
          </w:tcPr>
          <w:p w:rsidR="00DF5CDF" w:rsidRDefault="00561B6A" w:rsidP="009D6FA9">
            <w:pPr>
              <w:rPr>
                <w:rFonts w:asciiTheme="majorHAnsi" w:hAnsiTheme="majorHAnsi"/>
                <w:sz w:val="24"/>
                <w:szCs w:val="24"/>
              </w:rPr>
            </w:pPr>
            <w:r w:rsidRPr="00D81791">
              <w:rPr>
                <w:rFonts w:asciiTheme="majorHAnsi" w:hAnsiTheme="majorHAnsi"/>
                <w:sz w:val="24"/>
                <w:szCs w:val="24"/>
              </w:rPr>
              <w:t xml:space="preserve">The Committee will have an opportunity to </w:t>
            </w:r>
            <w:r w:rsidR="00A61D28" w:rsidRPr="00D81791">
              <w:rPr>
                <w:rFonts w:asciiTheme="majorHAnsi" w:hAnsiTheme="majorHAnsi"/>
                <w:sz w:val="24"/>
                <w:szCs w:val="24"/>
              </w:rPr>
              <w:t xml:space="preserve">review </w:t>
            </w:r>
            <w:r w:rsidR="00AD7C5E" w:rsidRPr="00D81791">
              <w:rPr>
                <w:rFonts w:asciiTheme="majorHAnsi" w:hAnsiTheme="majorHAnsi"/>
                <w:sz w:val="24"/>
                <w:szCs w:val="24"/>
              </w:rPr>
              <w:t xml:space="preserve">minutes from the </w:t>
            </w:r>
            <w:r w:rsidR="009D6FA9">
              <w:rPr>
                <w:rFonts w:asciiTheme="majorHAnsi" w:hAnsiTheme="majorHAnsi"/>
                <w:sz w:val="24"/>
                <w:szCs w:val="24"/>
              </w:rPr>
              <w:t>previous meeting</w:t>
            </w:r>
            <w:r w:rsidR="00AD7C5E" w:rsidRPr="00D81791">
              <w:rPr>
                <w:rFonts w:asciiTheme="majorHAnsi" w:hAnsiTheme="majorHAnsi"/>
                <w:sz w:val="24"/>
                <w:szCs w:val="24"/>
              </w:rPr>
              <w:t>,</w:t>
            </w:r>
            <w:r w:rsidRPr="00D81791">
              <w:rPr>
                <w:rFonts w:asciiTheme="majorHAnsi" w:hAnsiTheme="majorHAnsi"/>
                <w:sz w:val="24"/>
                <w:szCs w:val="24"/>
              </w:rPr>
              <w:t xml:space="preserve"> make changes and/or adopt the minutes.</w:t>
            </w:r>
          </w:p>
          <w:p w:rsidR="00BF61F7" w:rsidRPr="00D81791" w:rsidRDefault="00BF61F7" w:rsidP="009D6FA9">
            <w:pPr>
              <w:rPr>
                <w:rFonts w:asciiTheme="majorHAnsi" w:hAnsiTheme="majorHAnsi"/>
                <w:sz w:val="24"/>
                <w:szCs w:val="24"/>
              </w:rPr>
            </w:pPr>
          </w:p>
        </w:tc>
        <w:tc>
          <w:tcPr>
            <w:tcW w:w="6480" w:type="dxa"/>
          </w:tcPr>
          <w:p w:rsidR="00E30E9E" w:rsidRDefault="003C1151" w:rsidP="00FF6566">
            <w:pPr>
              <w:rPr>
                <w:rFonts w:asciiTheme="majorHAnsi" w:hAnsiTheme="majorHAnsi"/>
                <w:sz w:val="24"/>
                <w:szCs w:val="24"/>
              </w:rPr>
            </w:pPr>
            <w:r>
              <w:rPr>
                <w:rFonts w:asciiTheme="majorHAnsi" w:hAnsiTheme="majorHAnsi"/>
                <w:sz w:val="24"/>
                <w:szCs w:val="24"/>
              </w:rPr>
              <w:t xml:space="preserve">Marilyn </w:t>
            </w:r>
            <w:r w:rsidR="00AC28DA">
              <w:rPr>
                <w:rFonts w:asciiTheme="majorHAnsi" w:hAnsiTheme="majorHAnsi"/>
                <w:sz w:val="24"/>
                <w:szCs w:val="24"/>
              </w:rPr>
              <w:t xml:space="preserve">Sutherlin </w:t>
            </w:r>
            <w:r>
              <w:rPr>
                <w:rFonts w:asciiTheme="majorHAnsi" w:hAnsiTheme="majorHAnsi"/>
                <w:sz w:val="24"/>
                <w:szCs w:val="24"/>
              </w:rPr>
              <w:t>moved to adopt minutes.</w:t>
            </w:r>
          </w:p>
          <w:p w:rsidR="003C1151" w:rsidRDefault="003C1151" w:rsidP="00FF6566">
            <w:pPr>
              <w:rPr>
                <w:rFonts w:asciiTheme="majorHAnsi" w:hAnsiTheme="majorHAnsi"/>
                <w:sz w:val="24"/>
                <w:szCs w:val="24"/>
              </w:rPr>
            </w:pPr>
            <w:r>
              <w:rPr>
                <w:rFonts w:asciiTheme="majorHAnsi" w:hAnsiTheme="majorHAnsi"/>
                <w:sz w:val="24"/>
                <w:szCs w:val="24"/>
              </w:rPr>
              <w:t>No objection.</w:t>
            </w:r>
          </w:p>
          <w:p w:rsidR="003C1151" w:rsidRPr="00D81791" w:rsidRDefault="003C1151" w:rsidP="00FF6566">
            <w:pPr>
              <w:rPr>
                <w:rFonts w:asciiTheme="majorHAnsi" w:hAnsiTheme="majorHAnsi"/>
                <w:sz w:val="24"/>
                <w:szCs w:val="24"/>
              </w:rPr>
            </w:pPr>
            <w:r>
              <w:rPr>
                <w:rFonts w:asciiTheme="majorHAnsi" w:hAnsiTheme="majorHAnsi"/>
                <w:sz w:val="24"/>
                <w:szCs w:val="24"/>
              </w:rPr>
              <w:t>Minutes passed.</w:t>
            </w:r>
          </w:p>
        </w:tc>
        <w:tc>
          <w:tcPr>
            <w:tcW w:w="2088" w:type="dxa"/>
          </w:tcPr>
          <w:p w:rsidR="00DF5CDF" w:rsidRPr="00D81791" w:rsidRDefault="00D81791" w:rsidP="00354A29">
            <w:pPr>
              <w:rPr>
                <w:rFonts w:asciiTheme="majorHAnsi" w:hAnsiTheme="majorHAnsi"/>
                <w:sz w:val="24"/>
                <w:szCs w:val="24"/>
              </w:rPr>
            </w:pPr>
            <w:r w:rsidRPr="00D81791">
              <w:rPr>
                <w:rFonts w:asciiTheme="majorHAnsi" w:hAnsiTheme="majorHAnsi"/>
                <w:sz w:val="24"/>
                <w:szCs w:val="24"/>
              </w:rPr>
              <w:t>Charlie Fautin</w:t>
            </w:r>
          </w:p>
        </w:tc>
      </w:tr>
      <w:tr w:rsidR="00600806" w:rsidRPr="00D81791" w:rsidTr="0055702B">
        <w:trPr>
          <w:trHeight w:val="692"/>
        </w:trPr>
        <w:tc>
          <w:tcPr>
            <w:tcW w:w="2808" w:type="dxa"/>
          </w:tcPr>
          <w:p w:rsidR="009230DC" w:rsidRDefault="00D52CCE" w:rsidP="00AD7C5E">
            <w:pPr>
              <w:rPr>
                <w:rFonts w:asciiTheme="majorHAnsi" w:hAnsiTheme="majorHAnsi"/>
                <w:color w:val="003300"/>
                <w:sz w:val="24"/>
                <w:szCs w:val="24"/>
              </w:rPr>
            </w:pPr>
            <w:r w:rsidRPr="007C6493">
              <w:rPr>
                <w:rFonts w:asciiTheme="majorHAnsi" w:hAnsiTheme="majorHAnsi"/>
                <w:b/>
                <w:color w:val="003300"/>
                <w:sz w:val="24"/>
                <w:szCs w:val="24"/>
              </w:rPr>
              <w:t>Letter of Support Request for Tobacco Prevention</w:t>
            </w:r>
            <w:r>
              <w:rPr>
                <w:rFonts w:asciiTheme="majorHAnsi" w:hAnsiTheme="majorHAnsi"/>
                <w:color w:val="003300"/>
                <w:sz w:val="24"/>
                <w:szCs w:val="24"/>
              </w:rPr>
              <w:t xml:space="preserve"> (10 min)</w:t>
            </w:r>
          </w:p>
          <w:p w:rsidR="00D52CCE" w:rsidRPr="00D81791" w:rsidRDefault="002D2EA2" w:rsidP="00AD7C5E">
            <w:pPr>
              <w:rPr>
                <w:rFonts w:asciiTheme="majorHAnsi" w:hAnsiTheme="majorHAnsi"/>
                <w:color w:val="003300"/>
                <w:sz w:val="24"/>
                <w:szCs w:val="24"/>
              </w:rPr>
            </w:pPr>
            <w:r>
              <w:rPr>
                <w:rFonts w:asciiTheme="majorHAnsi" w:hAnsiTheme="majorHAnsi"/>
                <w:color w:val="003300"/>
                <w:sz w:val="24"/>
                <w:szCs w:val="24"/>
              </w:rPr>
              <w:t>1:10 - 1:20</w:t>
            </w:r>
          </w:p>
        </w:tc>
        <w:tc>
          <w:tcPr>
            <w:tcW w:w="3240" w:type="dxa"/>
          </w:tcPr>
          <w:p w:rsidR="00D52CCE" w:rsidRPr="00D52CCE" w:rsidRDefault="00D52CCE" w:rsidP="00D52CCE">
            <w:pPr>
              <w:rPr>
                <w:rFonts w:asciiTheme="majorHAnsi" w:hAnsiTheme="majorHAnsi"/>
                <w:b/>
                <w:bCs/>
                <w:sz w:val="24"/>
                <w:szCs w:val="24"/>
              </w:rPr>
            </w:pPr>
            <w:r w:rsidRPr="00D52CCE">
              <w:rPr>
                <w:rFonts w:asciiTheme="majorHAnsi" w:hAnsiTheme="majorHAnsi"/>
                <w:b/>
                <w:bCs/>
                <w:sz w:val="24"/>
                <w:szCs w:val="24"/>
              </w:rPr>
              <w:t>Background</w:t>
            </w:r>
          </w:p>
          <w:p w:rsidR="00D52CCE" w:rsidRPr="00D52CCE" w:rsidRDefault="00D52CCE" w:rsidP="00D52CCE">
            <w:pPr>
              <w:rPr>
                <w:rFonts w:asciiTheme="majorHAnsi" w:hAnsiTheme="majorHAnsi"/>
                <w:sz w:val="24"/>
                <w:szCs w:val="24"/>
              </w:rPr>
            </w:pPr>
            <w:r w:rsidRPr="00D52CCE">
              <w:rPr>
                <w:rFonts w:asciiTheme="majorHAnsi" w:hAnsiTheme="majorHAnsi"/>
                <w:sz w:val="24"/>
                <w:szCs w:val="24"/>
              </w:rPr>
              <w:t xml:space="preserve">Later this month HPCDP will be submitting an application to the CDC for Tobacco Prevention and Education funding. This application has a non-competitive portion </w:t>
            </w:r>
            <w:r w:rsidRPr="00D52CCE">
              <w:rPr>
                <w:rFonts w:asciiTheme="majorHAnsi" w:hAnsiTheme="majorHAnsi"/>
                <w:sz w:val="24"/>
                <w:szCs w:val="24"/>
              </w:rPr>
              <w:lastRenderedPageBreak/>
              <w:t>and an additional competitive portion. Oregon is eligible to apply for the competitive funding and will be doing so.</w:t>
            </w:r>
          </w:p>
          <w:p w:rsidR="00D52CCE" w:rsidRPr="00D52CCE" w:rsidRDefault="00D52CCE" w:rsidP="00D52CCE">
            <w:pPr>
              <w:rPr>
                <w:rFonts w:asciiTheme="majorHAnsi" w:hAnsiTheme="majorHAnsi"/>
                <w:sz w:val="24"/>
                <w:szCs w:val="24"/>
              </w:rPr>
            </w:pPr>
            <w:r w:rsidRPr="00D52CCE">
              <w:rPr>
                <w:rFonts w:asciiTheme="majorHAnsi" w:hAnsiTheme="majorHAnsi"/>
                <w:b/>
                <w:bCs/>
                <w:sz w:val="24"/>
                <w:szCs w:val="24"/>
              </w:rPr>
              <w:t>Objective</w:t>
            </w:r>
          </w:p>
          <w:p w:rsidR="00600806" w:rsidRDefault="00D52CCE" w:rsidP="00D52CCE">
            <w:pPr>
              <w:rPr>
                <w:rFonts w:asciiTheme="majorHAnsi" w:hAnsiTheme="majorHAnsi"/>
                <w:sz w:val="24"/>
                <w:szCs w:val="24"/>
              </w:rPr>
            </w:pPr>
            <w:r w:rsidRPr="00D52CCE">
              <w:rPr>
                <w:rFonts w:asciiTheme="majorHAnsi" w:hAnsiTheme="majorHAnsi"/>
                <w:sz w:val="24"/>
                <w:szCs w:val="24"/>
              </w:rPr>
              <w:t>Provide information about the application and request endorsement for a letter of support from CLHO.</w:t>
            </w:r>
          </w:p>
          <w:p w:rsidR="00BF61F7" w:rsidRPr="00BF61F7" w:rsidRDefault="00BF61F7" w:rsidP="00D52CCE">
            <w:pPr>
              <w:rPr>
                <w:rFonts w:asciiTheme="majorHAnsi" w:hAnsiTheme="majorHAnsi"/>
                <w:color w:val="FF0000"/>
                <w:sz w:val="24"/>
                <w:szCs w:val="24"/>
              </w:rPr>
            </w:pPr>
          </w:p>
        </w:tc>
        <w:tc>
          <w:tcPr>
            <w:tcW w:w="6480" w:type="dxa"/>
          </w:tcPr>
          <w:p w:rsidR="00223671" w:rsidRDefault="00223671" w:rsidP="00A61D28">
            <w:pPr>
              <w:rPr>
                <w:rFonts w:asciiTheme="majorHAnsi" w:hAnsiTheme="majorHAnsi"/>
                <w:sz w:val="24"/>
                <w:szCs w:val="24"/>
              </w:rPr>
            </w:pPr>
            <w:r>
              <w:rPr>
                <w:rFonts w:asciiTheme="majorHAnsi" w:hAnsiTheme="majorHAnsi"/>
                <w:sz w:val="24"/>
                <w:szCs w:val="24"/>
              </w:rPr>
              <w:lastRenderedPageBreak/>
              <w:t xml:space="preserve">Q: What </w:t>
            </w:r>
            <w:proofErr w:type="gramStart"/>
            <w:r>
              <w:rPr>
                <w:rFonts w:asciiTheme="majorHAnsi" w:hAnsiTheme="majorHAnsi"/>
                <w:sz w:val="24"/>
                <w:szCs w:val="24"/>
              </w:rPr>
              <w:t>point of sales strategies are</w:t>
            </w:r>
            <w:proofErr w:type="gramEnd"/>
            <w:r>
              <w:rPr>
                <w:rFonts w:asciiTheme="majorHAnsi" w:hAnsiTheme="majorHAnsi"/>
                <w:sz w:val="24"/>
                <w:szCs w:val="24"/>
              </w:rPr>
              <w:t xml:space="preserve"> being recommended? </w:t>
            </w:r>
          </w:p>
          <w:p w:rsidR="00223671" w:rsidRDefault="00223671" w:rsidP="00A61D28">
            <w:pPr>
              <w:rPr>
                <w:rFonts w:asciiTheme="majorHAnsi" w:hAnsiTheme="majorHAnsi"/>
                <w:sz w:val="24"/>
                <w:szCs w:val="24"/>
              </w:rPr>
            </w:pPr>
            <w:r>
              <w:rPr>
                <w:rFonts w:asciiTheme="majorHAnsi" w:hAnsiTheme="majorHAnsi"/>
                <w:sz w:val="24"/>
                <w:szCs w:val="24"/>
              </w:rPr>
              <w:t xml:space="preserve">A: HPCDP is recommending use of the strategies outlined by the Tobacco Control Legal Consortium and the Center for Public Health Systems Science of George Warren Brown School of Social Work. They are outlined in </w:t>
            </w:r>
            <w:r>
              <w:rPr>
                <w:rFonts w:asciiTheme="majorHAnsi" w:hAnsiTheme="majorHAnsi"/>
                <w:i/>
                <w:sz w:val="24"/>
                <w:szCs w:val="24"/>
              </w:rPr>
              <w:t>Point-of-Sale Strategies: A Tobacco Control Guide, Spring 2014</w:t>
            </w:r>
            <w:r>
              <w:rPr>
                <w:rFonts w:asciiTheme="majorHAnsi" w:hAnsiTheme="majorHAnsi"/>
                <w:sz w:val="24"/>
                <w:szCs w:val="24"/>
              </w:rPr>
              <w:t xml:space="preserve"> available here: </w:t>
            </w:r>
            <w:hyperlink r:id="rId9" w:history="1">
              <w:r w:rsidRPr="001072C7">
                <w:rPr>
                  <w:rStyle w:val="Hyperlink"/>
                  <w:rFonts w:asciiTheme="majorHAnsi" w:hAnsiTheme="majorHAnsi"/>
                  <w:sz w:val="24"/>
                  <w:szCs w:val="24"/>
                </w:rPr>
                <w:t>http://cphss.wustl.edu/Products/Documents/CPHSS_TCLC_2014_PointofSaleStrategies1.pdf</w:t>
              </w:r>
            </w:hyperlink>
          </w:p>
          <w:p w:rsidR="00223671" w:rsidRDefault="00223671" w:rsidP="00A61D28">
            <w:pPr>
              <w:rPr>
                <w:rFonts w:asciiTheme="majorHAnsi" w:hAnsiTheme="majorHAnsi"/>
                <w:sz w:val="24"/>
                <w:szCs w:val="24"/>
              </w:rPr>
            </w:pPr>
          </w:p>
          <w:p w:rsidR="008611D3" w:rsidRDefault="00AC28DA" w:rsidP="00A61D28">
            <w:pPr>
              <w:rPr>
                <w:rFonts w:asciiTheme="majorHAnsi" w:hAnsiTheme="majorHAnsi"/>
                <w:sz w:val="24"/>
                <w:szCs w:val="24"/>
              </w:rPr>
            </w:pPr>
            <w:r>
              <w:rPr>
                <w:rFonts w:asciiTheme="majorHAnsi" w:hAnsiTheme="majorHAnsi"/>
                <w:sz w:val="24"/>
                <w:szCs w:val="24"/>
              </w:rPr>
              <w:t>Marilyn Sutherl</w:t>
            </w:r>
            <w:r w:rsidR="00223671">
              <w:rPr>
                <w:rFonts w:asciiTheme="majorHAnsi" w:hAnsiTheme="majorHAnsi"/>
                <w:sz w:val="24"/>
                <w:szCs w:val="24"/>
              </w:rPr>
              <w:t>in moved to recommend to CLHO to provide a letter of support for the Tobacco Prevention application.</w:t>
            </w:r>
          </w:p>
          <w:p w:rsidR="008611D3" w:rsidRDefault="008611D3" w:rsidP="00A61D28">
            <w:pPr>
              <w:rPr>
                <w:rFonts w:asciiTheme="majorHAnsi" w:hAnsiTheme="majorHAnsi"/>
                <w:sz w:val="24"/>
                <w:szCs w:val="24"/>
              </w:rPr>
            </w:pPr>
            <w:r>
              <w:rPr>
                <w:rFonts w:asciiTheme="majorHAnsi" w:hAnsiTheme="majorHAnsi"/>
                <w:sz w:val="24"/>
                <w:szCs w:val="24"/>
              </w:rPr>
              <w:t>Kim Tierney Seconded.</w:t>
            </w:r>
          </w:p>
          <w:p w:rsidR="00F30746" w:rsidRDefault="00223671" w:rsidP="00A61D28">
            <w:pPr>
              <w:rPr>
                <w:rFonts w:asciiTheme="majorHAnsi" w:hAnsiTheme="majorHAnsi"/>
                <w:sz w:val="24"/>
                <w:szCs w:val="24"/>
              </w:rPr>
            </w:pPr>
            <w:r>
              <w:rPr>
                <w:rFonts w:asciiTheme="majorHAnsi" w:hAnsiTheme="majorHAnsi"/>
                <w:sz w:val="24"/>
                <w:szCs w:val="24"/>
              </w:rPr>
              <w:t>Approved</w:t>
            </w:r>
          </w:p>
          <w:p w:rsidR="00F30746" w:rsidRDefault="00F30746" w:rsidP="00A61D28">
            <w:pPr>
              <w:rPr>
                <w:rFonts w:asciiTheme="majorHAnsi" w:hAnsiTheme="majorHAnsi"/>
                <w:sz w:val="24"/>
                <w:szCs w:val="24"/>
              </w:rPr>
            </w:pPr>
          </w:p>
          <w:p w:rsidR="00600806" w:rsidRDefault="00F30746" w:rsidP="00A61D28">
            <w:pPr>
              <w:rPr>
                <w:rFonts w:asciiTheme="majorHAnsi" w:hAnsiTheme="majorHAnsi"/>
                <w:sz w:val="24"/>
                <w:szCs w:val="24"/>
              </w:rPr>
            </w:pPr>
            <w:r>
              <w:rPr>
                <w:rFonts w:asciiTheme="majorHAnsi" w:hAnsiTheme="majorHAnsi"/>
                <w:sz w:val="24"/>
                <w:szCs w:val="24"/>
              </w:rPr>
              <w:t xml:space="preserve">Letter will go to </w:t>
            </w:r>
            <w:r w:rsidR="00223671">
              <w:rPr>
                <w:rFonts w:asciiTheme="majorHAnsi" w:hAnsiTheme="majorHAnsi"/>
                <w:sz w:val="24"/>
                <w:szCs w:val="24"/>
              </w:rPr>
              <w:t xml:space="preserve">CHLO </w:t>
            </w:r>
            <w:r w:rsidR="00BF61F7">
              <w:rPr>
                <w:rFonts w:asciiTheme="majorHAnsi" w:hAnsiTheme="majorHAnsi"/>
                <w:sz w:val="24"/>
                <w:szCs w:val="24"/>
              </w:rPr>
              <w:t xml:space="preserve">November </w:t>
            </w:r>
            <w:r w:rsidR="00223671">
              <w:rPr>
                <w:rFonts w:asciiTheme="majorHAnsi" w:hAnsiTheme="majorHAnsi"/>
                <w:sz w:val="24"/>
                <w:szCs w:val="24"/>
              </w:rPr>
              <w:t>19</w:t>
            </w:r>
            <w:r w:rsidRPr="00F30746">
              <w:rPr>
                <w:rFonts w:asciiTheme="majorHAnsi" w:hAnsiTheme="majorHAnsi"/>
                <w:sz w:val="24"/>
                <w:szCs w:val="24"/>
                <w:vertAlign w:val="superscript"/>
              </w:rPr>
              <w:t>th</w:t>
            </w:r>
            <w:r>
              <w:rPr>
                <w:rFonts w:asciiTheme="majorHAnsi" w:hAnsiTheme="majorHAnsi"/>
                <w:sz w:val="24"/>
                <w:szCs w:val="24"/>
              </w:rPr>
              <w:t xml:space="preserve"> m</w:t>
            </w:r>
            <w:r w:rsidR="00BF61F7">
              <w:rPr>
                <w:rFonts w:asciiTheme="majorHAnsi" w:hAnsiTheme="majorHAnsi"/>
                <w:sz w:val="24"/>
                <w:szCs w:val="24"/>
              </w:rPr>
              <w:t>eeting</w:t>
            </w:r>
            <w:r>
              <w:rPr>
                <w:rFonts w:asciiTheme="majorHAnsi" w:hAnsiTheme="majorHAnsi"/>
                <w:sz w:val="24"/>
                <w:szCs w:val="24"/>
              </w:rPr>
              <w:t>.</w:t>
            </w:r>
          </w:p>
          <w:p w:rsidR="00BF61F7" w:rsidRPr="00D81791" w:rsidRDefault="00BF61F7" w:rsidP="00A61D28">
            <w:pPr>
              <w:rPr>
                <w:rFonts w:asciiTheme="majorHAnsi" w:hAnsiTheme="majorHAnsi"/>
                <w:sz w:val="24"/>
                <w:szCs w:val="24"/>
              </w:rPr>
            </w:pPr>
          </w:p>
        </w:tc>
        <w:tc>
          <w:tcPr>
            <w:tcW w:w="2088" w:type="dxa"/>
          </w:tcPr>
          <w:p w:rsidR="00600806" w:rsidRPr="00D81791" w:rsidRDefault="00D52CCE" w:rsidP="009247C3">
            <w:pPr>
              <w:rPr>
                <w:rFonts w:asciiTheme="majorHAnsi" w:hAnsiTheme="majorHAnsi"/>
                <w:sz w:val="24"/>
                <w:szCs w:val="24"/>
              </w:rPr>
            </w:pPr>
            <w:r>
              <w:rPr>
                <w:rFonts w:asciiTheme="majorHAnsi" w:hAnsiTheme="majorHAnsi"/>
                <w:sz w:val="24"/>
                <w:szCs w:val="24"/>
              </w:rPr>
              <w:lastRenderedPageBreak/>
              <w:t>Kati Moseley</w:t>
            </w:r>
          </w:p>
        </w:tc>
      </w:tr>
      <w:tr w:rsidR="002D2EA2" w:rsidRPr="00D81791" w:rsidTr="0055702B">
        <w:trPr>
          <w:trHeight w:val="720"/>
        </w:trPr>
        <w:tc>
          <w:tcPr>
            <w:tcW w:w="2808" w:type="dxa"/>
          </w:tcPr>
          <w:p w:rsidR="002D2EA2" w:rsidRDefault="002D2EA2" w:rsidP="002D2EA2">
            <w:pPr>
              <w:rPr>
                <w:rFonts w:asciiTheme="majorHAnsi" w:hAnsiTheme="majorHAnsi"/>
                <w:sz w:val="24"/>
                <w:szCs w:val="24"/>
              </w:rPr>
            </w:pPr>
            <w:r>
              <w:rPr>
                <w:rFonts w:asciiTheme="majorHAnsi" w:hAnsiTheme="majorHAnsi"/>
                <w:b/>
                <w:sz w:val="24"/>
                <w:szCs w:val="24"/>
              </w:rPr>
              <w:lastRenderedPageBreak/>
              <w:t>Healthy Communities Building Capacity revised Program Element</w:t>
            </w:r>
            <w:r>
              <w:rPr>
                <w:rFonts w:asciiTheme="majorHAnsi" w:hAnsiTheme="majorHAnsi"/>
                <w:sz w:val="24"/>
                <w:szCs w:val="24"/>
              </w:rPr>
              <w:t xml:space="preserve"> (15 min)</w:t>
            </w:r>
          </w:p>
          <w:p w:rsidR="002D2EA2" w:rsidRPr="00D81791" w:rsidRDefault="002D2EA2" w:rsidP="002D2EA2">
            <w:pPr>
              <w:rPr>
                <w:rFonts w:asciiTheme="majorHAnsi" w:hAnsiTheme="majorHAnsi"/>
                <w:sz w:val="24"/>
                <w:szCs w:val="24"/>
              </w:rPr>
            </w:pPr>
            <w:r>
              <w:rPr>
                <w:rFonts w:asciiTheme="majorHAnsi" w:hAnsiTheme="majorHAnsi"/>
                <w:sz w:val="24"/>
                <w:szCs w:val="24"/>
              </w:rPr>
              <w:t>1:20 – 1:35</w:t>
            </w:r>
          </w:p>
        </w:tc>
        <w:tc>
          <w:tcPr>
            <w:tcW w:w="3240" w:type="dxa"/>
          </w:tcPr>
          <w:p w:rsidR="002D2EA2" w:rsidRDefault="002D2EA2" w:rsidP="002D2EA2">
            <w:pPr>
              <w:rPr>
                <w:rFonts w:asciiTheme="majorHAnsi" w:hAnsiTheme="majorHAnsi"/>
                <w:b/>
                <w:sz w:val="24"/>
                <w:szCs w:val="24"/>
              </w:rPr>
            </w:pPr>
            <w:r>
              <w:rPr>
                <w:rFonts w:asciiTheme="majorHAnsi" w:hAnsiTheme="majorHAnsi"/>
                <w:b/>
                <w:sz w:val="24"/>
                <w:szCs w:val="24"/>
              </w:rPr>
              <w:t>Background</w:t>
            </w:r>
          </w:p>
          <w:p w:rsidR="002D2EA2" w:rsidRPr="002D2EA2" w:rsidRDefault="002D2EA2" w:rsidP="002D2EA2">
            <w:pPr>
              <w:rPr>
                <w:rFonts w:asciiTheme="majorHAnsi" w:hAnsiTheme="majorHAnsi"/>
                <w:sz w:val="24"/>
                <w:szCs w:val="24"/>
              </w:rPr>
            </w:pPr>
            <w:r>
              <w:rPr>
                <w:rFonts w:asciiTheme="majorHAnsi" w:hAnsiTheme="majorHAnsi"/>
                <w:sz w:val="24"/>
                <w:szCs w:val="24"/>
              </w:rPr>
              <w:t xml:space="preserve">HPCDP is in the process of revising the Healthy Communities Building Capacity Program Element in anticipation of a new RFGA release. This work will focus on improving coordinated care in clinical settings and on improving community-clinical linkages for the sustainable delivery of chronic disease self-management programs. </w:t>
            </w:r>
            <w:proofErr w:type="gramStart"/>
            <w:r>
              <w:rPr>
                <w:rFonts w:asciiTheme="majorHAnsi" w:hAnsiTheme="majorHAnsi"/>
                <w:sz w:val="24"/>
                <w:szCs w:val="24"/>
              </w:rPr>
              <w:t>This PE was discussed by both CLHO Healthy Communities and CLHO Health Systems</w:t>
            </w:r>
            <w:proofErr w:type="gramEnd"/>
            <w:r>
              <w:rPr>
                <w:rFonts w:asciiTheme="majorHAnsi" w:hAnsiTheme="majorHAnsi"/>
                <w:sz w:val="24"/>
                <w:szCs w:val="24"/>
              </w:rPr>
              <w:t xml:space="preserve"> at their respective November meetings. </w:t>
            </w:r>
            <w:r w:rsidR="009D6FA9">
              <w:rPr>
                <w:rFonts w:asciiTheme="majorHAnsi" w:hAnsiTheme="majorHAnsi"/>
                <w:sz w:val="24"/>
                <w:szCs w:val="24"/>
              </w:rPr>
              <w:t>Draft letter is shared as an attachment.</w:t>
            </w:r>
          </w:p>
          <w:p w:rsidR="002D2EA2" w:rsidRDefault="002D2EA2" w:rsidP="002D2EA2">
            <w:pPr>
              <w:rPr>
                <w:rFonts w:asciiTheme="majorHAnsi" w:hAnsiTheme="majorHAnsi"/>
                <w:b/>
                <w:sz w:val="24"/>
                <w:szCs w:val="24"/>
              </w:rPr>
            </w:pPr>
            <w:r>
              <w:rPr>
                <w:rFonts w:asciiTheme="majorHAnsi" w:hAnsiTheme="majorHAnsi"/>
                <w:b/>
                <w:sz w:val="24"/>
                <w:szCs w:val="24"/>
              </w:rPr>
              <w:t>Objective</w:t>
            </w:r>
          </w:p>
          <w:p w:rsidR="00DC344B" w:rsidRPr="002D2EA2" w:rsidRDefault="002D2EA2" w:rsidP="002D2EA2">
            <w:pPr>
              <w:rPr>
                <w:rFonts w:asciiTheme="majorHAnsi" w:hAnsiTheme="majorHAnsi"/>
                <w:sz w:val="24"/>
                <w:szCs w:val="24"/>
              </w:rPr>
            </w:pPr>
            <w:r>
              <w:rPr>
                <w:rFonts w:asciiTheme="majorHAnsi" w:hAnsiTheme="majorHAnsi"/>
                <w:sz w:val="24"/>
                <w:szCs w:val="24"/>
              </w:rPr>
              <w:t xml:space="preserve">Present a revised draft of the Program Element for </w:t>
            </w:r>
            <w:r w:rsidR="00083C01">
              <w:rPr>
                <w:rFonts w:asciiTheme="majorHAnsi" w:hAnsiTheme="majorHAnsi"/>
                <w:sz w:val="24"/>
                <w:szCs w:val="24"/>
              </w:rPr>
              <w:t xml:space="preserve">any further discussion and a recommendation to adopt. </w:t>
            </w:r>
          </w:p>
        </w:tc>
        <w:tc>
          <w:tcPr>
            <w:tcW w:w="6480" w:type="dxa"/>
          </w:tcPr>
          <w:p w:rsidR="00DC344B" w:rsidRPr="001072C7" w:rsidRDefault="001072C7" w:rsidP="002D2EA2">
            <w:pPr>
              <w:rPr>
                <w:rFonts w:asciiTheme="majorHAnsi" w:hAnsiTheme="majorHAnsi"/>
                <w:sz w:val="24"/>
                <w:szCs w:val="24"/>
              </w:rPr>
            </w:pPr>
            <w:r w:rsidRPr="001072C7">
              <w:rPr>
                <w:rFonts w:asciiTheme="majorHAnsi" w:hAnsiTheme="majorHAnsi"/>
                <w:sz w:val="24"/>
                <w:szCs w:val="24"/>
              </w:rPr>
              <w:t xml:space="preserve">Competitive opportunities will soon be </w:t>
            </w:r>
            <w:r w:rsidR="00BF61F7" w:rsidRPr="001072C7">
              <w:rPr>
                <w:rFonts w:asciiTheme="majorHAnsi" w:hAnsiTheme="majorHAnsi"/>
                <w:sz w:val="24"/>
                <w:szCs w:val="24"/>
              </w:rPr>
              <w:t>availabl</w:t>
            </w:r>
            <w:r w:rsidR="006D6A09">
              <w:rPr>
                <w:rFonts w:asciiTheme="majorHAnsi" w:hAnsiTheme="majorHAnsi"/>
                <w:sz w:val="24"/>
                <w:szCs w:val="24"/>
              </w:rPr>
              <w:t>e to local public health and CCOs. It will be open to either entity as the</w:t>
            </w:r>
            <w:r w:rsidR="00BF61F7" w:rsidRPr="001072C7">
              <w:rPr>
                <w:rFonts w:asciiTheme="majorHAnsi" w:hAnsiTheme="majorHAnsi"/>
                <w:sz w:val="24"/>
                <w:szCs w:val="24"/>
              </w:rPr>
              <w:t xml:space="preserve"> lead</w:t>
            </w:r>
            <w:r w:rsidRPr="001072C7">
              <w:rPr>
                <w:rFonts w:asciiTheme="majorHAnsi" w:hAnsiTheme="majorHAnsi"/>
                <w:sz w:val="24"/>
                <w:szCs w:val="24"/>
              </w:rPr>
              <w:t xml:space="preserve"> </w:t>
            </w:r>
            <w:r w:rsidR="006D6A09">
              <w:rPr>
                <w:rFonts w:asciiTheme="majorHAnsi" w:hAnsiTheme="majorHAnsi"/>
                <w:sz w:val="24"/>
                <w:szCs w:val="24"/>
              </w:rPr>
              <w:t>fiscal agent</w:t>
            </w:r>
            <w:r w:rsidRPr="001072C7">
              <w:rPr>
                <w:rFonts w:asciiTheme="majorHAnsi" w:hAnsiTheme="majorHAnsi"/>
                <w:sz w:val="24"/>
                <w:szCs w:val="24"/>
              </w:rPr>
              <w:t>.</w:t>
            </w:r>
          </w:p>
          <w:p w:rsidR="00DC344B" w:rsidRDefault="00DC344B" w:rsidP="002D2EA2">
            <w:pPr>
              <w:rPr>
                <w:rFonts w:asciiTheme="majorHAnsi" w:hAnsiTheme="majorHAnsi"/>
                <w:color w:val="FF0000"/>
                <w:sz w:val="24"/>
                <w:szCs w:val="24"/>
              </w:rPr>
            </w:pPr>
          </w:p>
          <w:p w:rsidR="002D2EA2" w:rsidRPr="00BF61F7" w:rsidRDefault="006D6A09" w:rsidP="006D6A09">
            <w:pPr>
              <w:rPr>
                <w:rFonts w:asciiTheme="majorHAnsi" w:hAnsiTheme="majorHAnsi"/>
                <w:color w:val="FF0000"/>
                <w:sz w:val="24"/>
                <w:szCs w:val="24"/>
              </w:rPr>
            </w:pPr>
            <w:r>
              <w:rPr>
                <w:rFonts w:asciiTheme="majorHAnsi" w:hAnsiTheme="majorHAnsi"/>
                <w:sz w:val="24"/>
                <w:szCs w:val="24"/>
              </w:rPr>
              <w:t xml:space="preserve">In October, information was presented about this work to this committee and to </w:t>
            </w:r>
            <w:r w:rsidR="001072C7" w:rsidRPr="00212FEA">
              <w:rPr>
                <w:rFonts w:asciiTheme="majorHAnsi" w:hAnsiTheme="majorHAnsi"/>
                <w:sz w:val="24"/>
                <w:szCs w:val="24"/>
              </w:rPr>
              <w:t>CHLO</w:t>
            </w:r>
            <w:r w:rsidR="00BF61F7" w:rsidRPr="00212FEA">
              <w:rPr>
                <w:rFonts w:asciiTheme="majorHAnsi" w:hAnsiTheme="majorHAnsi"/>
                <w:sz w:val="24"/>
                <w:szCs w:val="24"/>
              </w:rPr>
              <w:t xml:space="preserve"> Health Systems</w:t>
            </w:r>
            <w:r w:rsidR="001072C7" w:rsidRPr="00212FEA">
              <w:rPr>
                <w:rFonts w:asciiTheme="majorHAnsi" w:hAnsiTheme="majorHAnsi"/>
                <w:sz w:val="24"/>
                <w:szCs w:val="24"/>
              </w:rPr>
              <w:t xml:space="preserve">. </w:t>
            </w:r>
            <w:r>
              <w:rPr>
                <w:rFonts w:asciiTheme="majorHAnsi" w:hAnsiTheme="majorHAnsi"/>
                <w:sz w:val="24"/>
                <w:szCs w:val="24"/>
              </w:rPr>
              <w:t>Input has been gathered from both committees and has informed the draft Program Element currently under development. That draft will go to CLHO Health Systems committee this month for approval and then to CLHO. It will be shared with this committee once complete.</w:t>
            </w:r>
            <w:r w:rsidR="00BF61F7" w:rsidRPr="00212FEA">
              <w:rPr>
                <w:rFonts w:asciiTheme="majorHAnsi" w:hAnsiTheme="majorHAnsi"/>
                <w:sz w:val="24"/>
                <w:szCs w:val="24"/>
              </w:rPr>
              <w:t xml:space="preserve"> Jan </w:t>
            </w:r>
            <w:r w:rsidR="001072C7" w:rsidRPr="00212FEA">
              <w:rPr>
                <w:rFonts w:asciiTheme="majorHAnsi" w:hAnsiTheme="majorHAnsi"/>
                <w:sz w:val="24"/>
                <w:szCs w:val="24"/>
              </w:rPr>
              <w:t>Kaplan suggested th</w:t>
            </w:r>
            <w:r w:rsidR="00212FEA" w:rsidRPr="00212FEA">
              <w:rPr>
                <w:rFonts w:asciiTheme="majorHAnsi" w:hAnsiTheme="majorHAnsi"/>
                <w:sz w:val="24"/>
                <w:szCs w:val="24"/>
              </w:rPr>
              <w:t xml:space="preserve">e presentation for </w:t>
            </w:r>
            <w:r>
              <w:rPr>
                <w:rFonts w:asciiTheme="majorHAnsi" w:hAnsiTheme="majorHAnsi"/>
                <w:sz w:val="24"/>
                <w:szCs w:val="24"/>
              </w:rPr>
              <w:t>the Program Element</w:t>
            </w:r>
            <w:r w:rsidR="00212FEA" w:rsidRPr="00212FEA">
              <w:rPr>
                <w:rFonts w:asciiTheme="majorHAnsi" w:hAnsiTheme="majorHAnsi"/>
                <w:sz w:val="24"/>
                <w:szCs w:val="24"/>
              </w:rPr>
              <w:t xml:space="preserve"> come </w:t>
            </w:r>
            <w:r w:rsidR="00212FEA">
              <w:rPr>
                <w:rFonts w:asciiTheme="majorHAnsi" w:hAnsiTheme="majorHAnsi"/>
                <w:sz w:val="24"/>
                <w:szCs w:val="24"/>
              </w:rPr>
              <w:t>“harmoniously” f</w:t>
            </w:r>
            <w:r w:rsidR="00212FEA" w:rsidRPr="00212FEA">
              <w:rPr>
                <w:rFonts w:asciiTheme="majorHAnsi" w:hAnsiTheme="majorHAnsi"/>
                <w:sz w:val="24"/>
                <w:szCs w:val="24"/>
              </w:rPr>
              <w:t xml:space="preserve">rom one </w:t>
            </w:r>
            <w:r>
              <w:rPr>
                <w:rFonts w:asciiTheme="majorHAnsi" w:hAnsiTheme="majorHAnsi"/>
                <w:sz w:val="24"/>
                <w:szCs w:val="24"/>
              </w:rPr>
              <w:t>of the two CLHO committees</w:t>
            </w:r>
            <w:r w:rsidR="00212FEA" w:rsidRPr="00212FEA">
              <w:rPr>
                <w:rFonts w:asciiTheme="majorHAnsi" w:hAnsiTheme="majorHAnsi"/>
                <w:sz w:val="24"/>
                <w:szCs w:val="24"/>
              </w:rPr>
              <w:t xml:space="preserve"> </w:t>
            </w:r>
            <w:r w:rsidR="00212FEA">
              <w:rPr>
                <w:rFonts w:asciiTheme="majorHAnsi" w:hAnsiTheme="majorHAnsi"/>
                <w:sz w:val="24"/>
                <w:szCs w:val="24"/>
              </w:rPr>
              <w:t xml:space="preserve">before it goes to big CHLO and on </w:t>
            </w:r>
            <w:r w:rsidR="00212FEA" w:rsidRPr="00212FEA">
              <w:rPr>
                <w:rFonts w:asciiTheme="majorHAnsi" w:hAnsiTheme="majorHAnsi"/>
                <w:sz w:val="24"/>
                <w:szCs w:val="24"/>
              </w:rPr>
              <w:t xml:space="preserve">to be confirmed </w:t>
            </w:r>
            <w:r w:rsidR="00212FEA">
              <w:rPr>
                <w:rFonts w:asciiTheme="majorHAnsi" w:hAnsiTheme="majorHAnsi"/>
                <w:sz w:val="24"/>
                <w:szCs w:val="24"/>
              </w:rPr>
              <w:t>at the</w:t>
            </w:r>
            <w:r w:rsidR="00212FEA" w:rsidRPr="00212FEA">
              <w:rPr>
                <w:rFonts w:asciiTheme="majorHAnsi" w:hAnsiTheme="majorHAnsi"/>
                <w:sz w:val="24"/>
                <w:szCs w:val="24"/>
              </w:rPr>
              <w:t xml:space="preserve"> DOJ.</w:t>
            </w:r>
            <w:r w:rsidR="00212FEA">
              <w:rPr>
                <w:rFonts w:asciiTheme="majorHAnsi" w:hAnsiTheme="majorHAnsi"/>
                <w:sz w:val="24"/>
                <w:szCs w:val="24"/>
              </w:rPr>
              <w:t xml:space="preserve"> </w:t>
            </w:r>
            <w:r>
              <w:rPr>
                <w:rFonts w:asciiTheme="majorHAnsi" w:hAnsiTheme="majorHAnsi"/>
                <w:sz w:val="24"/>
                <w:szCs w:val="24"/>
              </w:rPr>
              <w:t>CLHO Health Systems has agreed to carry forward the proposal. Time has already been requested for the November CLHO meeting. Laterally, HPCDP staffs are</w:t>
            </w:r>
            <w:r w:rsidR="00212FEA">
              <w:rPr>
                <w:rFonts w:asciiTheme="majorHAnsi" w:hAnsiTheme="majorHAnsi"/>
                <w:sz w:val="24"/>
                <w:szCs w:val="24"/>
              </w:rPr>
              <w:t xml:space="preserve"> working with contracts and procurement </w:t>
            </w:r>
            <w:r>
              <w:rPr>
                <w:rFonts w:asciiTheme="majorHAnsi" w:hAnsiTheme="majorHAnsi"/>
                <w:sz w:val="24"/>
                <w:szCs w:val="24"/>
              </w:rPr>
              <w:t>to have the Program Element reviewed by DOJ and on the development of the accompanying RFA</w:t>
            </w:r>
            <w:r w:rsidR="00212FEA">
              <w:rPr>
                <w:rFonts w:asciiTheme="majorHAnsi" w:hAnsiTheme="majorHAnsi"/>
                <w:sz w:val="24"/>
                <w:szCs w:val="24"/>
              </w:rPr>
              <w:t>.</w:t>
            </w:r>
          </w:p>
        </w:tc>
        <w:tc>
          <w:tcPr>
            <w:tcW w:w="2088" w:type="dxa"/>
          </w:tcPr>
          <w:p w:rsidR="002D2EA2" w:rsidRDefault="00083C01" w:rsidP="002D2EA2">
            <w:pPr>
              <w:rPr>
                <w:rFonts w:asciiTheme="majorHAnsi" w:hAnsiTheme="majorHAnsi"/>
                <w:sz w:val="24"/>
                <w:szCs w:val="24"/>
              </w:rPr>
            </w:pPr>
            <w:r>
              <w:rPr>
                <w:rFonts w:asciiTheme="majorHAnsi" w:hAnsiTheme="majorHAnsi"/>
                <w:sz w:val="24"/>
                <w:szCs w:val="24"/>
              </w:rPr>
              <w:t>Laura Chisholm and Scott Montegna</w:t>
            </w:r>
          </w:p>
          <w:p w:rsidR="00DC344B" w:rsidRDefault="00DC344B" w:rsidP="002D2EA2">
            <w:pPr>
              <w:rPr>
                <w:rFonts w:asciiTheme="majorHAnsi" w:hAnsiTheme="majorHAnsi"/>
                <w:sz w:val="24"/>
                <w:szCs w:val="24"/>
              </w:rPr>
            </w:pPr>
          </w:p>
          <w:p w:rsidR="00DC344B" w:rsidRDefault="00DC344B" w:rsidP="002D2EA2">
            <w:pPr>
              <w:rPr>
                <w:rFonts w:asciiTheme="majorHAnsi" w:hAnsiTheme="majorHAnsi"/>
                <w:sz w:val="24"/>
                <w:szCs w:val="24"/>
              </w:rPr>
            </w:pPr>
            <w:r>
              <w:rPr>
                <w:rFonts w:asciiTheme="majorHAnsi" w:hAnsiTheme="majorHAnsi"/>
                <w:sz w:val="24"/>
                <w:szCs w:val="24"/>
              </w:rPr>
              <w:t>Sabrina Freewyn presented the information for Laura and Scott.</w:t>
            </w:r>
          </w:p>
          <w:p w:rsidR="006D6A09" w:rsidRDefault="006D6A09" w:rsidP="002D2EA2">
            <w:pPr>
              <w:rPr>
                <w:rFonts w:asciiTheme="majorHAnsi" w:hAnsiTheme="majorHAnsi"/>
                <w:sz w:val="24"/>
                <w:szCs w:val="24"/>
              </w:rPr>
            </w:pPr>
          </w:p>
          <w:p w:rsidR="006D6A09" w:rsidRPr="00D81791" w:rsidRDefault="006D6A09" w:rsidP="002D2EA2">
            <w:pPr>
              <w:rPr>
                <w:rFonts w:asciiTheme="majorHAnsi" w:hAnsiTheme="majorHAnsi"/>
                <w:sz w:val="24"/>
                <w:szCs w:val="24"/>
              </w:rPr>
            </w:pPr>
            <w:r>
              <w:rPr>
                <w:rFonts w:asciiTheme="majorHAnsi" w:hAnsiTheme="majorHAnsi"/>
                <w:sz w:val="24"/>
                <w:szCs w:val="24"/>
              </w:rPr>
              <w:t>See attached program element</w:t>
            </w:r>
          </w:p>
        </w:tc>
      </w:tr>
      <w:tr w:rsidR="009230DC" w:rsidRPr="00D81791" w:rsidTr="0055702B">
        <w:trPr>
          <w:trHeight w:val="890"/>
        </w:trPr>
        <w:tc>
          <w:tcPr>
            <w:tcW w:w="2808" w:type="dxa"/>
          </w:tcPr>
          <w:p w:rsidR="009230DC" w:rsidRDefault="00065498" w:rsidP="009230DC">
            <w:pPr>
              <w:rPr>
                <w:rFonts w:asciiTheme="majorHAnsi" w:hAnsiTheme="majorHAnsi"/>
                <w:sz w:val="24"/>
                <w:szCs w:val="24"/>
              </w:rPr>
            </w:pPr>
            <w:r w:rsidRPr="007C6493">
              <w:rPr>
                <w:rFonts w:asciiTheme="majorHAnsi" w:hAnsiTheme="majorHAnsi"/>
                <w:b/>
                <w:sz w:val="24"/>
                <w:szCs w:val="24"/>
              </w:rPr>
              <w:lastRenderedPageBreak/>
              <w:t>TPEP Funding formula</w:t>
            </w:r>
            <w:r>
              <w:rPr>
                <w:rFonts w:asciiTheme="majorHAnsi" w:hAnsiTheme="majorHAnsi"/>
                <w:sz w:val="24"/>
                <w:szCs w:val="24"/>
              </w:rPr>
              <w:t xml:space="preserve"> (30 min)</w:t>
            </w:r>
          </w:p>
          <w:p w:rsidR="00065498" w:rsidRPr="00D81791" w:rsidRDefault="00083C01" w:rsidP="009230DC">
            <w:pPr>
              <w:rPr>
                <w:rFonts w:asciiTheme="majorHAnsi" w:hAnsiTheme="majorHAnsi"/>
                <w:sz w:val="24"/>
                <w:szCs w:val="24"/>
              </w:rPr>
            </w:pPr>
            <w:r>
              <w:rPr>
                <w:rFonts w:asciiTheme="majorHAnsi" w:hAnsiTheme="majorHAnsi"/>
                <w:sz w:val="24"/>
                <w:szCs w:val="24"/>
              </w:rPr>
              <w:t>1:35 – 2:05</w:t>
            </w:r>
          </w:p>
        </w:tc>
        <w:tc>
          <w:tcPr>
            <w:tcW w:w="3240" w:type="dxa"/>
          </w:tcPr>
          <w:p w:rsidR="003577F4" w:rsidRDefault="00083C01" w:rsidP="00065498">
            <w:pPr>
              <w:rPr>
                <w:rFonts w:asciiTheme="majorHAnsi" w:hAnsiTheme="majorHAnsi"/>
                <w:b/>
                <w:sz w:val="24"/>
                <w:szCs w:val="24"/>
              </w:rPr>
            </w:pPr>
            <w:r>
              <w:rPr>
                <w:rFonts w:asciiTheme="majorHAnsi" w:hAnsiTheme="majorHAnsi"/>
                <w:b/>
                <w:sz w:val="24"/>
                <w:szCs w:val="24"/>
              </w:rPr>
              <w:t>Background</w:t>
            </w:r>
          </w:p>
          <w:p w:rsidR="00083C01" w:rsidRPr="00083C01" w:rsidRDefault="00083C01" w:rsidP="00065498">
            <w:pPr>
              <w:rPr>
                <w:rFonts w:asciiTheme="majorHAnsi" w:hAnsiTheme="majorHAnsi"/>
                <w:sz w:val="24"/>
                <w:szCs w:val="24"/>
              </w:rPr>
            </w:pPr>
            <w:r>
              <w:rPr>
                <w:rFonts w:asciiTheme="majorHAnsi" w:hAnsiTheme="majorHAnsi"/>
                <w:sz w:val="24"/>
                <w:szCs w:val="24"/>
              </w:rPr>
              <w:t xml:space="preserve">The current Tobacco Prevention and Education Program (TPEP) funding formula </w:t>
            </w:r>
            <w:r w:rsidR="000C0D26">
              <w:rPr>
                <w:rFonts w:asciiTheme="majorHAnsi" w:hAnsiTheme="majorHAnsi"/>
                <w:sz w:val="24"/>
                <w:szCs w:val="24"/>
              </w:rPr>
              <w:t xml:space="preserve">has base funding tiered based on population size with a balance of the funds being distributed on a per-capita basis. </w:t>
            </w:r>
            <w:r w:rsidR="00170F20">
              <w:rPr>
                <w:rFonts w:asciiTheme="majorHAnsi" w:hAnsiTheme="majorHAnsi"/>
                <w:sz w:val="24"/>
                <w:szCs w:val="24"/>
              </w:rPr>
              <w:t xml:space="preserve">Three alternative formulas are presented for discussion – eliminating the lowest tiers to increase the base funding for the lowest population counties. These changes would increase the TPEP funding for one, six or seventeen rural counties in a significant enough way for them to be able to increase FTE focused on tobacco prevention and reduction. </w:t>
            </w:r>
          </w:p>
          <w:p w:rsidR="00083C01" w:rsidRDefault="00083C01" w:rsidP="00065498">
            <w:pPr>
              <w:rPr>
                <w:rFonts w:asciiTheme="majorHAnsi" w:hAnsiTheme="majorHAnsi"/>
                <w:b/>
                <w:sz w:val="24"/>
                <w:szCs w:val="24"/>
              </w:rPr>
            </w:pPr>
            <w:r>
              <w:rPr>
                <w:rFonts w:asciiTheme="majorHAnsi" w:hAnsiTheme="majorHAnsi"/>
                <w:b/>
                <w:sz w:val="24"/>
                <w:szCs w:val="24"/>
              </w:rPr>
              <w:t>Objective</w:t>
            </w:r>
          </w:p>
          <w:p w:rsidR="00083C01" w:rsidRDefault="00083C01" w:rsidP="00065498">
            <w:pPr>
              <w:rPr>
                <w:rFonts w:asciiTheme="majorHAnsi" w:hAnsiTheme="majorHAnsi"/>
                <w:sz w:val="24"/>
                <w:szCs w:val="24"/>
              </w:rPr>
            </w:pPr>
            <w:r>
              <w:rPr>
                <w:rFonts w:asciiTheme="majorHAnsi" w:hAnsiTheme="majorHAnsi"/>
                <w:sz w:val="24"/>
                <w:szCs w:val="24"/>
              </w:rPr>
              <w:t>Continue discussions on a possible revision to the TPEP funding formula</w:t>
            </w:r>
          </w:p>
          <w:p w:rsidR="00657394" w:rsidRDefault="00657394" w:rsidP="00065498">
            <w:pPr>
              <w:rPr>
                <w:rFonts w:asciiTheme="majorHAnsi" w:hAnsiTheme="majorHAnsi"/>
                <w:sz w:val="24"/>
                <w:szCs w:val="24"/>
              </w:rPr>
            </w:pPr>
          </w:p>
          <w:p w:rsidR="00CA76DC" w:rsidRDefault="00CA76DC" w:rsidP="00065498">
            <w:pPr>
              <w:rPr>
                <w:rFonts w:asciiTheme="majorHAnsi" w:hAnsiTheme="majorHAnsi"/>
                <w:color w:val="FF0000"/>
                <w:sz w:val="24"/>
                <w:szCs w:val="24"/>
              </w:rPr>
            </w:pPr>
          </w:p>
          <w:p w:rsidR="00B70440" w:rsidRPr="00657394" w:rsidRDefault="00B70440" w:rsidP="00B70440">
            <w:pPr>
              <w:rPr>
                <w:rFonts w:asciiTheme="majorHAnsi" w:hAnsiTheme="majorHAnsi"/>
                <w:color w:val="FF0000"/>
                <w:sz w:val="24"/>
                <w:szCs w:val="24"/>
              </w:rPr>
            </w:pPr>
          </w:p>
        </w:tc>
        <w:tc>
          <w:tcPr>
            <w:tcW w:w="6480" w:type="dxa"/>
          </w:tcPr>
          <w:p w:rsidR="0055064C" w:rsidRDefault="0055064C" w:rsidP="009230DC">
            <w:pPr>
              <w:rPr>
                <w:rFonts w:asciiTheme="majorHAnsi" w:hAnsiTheme="majorHAnsi"/>
                <w:sz w:val="24"/>
                <w:szCs w:val="24"/>
              </w:rPr>
            </w:pPr>
            <w:r>
              <w:rPr>
                <w:rFonts w:asciiTheme="majorHAnsi" w:hAnsiTheme="majorHAnsi"/>
                <w:sz w:val="24"/>
                <w:szCs w:val="24"/>
              </w:rPr>
              <w:t>Four scenarios were presented as alternative ways to calculate the TPEP funding formula. A word document accompanying the excel spreadsheet gives information on each scenario.</w:t>
            </w:r>
          </w:p>
          <w:p w:rsidR="0055064C" w:rsidRDefault="0055064C" w:rsidP="009230DC">
            <w:pPr>
              <w:rPr>
                <w:rFonts w:asciiTheme="majorHAnsi" w:hAnsiTheme="majorHAnsi"/>
                <w:sz w:val="24"/>
                <w:szCs w:val="24"/>
              </w:rPr>
            </w:pPr>
          </w:p>
          <w:p w:rsidR="0055064C" w:rsidRDefault="0055064C" w:rsidP="009230DC">
            <w:pPr>
              <w:rPr>
                <w:rFonts w:asciiTheme="majorHAnsi" w:hAnsiTheme="majorHAnsi"/>
                <w:sz w:val="24"/>
                <w:szCs w:val="24"/>
              </w:rPr>
            </w:pPr>
            <w:r>
              <w:rPr>
                <w:rFonts w:asciiTheme="majorHAnsi" w:hAnsiTheme="majorHAnsi"/>
                <w:sz w:val="24"/>
                <w:szCs w:val="24"/>
              </w:rPr>
              <w:t xml:space="preserve">Sabrina </w:t>
            </w:r>
            <w:r w:rsidR="00E113BC">
              <w:rPr>
                <w:rFonts w:asciiTheme="majorHAnsi" w:hAnsiTheme="majorHAnsi"/>
                <w:sz w:val="24"/>
                <w:szCs w:val="24"/>
              </w:rPr>
              <w:t xml:space="preserve">Freewynn </w:t>
            </w:r>
            <w:r>
              <w:rPr>
                <w:rFonts w:asciiTheme="majorHAnsi" w:hAnsiTheme="majorHAnsi"/>
                <w:sz w:val="24"/>
                <w:szCs w:val="24"/>
              </w:rPr>
              <w:t xml:space="preserve">shared information she has learned from discussions with administrators in rural counties, and through TPEP evaluation projects. </w:t>
            </w:r>
          </w:p>
          <w:p w:rsidR="0055064C" w:rsidRDefault="0055064C" w:rsidP="009230DC">
            <w:pPr>
              <w:rPr>
                <w:rFonts w:asciiTheme="majorHAnsi" w:hAnsiTheme="majorHAnsi"/>
                <w:sz w:val="24"/>
                <w:szCs w:val="24"/>
              </w:rPr>
            </w:pPr>
          </w:p>
          <w:p w:rsidR="0055064C" w:rsidRDefault="0055064C" w:rsidP="009230DC">
            <w:pPr>
              <w:rPr>
                <w:rFonts w:asciiTheme="majorHAnsi" w:hAnsiTheme="majorHAnsi"/>
                <w:sz w:val="24"/>
                <w:szCs w:val="24"/>
              </w:rPr>
            </w:pPr>
            <w:r>
              <w:rPr>
                <w:rFonts w:asciiTheme="majorHAnsi" w:hAnsiTheme="majorHAnsi"/>
                <w:sz w:val="24"/>
                <w:szCs w:val="24"/>
              </w:rPr>
              <w:t xml:space="preserve">Committee members expressed: </w:t>
            </w:r>
          </w:p>
          <w:p w:rsidR="0055064C" w:rsidRDefault="0055064C" w:rsidP="0055064C">
            <w:pPr>
              <w:pStyle w:val="ListParagraph"/>
              <w:numPr>
                <w:ilvl w:val="0"/>
                <w:numId w:val="39"/>
              </w:numPr>
              <w:rPr>
                <w:rFonts w:asciiTheme="majorHAnsi" w:hAnsiTheme="majorHAnsi"/>
                <w:sz w:val="24"/>
                <w:szCs w:val="24"/>
              </w:rPr>
            </w:pPr>
            <w:r>
              <w:rPr>
                <w:rFonts w:asciiTheme="majorHAnsi" w:hAnsiTheme="majorHAnsi"/>
                <w:sz w:val="24"/>
                <w:szCs w:val="24"/>
              </w:rPr>
              <w:t>A</w:t>
            </w:r>
            <w:r w:rsidRPr="0055064C">
              <w:rPr>
                <w:rFonts w:asciiTheme="majorHAnsi" w:hAnsiTheme="majorHAnsi"/>
                <w:sz w:val="24"/>
                <w:szCs w:val="24"/>
              </w:rPr>
              <w:t xml:space="preserve"> shared value of equity </w:t>
            </w:r>
          </w:p>
          <w:p w:rsidR="0055064C" w:rsidRDefault="0055064C" w:rsidP="0055064C">
            <w:pPr>
              <w:pStyle w:val="ListParagraph"/>
              <w:numPr>
                <w:ilvl w:val="0"/>
                <w:numId w:val="39"/>
              </w:numPr>
              <w:rPr>
                <w:rFonts w:asciiTheme="majorHAnsi" w:hAnsiTheme="majorHAnsi"/>
                <w:sz w:val="24"/>
                <w:szCs w:val="24"/>
              </w:rPr>
            </w:pPr>
            <w:r>
              <w:rPr>
                <w:rFonts w:asciiTheme="majorHAnsi" w:hAnsiTheme="majorHAnsi"/>
                <w:sz w:val="24"/>
                <w:szCs w:val="24"/>
              </w:rPr>
              <w:t xml:space="preserve">A </w:t>
            </w:r>
            <w:r w:rsidRPr="0055064C">
              <w:rPr>
                <w:rFonts w:asciiTheme="majorHAnsi" w:hAnsiTheme="majorHAnsi"/>
                <w:sz w:val="24"/>
                <w:szCs w:val="24"/>
              </w:rPr>
              <w:t>concern about f</w:t>
            </w:r>
            <w:r>
              <w:rPr>
                <w:rFonts w:asciiTheme="majorHAnsi" w:hAnsiTheme="majorHAnsi"/>
                <w:sz w:val="24"/>
                <w:szCs w:val="24"/>
              </w:rPr>
              <w:t>unding losses in some counties</w:t>
            </w:r>
          </w:p>
          <w:p w:rsidR="0055064C" w:rsidRDefault="0055064C" w:rsidP="0055064C">
            <w:pPr>
              <w:pStyle w:val="ListParagraph"/>
              <w:numPr>
                <w:ilvl w:val="0"/>
                <w:numId w:val="39"/>
              </w:numPr>
              <w:rPr>
                <w:rFonts w:asciiTheme="majorHAnsi" w:hAnsiTheme="majorHAnsi"/>
                <w:sz w:val="24"/>
                <w:szCs w:val="24"/>
              </w:rPr>
            </w:pPr>
            <w:r>
              <w:rPr>
                <w:rFonts w:asciiTheme="majorHAnsi" w:hAnsiTheme="majorHAnsi"/>
                <w:sz w:val="24"/>
                <w:szCs w:val="24"/>
              </w:rPr>
              <w:t>An interest in continuing to discuss</w:t>
            </w:r>
          </w:p>
          <w:p w:rsidR="003C6C89" w:rsidRDefault="00E113BC" w:rsidP="0055064C">
            <w:pPr>
              <w:pStyle w:val="ListParagraph"/>
              <w:numPr>
                <w:ilvl w:val="0"/>
                <w:numId w:val="39"/>
              </w:numPr>
              <w:rPr>
                <w:rFonts w:asciiTheme="majorHAnsi" w:hAnsiTheme="majorHAnsi"/>
                <w:sz w:val="24"/>
                <w:szCs w:val="24"/>
              </w:rPr>
            </w:pPr>
            <w:r>
              <w:rPr>
                <w:rFonts w:asciiTheme="majorHAnsi" w:hAnsiTheme="majorHAnsi"/>
                <w:sz w:val="24"/>
                <w:szCs w:val="24"/>
              </w:rPr>
              <w:t>Belief that a</w:t>
            </w:r>
            <w:r w:rsidR="003C6C89">
              <w:rPr>
                <w:rFonts w:asciiTheme="majorHAnsi" w:hAnsiTheme="majorHAnsi"/>
                <w:sz w:val="24"/>
                <w:szCs w:val="24"/>
              </w:rPr>
              <w:t xml:space="preserve"> change in funding should be large enough for increased FTE</w:t>
            </w:r>
            <w:r>
              <w:rPr>
                <w:rFonts w:asciiTheme="majorHAnsi" w:hAnsiTheme="majorHAnsi"/>
                <w:sz w:val="24"/>
                <w:szCs w:val="24"/>
              </w:rPr>
              <w:t xml:space="preserve"> </w:t>
            </w:r>
          </w:p>
          <w:p w:rsidR="003C6C89" w:rsidRPr="0055064C" w:rsidRDefault="003C6C89" w:rsidP="0055064C">
            <w:pPr>
              <w:pStyle w:val="ListParagraph"/>
              <w:numPr>
                <w:ilvl w:val="0"/>
                <w:numId w:val="39"/>
              </w:numPr>
              <w:rPr>
                <w:rFonts w:asciiTheme="majorHAnsi" w:hAnsiTheme="majorHAnsi"/>
                <w:sz w:val="24"/>
                <w:szCs w:val="24"/>
              </w:rPr>
            </w:pPr>
            <w:r>
              <w:rPr>
                <w:rFonts w:asciiTheme="majorHAnsi" w:hAnsiTheme="majorHAnsi"/>
                <w:sz w:val="24"/>
                <w:szCs w:val="24"/>
              </w:rPr>
              <w:t>An appreciation to HPCDP for reaching out to rural counties to learn more</w:t>
            </w:r>
          </w:p>
          <w:p w:rsidR="0055064C" w:rsidRDefault="0055064C" w:rsidP="009230DC">
            <w:pPr>
              <w:rPr>
                <w:rFonts w:asciiTheme="majorHAnsi" w:hAnsiTheme="majorHAnsi"/>
                <w:sz w:val="24"/>
                <w:szCs w:val="24"/>
              </w:rPr>
            </w:pPr>
          </w:p>
          <w:p w:rsidR="0055064C" w:rsidRDefault="0055064C" w:rsidP="009230DC">
            <w:pPr>
              <w:rPr>
                <w:rFonts w:asciiTheme="majorHAnsi" w:hAnsiTheme="majorHAnsi"/>
                <w:sz w:val="24"/>
                <w:szCs w:val="24"/>
              </w:rPr>
            </w:pPr>
            <w:r>
              <w:rPr>
                <w:rFonts w:asciiTheme="majorHAnsi" w:hAnsiTheme="majorHAnsi"/>
                <w:sz w:val="24"/>
                <w:szCs w:val="24"/>
              </w:rPr>
              <w:t xml:space="preserve">Remaining questions from the group: </w:t>
            </w:r>
          </w:p>
          <w:p w:rsidR="0055064C" w:rsidRDefault="0055064C" w:rsidP="0055064C">
            <w:pPr>
              <w:pStyle w:val="ListParagraph"/>
              <w:numPr>
                <w:ilvl w:val="0"/>
                <w:numId w:val="38"/>
              </w:numPr>
              <w:rPr>
                <w:rFonts w:asciiTheme="majorHAnsi" w:hAnsiTheme="majorHAnsi"/>
                <w:sz w:val="24"/>
                <w:szCs w:val="24"/>
              </w:rPr>
            </w:pPr>
            <w:r>
              <w:rPr>
                <w:rFonts w:asciiTheme="majorHAnsi" w:hAnsiTheme="majorHAnsi"/>
                <w:sz w:val="24"/>
                <w:szCs w:val="24"/>
              </w:rPr>
              <w:t xml:space="preserve">What are possible “grow the pie” options? Can </w:t>
            </w:r>
            <w:proofErr w:type="gramStart"/>
            <w:r>
              <w:rPr>
                <w:rFonts w:asciiTheme="majorHAnsi" w:hAnsiTheme="majorHAnsi"/>
                <w:sz w:val="24"/>
                <w:szCs w:val="24"/>
              </w:rPr>
              <w:t>this be done by increasing funding to smaller counties without, at this time, taking it away from larger counties</w:t>
            </w:r>
            <w:proofErr w:type="gramEnd"/>
            <w:r>
              <w:rPr>
                <w:rFonts w:asciiTheme="majorHAnsi" w:hAnsiTheme="majorHAnsi"/>
                <w:sz w:val="24"/>
                <w:szCs w:val="24"/>
              </w:rPr>
              <w:t>?</w:t>
            </w:r>
          </w:p>
          <w:p w:rsidR="0055064C" w:rsidRDefault="0055064C" w:rsidP="0055064C">
            <w:pPr>
              <w:pStyle w:val="ListParagraph"/>
              <w:numPr>
                <w:ilvl w:val="0"/>
                <w:numId w:val="38"/>
              </w:numPr>
              <w:rPr>
                <w:rFonts w:asciiTheme="majorHAnsi" w:hAnsiTheme="majorHAnsi"/>
                <w:sz w:val="24"/>
                <w:szCs w:val="24"/>
              </w:rPr>
            </w:pPr>
            <w:r>
              <w:rPr>
                <w:rFonts w:asciiTheme="majorHAnsi" w:hAnsiTheme="majorHAnsi"/>
                <w:sz w:val="24"/>
                <w:szCs w:val="24"/>
              </w:rPr>
              <w:t>What about weighting the formula using tobacco use rates?</w:t>
            </w:r>
          </w:p>
          <w:p w:rsidR="0055064C" w:rsidRDefault="0055064C" w:rsidP="0055064C">
            <w:pPr>
              <w:pStyle w:val="ListParagraph"/>
              <w:numPr>
                <w:ilvl w:val="0"/>
                <w:numId w:val="38"/>
              </w:numPr>
              <w:rPr>
                <w:rFonts w:asciiTheme="majorHAnsi" w:hAnsiTheme="majorHAnsi"/>
                <w:sz w:val="24"/>
                <w:szCs w:val="24"/>
              </w:rPr>
            </w:pPr>
            <w:r>
              <w:rPr>
                <w:rFonts w:asciiTheme="majorHAnsi" w:hAnsiTheme="majorHAnsi"/>
                <w:sz w:val="24"/>
                <w:szCs w:val="24"/>
              </w:rPr>
              <w:t xml:space="preserve">Would like to know from counties if they are using TPEP funds to leverage other funds? In other words, if they lose TPEP dollars with this jeopardize other funds? </w:t>
            </w:r>
          </w:p>
          <w:p w:rsidR="0055064C" w:rsidRDefault="003C6C89" w:rsidP="0055064C">
            <w:pPr>
              <w:pStyle w:val="ListParagraph"/>
              <w:numPr>
                <w:ilvl w:val="0"/>
                <w:numId w:val="38"/>
              </w:numPr>
              <w:rPr>
                <w:rFonts w:asciiTheme="majorHAnsi" w:hAnsiTheme="majorHAnsi"/>
                <w:sz w:val="24"/>
                <w:szCs w:val="24"/>
              </w:rPr>
            </w:pPr>
            <w:r>
              <w:rPr>
                <w:rFonts w:asciiTheme="majorHAnsi" w:hAnsiTheme="majorHAnsi"/>
                <w:sz w:val="24"/>
                <w:szCs w:val="24"/>
              </w:rPr>
              <w:t>What would this change be used to accomplish?</w:t>
            </w:r>
          </w:p>
          <w:p w:rsidR="003C6C89" w:rsidRDefault="003C6C89" w:rsidP="0055064C">
            <w:pPr>
              <w:pStyle w:val="ListParagraph"/>
              <w:numPr>
                <w:ilvl w:val="0"/>
                <w:numId w:val="38"/>
              </w:numPr>
              <w:rPr>
                <w:rFonts w:asciiTheme="majorHAnsi" w:hAnsiTheme="majorHAnsi"/>
                <w:sz w:val="24"/>
                <w:szCs w:val="24"/>
              </w:rPr>
            </w:pPr>
            <w:r>
              <w:rPr>
                <w:rFonts w:asciiTheme="majorHAnsi" w:hAnsiTheme="majorHAnsi"/>
                <w:sz w:val="24"/>
                <w:szCs w:val="24"/>
              </w:rPr>
              <w:t>What are the trend lines for tobacco use in counties over time?</w:t>
            </w:r>
          </w:p>
          <w:p w:rsidR="003C6C89" w:rsidRPr="0055064C" w:rsidRDefault="003C6C89" w:rsidP="0055064C">
            <w:pPr>
              <w:pStyle w:val="ListParagraph"/>
              <w:numPr>
                <w:ilvl w:val="0"/>
                <w:numId w:val="38"/>
              </w:numPr>
              <w:rPr>
                <w:rFonts w:asciiTheme="majorHAnsi" w:hAnsiTheme="majorHAnsi"/>
                <w:sz w:val="24"/>
                <w:szCs w:val="24"/>
              </w:rPr>
            </w:pPr>
            <w:r>
              <w:rPr>
                <w:rFonts w:asciiTheme="majorHAnsi" w:hAnsiTheme="majorHAnsi"/>
                <w:sz w:val="24"/>
                <w:szCs w:val="24"/>
              </w:rPr>
              <w:t>What does it cost to have a TPEP program: FTE, travel, etc.</w:t>
            </w:r>
          </w:p>
          <w:p w:rsidR="0055064C" w:rsidRDefault="0055064C" w:rsidP="009230DC">
            <w:pPr>
              <w:rPr>
                <w:rFonts w:asciiTheme="majorHAnsi" w:hAnsiTheme="majorHAnsi"/>
                <w:sz w:val="24"/>
                <w:szCs w:val="24"/>
              </w:rPr>
            </w:pPr>
          </w:p>
          <w:p w:rsidR="00677FEA" w:rsidRPr="00BF61F7" w:rsidRDefault="003C6C89" w:rsidP="0055702B">
            <w:pPr>
              <w:rPr>
                <w:rFonts w:asciiTheme="majorHAnsi" w:hAnsiTheme="majorHAnsi"/>
                <w:color w:val="FF0000"/>
                <w:sz w:val="24"/>
                <w:szCs w:val="24"/>
              </w:rPr>
            </w:pPr>
            <w:r>
              <w:rPr>
                <w:rFonts w:asciiTheme="majorHAnsi" w:hAnsiTheme="majorHAnsi"/>
                <w:sz w:val="24"/>
                <w:szCs w:val="24"/>
              </w:rPr>
              <w:lastRenderedPageBreak/>
              <w:t xml:space="preserve">Charlie </w:t>
            </w:r>
            <w:r w:rsidR="00E113BC">
              <w:rPr>
                <w:rFonts w:asciiTheme="majorHAnsi" w:hAnsiTheme="majorHAnsi"/>
                <w:sz w:val="24"/>
                <w:szCs w:val="24"/>
              </w:rPr>
              <w:t xml:space="preserve">Fautin </w:t>
            </w:r>
            <w:r>
              <w:rPr>
                <w:rFonts w:asciiTheme="majorHAnsi" w:hAnsiTheme="majorHAnsi"/>
                <w:sz w:val="24"/>
                <w:szCs w:val="24"/>
              </w:rPr>
              <w:t xml:space="preserve">and Marilyn </w:t>
            </w:r>
            <w:r w:rsidR="00E113BC">
              <w:rPr>
                <w:rFonts w:asciiTheme="majorHAnsi" w:hAnsiTheme="majorHAnsi"/>
                <w:sz w:val="24"/>
                <w:szCs w:val="24"/>
              </w:rPr>
              <w:t xml:space="preserve">Sutherland </w:t>
            </w:r>
            <w:r>
              <w:rPr>
                <w:rFonts w:asciiTheme="majorHAnsi" w:hAnsiTheme="majorHAnsi"/>
                <w:sz w:val="24"/>
                <w:szCs w:val="24"/>
              </w:rPr>
              <w:t>will contact Morgan</w:t>
            </w:r>
            <w:r w:rsidR="00257DE7" w:rsidRPr="00257DE7">
              <w:rPr>
                <w:rFonts w:asciiTheme="majorHAnsi" w:hAnsiTheme="majorHAnsi"/>
                <w:sz w:val="24"/>
                <w:szCs w:val="24"/>
              </w:rPr>
              <w:t xml:space="preserve"> </w:t>
            </w:r>
            <w:r w:rsidR="00E113BC">
              <w:rPr>
                <w:rFonts w:asciiTheme="majorHAnsi" w:hAnsiTheme="majorHAnsi"/>
                <w:sz w:val="24"/>
                <w:szCs w:val="24"/>
              </w:rPr>
              <w:t xml:space="preserve">Cowling </w:t>
            </w:r>
            <w:r w:rsidR="00257DE7" w:rsidRPr="00257DE7">
              <w:rPr>
                <w:rFonts w:asciiTheme="majorHAnsi" w:hAnsiTheme="majorHAnsi"/>
                <w:sz w:val="24"/>
                <w:szCs w:val="24"/>
              </w:rPr>
              <w:t>and Muriel</w:t>
            </w:r>
            <w:r w:rsidR="00E113BC">
              <w:rPr>
                <w:rFonts w:asciiTheme="majorHAnsi" w:hAnsiTheme="majorHAnsi"/>
                <w:sz w:val="24"/>
                <w:szCs w:val="24"/>
              </w:rPr>
              <w:t xml:space="preserve"> </w:t>
            </w:r>
            <w:r w:rsidR="00E113BC" w:rsidRPr="00E113BC">
              <w:rPr>
                <w:rFonts w:asciiTheme="majorHAnsi" w:hAnsiTheme="majorHAnsi"/>
                <w:sz w:val="24"/>
                <w:szCs w:val="24"/>
              </w:rPr>
              <w:t>DeLaVergne- Brown</w:t>
            </w:r>
            <w:r>
              <w:rPr>
                <w:rFonts w:asciiTheme="majorHAnsi" w:hAnsiTheme="majorHAnsi"/>
                <w:sz w:val="24"/>
                <w:szCs w:val="24"/>
              </w:rPr>
              <w:t xml:space="preserve"> to inform them of this ongoing discussion. The hope is to invite questions and open the discussion to the larger CLHO community prior to asking for approval. </w:t>
            </w:r>
            <w:r w:rsidR="00257DE7" w:rsidRPr="00257DE7">
              <w:rPr>
                <w:rFonts w:asciiTheme="majorHAnsi" w:hAnsiTheme="majorHAnsi"/>
                <w:sz w:val="24"/>
                <w:szCs w:val="24"/>
              </w:rPr>
              <w:t xml:space="preserve"> </w:t>
            </w:r>
            <w:r w:rsidR="00257DE7">
              <w:rPr>
                <w:rFonts w:asciiTheme="majorHAnsi" w:hAnsiTheme="majorHAnsi"/>
                <w:sz w:val="24"/>
                <w:szCs w:val="24"/>
              </w:rPr>
              <w:t>Anyone wishing to join the call is invited to do so.</w:t>
            </w:r>
            <w:r>
              <w:rPr>
                <w:rFonts w:asciiTheme="majorHAnsi" w:hAnsiTheme="majorHAnsi"/>
                <w:sz w:val="24"/>
                <w:szCs w:val="24"/>
              </w:rPr>
              <w:t xml:space="preserve"> Please contact Charlie or Marilyn to be included. </w:t>
            </w:r>
          </w:p>
        </w:tc>
        <w:tc>
          <w:tcPr>
            <w:tcW w:w="2088" w:type="dxa"/>
          </w:tcPr>
          <w:p w:rsidR="009230DC" w:rsidRDefault="00BF61F7" w:rsidP="009230DC">
            <w:pPr>
              <w:rPr>
                <w:rFonts w:asciiTheme="majorHAnsi" w:hAnsiTheme="majorHAnsi"/>
                <w:sz w:val="24"/>
                <w:szCs w:val="24"/>
              </w:rPr>
            </w:pPr>
            <w:r>
              <w:rPr>
                <w:rFonts w:asciiTheme="majorHAnsi" w:hAnsiTheme="majorHAnsi"/>
                <w:sz w:val="24"/>
                <w:szCs w:val="24"/>
              </w:rPr>
              <w:lastRenderedPageBreak/>
              <w:t xml:space="preserve">Charlie </w:t>
            </w:r>
            <w:r w:rsidR="00E113BC">
              <w:rPr>
                <w:rFonts w:asciiTheme="majorHAnsi" w:hAnsiTheme="majorHAnsi"/>
                <w:sz w:val="24"/>
                <w:szCs w:val="24"/>
              </w:rPr>
              <w:t>Fautin</w:t>
            </w:r>
          </w:p>
          <w:p w:rsidR="00BF61F7" w:rsidRDefault="00BF61F7" w:rsidP="009230DC">
            <w:pPr>
              <w:rPr>
                <w:rFonts w:asciiTheme="majorHAnsi" w:hAnsiTheme="majorHAnsi"/>
                <w:sz w:val="24"/>
                <w:szCs w:val="24"/>
              </w:rPr>
            </w:pPr>
          </w:p>
          <w:p w:rsidR="00BF61F7" w:rsidRDefault="00BF61F7" w:rsidP="009230DC">
            <w:pPr>
              <w:rPr>
                <w:rFonts w:asciiTheme="majorHAnsi" w:hAnsiTheme="majorHAnsi"/>
                <w:sz w:val="24"/>
                <w:szCs w:val="24"/>
              </w:rPr>
            </w:pPr>
            <w:r>
              <w:rPr>
                <w:rFonts w:asciiTheme="majorHAnsi" w:hAnsiTheme="majorHAnsi"/>
                <w:sz w:val="24"/>
                <w:szCs w:val="24"/>
              </w:rPr>
              <w:t>Sabrina</w:t>
            </w:r>
            <w:r w:rsidR="00E113BC">
              <w:rPr>
                <w:rFonts w:asciiTheme="majorHAnsi" w:hAnsiTheme="majorHAnsi"/>
                <w:sz w:val="24"/>
                <w:szCs w:val="24"/>
              </w:rPr>
              <w:t xml:space="preserve"> Freewynn</w:t>
            </w:r>
            <w:r>
              <w:rPr>
                <w:rFonts w:asciiTheme="majorHAnsi" w:hAnsiTheme="majorHAnsi"/>
                <w:sz w:val="24"/>
                <w:szCs w:val="24"/>
              </w:rPr>
              <w:t xml:space="preserve"> </w:t>
            </w:r>
            <w:r w:rsidR="00E113BC">
              <w:rPr>
                <w:rFonts w:asciiTheme="majorHAnsi" w:hAnsiTheme="majorHAnsi"/>
                <w:sz w:val="24"/>
                <w:szCs w:val="24"/>
              </w:rPr>
              <w:t>provided background</w:t>
            </w:r>
          </w:p>
          <w:p w:rsidR="0055064C" w:rsidRDefault="0055064C" w:rsidP="009230DC">
            <w:pPr>
              <w:rPr>
                <w:rFonts w:asciiTheme="majorHAnsi" w:hAnsiTheme="majorHAnsi"/>
                <w:sz w:val="24"/>
                <w:szCs w:val="24"/>
              </w:rPr>
            </w:pPr>
          </w:p>
          <w:p w:rsidR="0055064C" w:rsidRPr="00D81791" w:rsidRDefault="0055064C" w:rsidP="009230DC">
            <w:pPr>
              <w:rPr>
                <w:rFonts w:asciiTheme="majorHAnsi" w:hAnsiTheme="majorHAnsi"/>
                <w:sz w:val="24"/>
                <w:szCs w:val="24"/>
              </w:rPr>
            </w:pPr>
            <w:r>
              <w:rPr>
                <w:rFonts w:asciiTheme="majorHAnsi" w:hAnsiTheme="majorHAnsi"/>
                <w:sz w:val="24"/>
                <w:szCs w:val="24"/>
              </w:rPr>
              <w:t>See corrected handout</w:t>
            </w:r>
          </w:p>
        </w:tc>
      </w:tr>
      <w:tr w:rsidR="00663EBC" w:rsidRPr="00D81791" w:rsidTr="0055702B">
        <w:trPr>
          <w:trHeight w:val="278"/>
        </w:trPr>
        <w:tc>
          <w:tcPr>
            <w:tcW w:w="2808" w:type="dxa"/>
          </w:tcPr>
          <w:p w:rsidR="00663EBC" w:rsidRPr="00D81791" w:rsidRDefault="00663EBC" w:rsidP="0001214E">
            <w:pPr>
              <w:rPr>
                <w:rFonts w:asciiTheme="majorHAnsi" w:hAnsiTheme="majorHAnsi"/>
                <w:sz w:val="24"/>
                <w:szCs w:val="24"/>
              </w:rPr>
            </w:pPr>
            <w:r w:rsidRPr="00D81791">
              <w:rPr>
                <w:rFonts w:asciiTheme="majorHAnsi" w:hAnsiTheme="majorHAnsi"/>
                <w:sz w:val="24"/>
                <w:szCs w:val="24"/>
              </w:rPr>
              <w:lastRenderedPageBreak/>
              <w:t>Adjourn</w:t>
            </w:r>
          </w:p>
        </w:tc>
        <w:tc>
          <w:tcPr>
            <w:tcW w:w="3240" w:type="dxa"/>
          </w:tcPr>
          <w:p w:rsidR="00257DE7" w:rsidRPr="00D81791" w:rsidRDefault="00B70440" w:rsidP="0001214E">
            <w:pPr>
              <w:rPr>
                <w:rFonts w:asciiTheme="majorHAnsi" w:hAnsiTheme="majorHAnsi"/>
                <w:sz w:val="24"/>
                <w:szCs w:val="24"/>
              </w:rPr>
            </w:pPr>
            <w:r>
              <w:rPr>
                <w:rFonts w:asciiTheme="majorHAnsi" w:hAnsiTheme="majorHAnsi"/>
                <w:sz w:val="24"/>
                <w:szCs w:val="24"/>
              </w:rPr>
              <w:t>Meeting adjourned at 2:08.</w:t>
            </w:r>
          </w:p>
        </w:tc>
        <w:tc>
          <w:tcPr>
            <w:tcW w:w="6480" w:type="dxa"/>
          </w:tcPr>
          <w:p w:rsidR="00663EBC" w:rsidRPr="00D81791" w:rsidRDefault="00663EBC" w:rsidP="0001214E">
            <w:pPr>
              <w:rPr>
                <w:rFonts w:asciiTheme="majorHAnsi" w:hAnsiTheme="majorHAnsi"/>
                <w:sz w:val="24"/>
                <w:szCs w:val="24"/>
              </w:rPr>
            </w:pPr>
          </w:p>
        </w:tc>
        <w:tc>
          <w:tcPr>
            <w:tcW w:w="2088" w:type="dxa"/>
          </w:tcPr>
          <w:p w:rsidR="00663EBC" w:rsidRPr="00D81791" w:rsidRDefault="00663EBC" w:rsidP="0001214E">
            <w:pPr>
              <w:rPr>
                <w:rFonts w:asciiTheme="majorHAnsi" w:hAnsiTheme="majorHAnsi"/>
                <w:sz w:val="24"/>
                <w:szCs w:val="24"/>
              </w:rPr>
            </w:pPr>
          </w:p>
        </w:tc>
      </w:tr>
    </w:tbl>
    <w:p w:rsidR="00257DE7" w:rsidRDefault="00257DE7" w:rsidP="00E36A8C">
      <w:pPr>
        <w:rPr>
          <w:rFonts w:asciiTheme="majorHAnsi" w:hAnsiTheme="majorHAnsi"/>
          <w:sz w:val="24"/>
          <w:szCs w:val="24"/>
          <w:u w:val="single"/>
        </w:rPr>
      </w:pPr>
    </w:p>
    <w:p w:rsidR="00257DE7" w:rsidRDefault="00257DE7">
      <w:pPr>
        <w:rPr>
          <w:rFonts w:asciiTheme="majorHAnsi" w:hAnsiTheme="majorHAnsi"/>
          <w:sz w:val="24"/>
          <w:szCs w:val="24"/>
          <w:u w:val="single"/>
        </w:rPr>
      </w:pPr>
    </w:p>
    <w:p w:rsidR="00663EBC" w:rsidRPr="00F4497D" w:rsidRDefault="00BD7097" w:rsidP="00E36A8C">
      <w:pPr>
        <w:rPr>
          <w:rFonts w:asciiTheme="majorHAnsi" w:hAnsiTheme="majorHAnsi"/>
          <w:sz w:val="24"/>
          <w:szCs w:val="24"/>
          <w:u w:val="single"/>
        </w:rPr>
      </w:pPr>
      <w:r w:rsidRPr="00F4497D">
        <w:rPr>
          <w:rFonts w:asciiTheme="majorHAnsi" w:hAnsiTheme="majorHAnsi"/>
          <w:sz w:val="24"/>
          <w:szCs w:val="24"/>
          <w:u w:val="single"/>
        </w:rPr>
        <w:t>Future</w:t>
      </w:r>
      <w:r w:rsidR="00D0653B" w:rsidRPr="00F4497D">
        <w:rPr>
          <w:rFonts w:asciiTheme="majorHAnsi" w:hAnsiTheme="majorHAnsi"/>
          <w:sz w:val="24"/>
          <w:szCs w:val="24"/>
          <w:u w:val="single"/>
        </w:rPr>
        <w:t xml:space="preserve"> Topics: </w:t>
      </w:r>
    </w:p>
    <w:p w:rsidR="009F36EB" w:rsidRPr="00083C01" w:rsidRDefault="00083C01"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Cancer cluster inquiry response</w:t>
      </w:r>
    </w:p>
    <w:p w:rsidR="00083C01" w:rsidRPr="00225301" w:rsidRDefault="00083C01" w:rsidP="00225301">
      <w:pPr>
        <w:pStyle w:val="ListParagraph"/>
        <w:numPr>
          <w:ilvl w:val="0"/>
          <w:numId w:val="33"/>
        </w:numPr>
        <w:rPr>
          <w:rFonts w:asciiTheme="majorHAnsi" w:hAnsiTheme="majorHAnsi"/>
          <w:sz w:val="24"/>
          <w:szCs w:val="24"/>
          <w:u w:val="single"/>
        </w:rPr>
      </w:pPr>
      <w:r>
        <w:rPr>
          <w:rFonts w:asciiTheme="majorHAnsi" w:hAnsiTheme="majorHAnsi"/>
          <w:sz w:val="24"/>
          <w:szCs w:val="24"/>
        </w:rPr>
        <w:t>Oregon Environmental Health Tracking update</w:t>
      </w:r>
    </w:p>
    <w:p w:rsidR="00225301" w:rsidRDefault="00225301" w:rsidP="00225301">
      <w:pPr>
        <w:rPr>
          <w:rFonts w:asciiTheme="majorHAnsi" w:hAnsiTheme="majorHAnsi"/>
          <w:sz w:val="24"/>
          <w:szCs w:val="24"/>
          <w:u w:val="single"/>
        </w:rPr>
      </w:pPr>
    </w:p>
    <w:p w:rsidR="00225301" w:rsidRPr="00225301" w:rsidRDefault="00225301" w:rsidP="00225301">
      <w:pPr>
        <w:rPr>
          <w:rFonts w:asciiTheme="majorHAnsi" w:hAnsiTheme="majorHAnsi"/>
          <w:sz w:val="24"/>
          <w:szCs w:val="24"/>
          <w:u w:val="single"/>
        </w:rPr>
      </w:pPr>
    </w:p>
    <w:p w:rsidR="00C662A4" w:rsidRDefault="00E36A8C" w:rsidP="00690827">
      <w:pPr>
        <w:rPr>
          <w:rFonts w:asciiTheme="majorHAnsi" w:hAnsiTheme="majorHAnsi"/>
          <w:sz w:val="24"/>
          <w:szCs w:val="24"/>
          <w:u w:val="single"/>
        </w:rPr>
      </w:pPr>
      <w:r w:rsidRPr="00F4497D">
        <w:rPr>
          <w:rFonts w:asciiTheme="majorHAnsi" w:hAnsiTheme="majorHAnsi"/>
          <w:sz w:val="24"/>
          <w:szCs w:val="24"/>
          <w:u w:val="single"/>
        </w:rPr>
        <w:t xml:space="preserve">Announcements: </w:t>
      </w:r>
    </w:p>
    <w:p w:rsidR="002D2EA2" w:rsidRPr="003D03C5" w:rsidRDefault="002D2EA2" w:rsidP="002D2EA2">
      <w:pPr>
        <w:rPr>
          <w:rFonts w:cstheme="minorHAnsi"/>
          <w:sz w:val="24"/>
          <w:szCs w:val="24"/>
        </w:rPr>
      </w:pPr>
      <w:r w:rsidRPr="003D03C5">
        <w:rPr>
          <w:rFonts w:cstheme="minorHAnsi"/>
          <w:sz w:val="24"/>
          <w:szCs w:val="24"/>
        </w:rPr>
        <w:t xml:space="preserve">The Oregon Health Authority, Public Health Division, has finalized amendments to chapter </w:t>
      </w:r>
      <w:proofErr w:type="gramStart"/>
      <w:r w:rsidRPr="003D03C5">
        <w:rPr>
          <w:rFonts w:cstheme="minorHAnsi"/>
          <w:sz w:val="24"/>
          <w:szCs w:val="24"/>
        </w:rPr>
        <w:t>333, division</w:t>
      </w:r>
      <w:proofErr w:type="gramEnd"/>
      <w:r w:rsidRPr="003D03C5">
        <w:rPr>
          <w:rFonts w:cstheme="minorHAnsi"/>
          <w:sz w:val="24"/>
          <w:szCs w:val="24"/>
        </w:rPr>
        <w:t xml:space="preserve"> 15, pertaining to the Oregon Indoor Clean Air Act (ICAA). The new rules:</w:t>
      </w:r>
    </w:p>
    <w:p w:rsidR="002D2EA2" w:rsidRPr="003D03C5" w:rsidRDefault="002D2EA2" w:rsidP="002D2EA2">
      <w:pPr>
        <w:pStyle w:val="ListParagraph"/>
        <w:numPr>
          <w:ilvl w:val="0"/>
          <w:numId w:val="34"/>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rPr>
        <w:t xml:space="preserve">Amends and </w:t>
      </w:r>
      <w:proofErr w:type="gramStart"/>
      <w:r w:rsidRPr="003D03C5">
        <w:rPr>
          <w:rFonts w:asciiTheme="minorHAnsi" w:eastAsiaTheme="minorHAnsi" w:hAnsiTheme="minorHAnsi" w:cstheme="minorHAnsi"/>
        </w:rPr>
        <w:t>adds</w:t>
      </w:r>
      <w:proofErr w:type="gramEnd"/>
      <w:r w:rsidRPr="003D03C5">
        <w:rPr>
          <w:rFonts w:asciiTheme="minorHAnsi" w:eastAsiaTheme="minorHAnsi" w:hAnsiTheme="minorHAnsi" w:cstheme="minorHAnsi"/>
        </w:rPr>
        <w:t xml:space="preserve"> definitions to bring the rules into line with the ICAA, better reflect the purpose of the statute, and add clarity to the rules.</w:t>
      </w:r>
    </w:p>
    <w:p w:rsidR="002D2EA2" w:rsidRPr="003D03C5" w:rsidRDefault="002D2EA2" w:rsidP="002D2EA2">
      <w:pPr>
        <w:pStyle w:val="ListParagraph"/>
        <w:numPr>
          <w:ilvl w:val="1"/>
          <w:numId w:val="34"/>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b/>
          <w:bCs/>
        </w:rPr>
        <w:t xml:space="preserve">333-015-0030 (7): </w:t>
      </w:r>
      <w:r w:rsidRPr="003D03C5">
        <w:rPr>
          <w:rFonts w:asciiTheme="minorHAnsi" w:eastAsiaTheme="minorHAnsi" w:hAnsiTheme="minorHAnsi" w:cstheme="minorHAnsi"/>
          <w:bCs/>
        </w:rPr>
        <w:t>Change in definition of “Employer.”  Deleting “enclosed” and adding “where smoking is prohibited.”</w:t>
      </w:r>
      <w:r w:rsidRPr="003D03C5">
        <w:rPr>
          <w:rFonts w:asciiTheme="minorHAnsi" w:eastAsiaTheme="minorHAnsi" w:hAnsiTheme="minorHAnsi" w:cstheme="minorHAnsi"/>
          <w:b/>
          <w:bCs/>
        </w:rPr>
        <w:t xml:space="preserve"> </w:t>
      </w:r>
    </w:p>
    <w:p w:rsidR="002D2EA2" w:rsidRPr="003D03C5" w:rsidRDefault="002D2EA2" w:rsidP="002D2EA2">
      <w:pPr>
        <w:pStyle w:val="ListParagraph"/>
        <w:numPr>
          <w:ilvl w:val="1"/>
          <w:numId w:val="34"/>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b/>
          <w:bCs/>
        </w:rPr>
        <w:t xml:space="preserve">333-015-0030(10) and (11): </w:t>
      </w:r>
      <w:r w:rsidRPr="003D03C5">
        <w:rPr>
          <w:rFonts w:asciiTheme="minorHAnsi" w:eastAsiaTheme="minorHAnsi" w:hAnsiTheme="minorHAnsi" w:cstheme="minorHAnsi"/>
          <w:bCs/>
        </w:rPr>
        <w:t>Change in definitions of “Entrance” and “Exit” to include “an accessibility ramp.”</w:t>
      </w:r>
    </w:p>
    <w:p w:rsidR="002D2EA2" w:rsidRPr="003D03C5" w:rsidRDefault="002D2EA2" w:rsidP="002D2EA2">
      <w:pPr>
        <w:pStyle w:val="ListParagraph"/>
        <w:numPr>
          <w:ilvl w:val="0"/>
          <w:numId w:val="34"/>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rPr>
        <w:t xml:space="preserve">Clarifies consequences for: </w:t>
      </w:r>
    </w:p>
    <w:p w:rsidR="002D2EA2" w:rsidRPr="003D03C5" w:rsidRDefault="002D2EA2" w:rsidP="002D2EA2">
      <w:pPr>
        <w:pStyle w:val="ListParagraph"/>
        <w:numPr>
          <w:ilvl w:val="0"/>
          <w:numId w:val="35"/>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rPr>
        <w:t xml:space="preserve">Denying a site visit for smoke shop and cigar </w:t>
      </w:r>
      <w:proofErr w:type="gramStart"/>
      <w:r w:rsidRPr="003D03C5">
        <w:rPr>
          <w:rFonts w:asciiTheme="minorHAnsi" w:eastAsiaTheme="minorHAnsi" w:hAnsiTheme="minorHAnsi" w:cstheme="minorHAnsi"/>
        </w:rPr>
        <w:t>bar  inspections</w:t>
      </w:r>
      <w:proofErr w:type="gramEnd"/>
      <w:r w:rsidRPr="003D03C5">
        <w:rPr>
          <w:rFonts w:asciiTheme="minorHAnsi" w:eastAsiaTheme="minorHAnsi" w:hAnsiTheme="minorHAnsi" w:cstheme="minorHAnsi"/>
        </w:rPr>
        <w:t>;</w:t>
      </w:r>
    </w:p>
    <w:p w:rsidR="002D2EA2" w:rsidRPr="00BA38F8" w:rsidRDefault="002D2EA2" w:rsidP="002D2EA2">
      <w:pPr>
        <w:pStyle w:val="ListParagraph"/>
        <w:numPr>
          <w:ilvl w:val="1"/>
          <w:numId w:val="35"/>
        </w:numPr>
        <w:tabs>
          <w:tab w:val="right" w:pos="-2430"/>
          <w:tab w:val="left" w:pos="360"/>
        </w:tabs>
        <w:rPr>
          <w:rFonts w:asciiTheme="minorHAnsi" w:eastAsiaTheme="minorHAnsi" w:hAnsiTheme="minorHAnsi" w:cstheme="minorHAnsi"/>
        </w:rPr>
      </w:pPr>
      <w:r w:rsidRPr="003D03C5">
        <w:rPr>
          <w:rFonts w:asciiTheme="minorHAnsi" w:eastAsiaTheme="minorEastAsia" w:hAnsiTheme="minorHAnsi" w:cstheme="minorHAnsi"/>
          <w:b/>
          <w:bCs/>
        </w:rPr>
        <w:t xml:space="preserve">333-015-0075(2)(c):  </w:t>
      </w:r>
      <w:r w:rsidRPr="00BA38F8">
        <w:rPr>
          <w:rFonts w:asciiTheme="minorHAnsi" w:eastAsiaTheme="minorHAnsi" w:hAnsiTheme="minorHAnsi" w:cstheme="minorHAnsi"/>
        </w:rPr>
        <w:t xml:space="preserve">An employer, entity in charge of a public place, smoke shop or cigar bar must permit the Authority or the LPHA access to the place of employment, public place (or any portion thereof), or smoke shop or cigar bar, in order to determine compliance with the ICAA.  Failure to permit the Authority or LPHA access is a violation and may result in the imposition of civil penalties under OAR 333-015-0085(1). </w:t>
      </w:r>
    </w:p>
    <w:p w:rsidR="002D2EA2" w:rsidRPr="003D03C5" w:rsidRDefault="002D2EA2" w:rsidP="002D2EA2">
      <w:pPr>
        <w:pStyle w:val="ListParagraph"/>
        <w:numPr>
          <w:ilvl w:val="0"/>
          <w:numId w:val="35"/>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rPr>
        <w:t>When certifications expire or are not renewed</w:t>
      </w:r>
    </w:p>
    <w:p w:rsidR="002D2EA2" w:rsidRPr="003D03C5" w:rsidRDefault="002D2EA2" w:rsidP="002D2EA2">
      <w:pPr>
        <w:pStyle w:val="ListParagraph"/>
        <w:numPr>
          <w:ilvl w:val="1"/>
          <w:numId w:val="35"/>
        </w:numPr>
        <w:tabs>
          <w:tab w:val="right" w:pos="-2430"/>
          <w:tab w:val="left" w:pos="360"/>
        </w:tabs>
        <w:rPr>
          <w:rFonts w:asciiTheme="minorHAnsi" w:eastAsiaTheme="minorHAnsi" w:hAnsiTheme="minorHAnsi" w:cstheme="minorHAnsi"/>
        </w:rPr>
      </w:pPr>
      <w:r w:rsidRPr="003D03C5">
        <w:rPr>
          <w:rFonts w:asciiTheme="minorHAnsi" w:eastAsiaTheme="minorEastAsia" w:hAnsiTheme="minorHAnsi" w:cstheme="minorHAnsi"/>
          <w:b/>
          <w:bCs/>
        </w:rPr>
        <w:t xml:space="preserve">333-015-0068(11): </w:t>
      </w:r>
      <w:r w:rsidRPr="00BA38F8">
        <w:rPr>
          <w:rFonts w:asciiTheme="minorHAnsi" w:eastAsiaTheme="minorHAnsi" w:hAnsiTheme="minorHAnsi" w:cstheme="minorHAnsi"/>
        </w:rPr>
        <w:t xml:space="preserve">Certification may be revoked if a smoke shop is closed for an extended period of time or ceases operating at the location that is certified. The certificate holder must notify the Authority immediately </w:t>
      </w:r>
      <w:proofErr w:type="gramStart"/>
      <w:r w:rsidRPr="00BA38F8">
        <w:rPr>
          <w:rFonts w:asciiTheme="minorHAnsi" w:eastAsiaTheme="minorHAnsi" w:hAnsiTheme="minorHAnsi" w:cstheme="minorHAnsi"/>
        </w:rPr>
        <w:t>if  the</w:t>
      </w:r>
      <w:proofErr w:type="gramEnd"/>
      <w:r w:rsidRPr="00BA38F8">
        <w:rPr>
          <w:rFonts w:asciiTheme="minorHAnsi" w:eastAsiaTheme="minorHAnsi" w:hAnsiTheme="minorHAnsi" w:cstheme="minorHAnsi"/>
        </w:rPr>
        <w:t xml:space="preserve"> smoke shop is closing for an extended period of time or will no longer be operating.</w:t>
      </w:r>
    </w:p>
    <w:p w:rsidR="002D2EA2" w:rsidRPr="00BA38F8" w:rsidRDefault="002D2EA2" w:rsidP="002D2EA2">
      <w:pPr>
        <w:pStyle w:val="ListParagraph"/>
        <w:numPr>
          <w:ilvl w:val="1"/>
          <w:numId w:val="35"/>
        </w:numPr>
        <w:tabs>
          <w:tab w:val="right" w:pos="-2430"/>
          <w:tab w:val="left" w:pos="360"/>
        </w:tabs>
        <w:rPr>
          <w:rFonts w:asciiTheme="minorHAnsi" w:eastAsiaTheme="minorHAnsi" w:hAnsiTheme="minorHAnsi" w:cstheme="minorHAnsi"/>
        </w:rPr>
      </w:pPr>
      <w:r w:rsidRPr="003D03C5">
        <w:rPr>
          <w:rFonts w:asciiTheme="minorHAnsi" w:eastAsiaTheme="minorEastAsia" w:hAnsiTheme="minorHAnsi" w:cstheme="minorHAnsi"/>
          <w:b/>
          <w:bCs/>
        </w:rPr>
        <w:t xml:space="preserve">333-015-0068(12):  </w:t>
      </w:r>
      <w:r w:rsidRPr="00BA38F8">
        <w:rPr>
          <w:rFonts w:asciiTheme="minorHAnsi" w:eastAsiaTheme="minorHAnsi" w:hAnsiTheme="minorHAnsi" w:cstheme="minorHAnsi"/>
        </w:rPr>
        <w:t xml:space="preserve">Certification may be revoked if a smoke shop fails to meet certification requirements or fails to submit required </w:t>
      </w:r>
      <w:proofErr w:type="gramStart"/>
      <w:r w:rsidRPr="00BA38F8">
        <w:rPr>
          <w:rFonts w:asciiTheme="minorHAnsi" w:eastAsiaTheme="minorHAnsi" w:hAnsiTheme="minorHAnsi" w:cstheme="minorHAnsi"/>
        </w:rPr>
        <w:t>documentation  in</w:t>
      </w:r>
      <w:proofErr w:type="gramEnd"/>
      <w:r w:rsidRPr="00BA38F8">
        <w:rPr>
          <w:rFonts w:asciiTheme="minorHAnsi" w:eastAsiaTheme="minorHAnsi" w:hAnsiTheme="minorHAnsi" w:cstheme="minorHAnsi"/>
        </w:rPr>
        <w:t xml:space="preserve"> accordance with subsection (7)(b) of this rule. </w:t>
      </w:r>
    </w:p>
    <w:p w:rsidR="002D2EA2" w:rsidRPr="00BA38F8" w:rsidRDefault="002D2EA2" w:rsidP="002D2EA2">
      <w:pPr>
        <w:pStyle w:val="ListParagraph"/>
        <w:numPr>
          <w:ilvl w:val="2"/>
          <w:numId w:val="35"/>
        </w:numPr>
        <w:tabs>
          <w:tab w:val="right" w:pos="-2430"/>
          <w:tab w:val="left" w:pos="360"/>
        </w:tabs>
        <w:rPr>
          <w:rFonts w:asciiTheme="minorHAnsi" w:eastAsiaTheme="minorHAnsi" w:hAnsiTheme="minorHAnsi" w:cstheme="minorHAnsi"/>
        </w:rPr>
      </w:pPr>
      <w:r w:rsidRPr="003D03C5">
        <w:rPr>
          <w:rFonts w:asciiTheme="minorHAnsi" w:eastAsiaTheme="minorEastAsia" w:hAnsiTheme="minorHAnsi" w:cstheme="minorHAnsi"/>
          <w:b/>
          <w:bCs/>
        </w:rPr>
        <w:t xml:space="preserve">333-015-0030 (12) </w:t>
      </w:r>
      <w:r w:rsidRPr="003D03C5">
        <w:rPr>
          <w:rFonts w:asciiTheme="minorHAnsi" w:eastAsiaTheme="minorEastAsia" w:hAnsiTheme="minorHAnsi" w:cstheme="minorHAnsi"/>
        </w:rPr>
        <w:t>"</w:t>
      </w:r>
      <w:r w:rsidRPr="00BA38F8">
        <w:rPr>
          <w:rFonts w:asciiTheme="minorHAnsi" w:eastAsiaTheme="minorHAnsi" w:hAnsiTheme="minorHAnsi" w:cstheme="minorHAnsi"/>
        </w:rPr>
        <w:t>Extended period of time" means more than 365 consecutive days.</w:t>
      </w:r>
    </w:p>
    <w:p w:rsidR="002D2EA2" w:rsidRPr="003D03C5" w:rsidRDefault="002D2EA2" w:rsidP="002D2EA2">
      <w:pPr>
        <w:pStyle w:val="ListParagraph"/>
        <w:numPr>
          <w:ilvl w:val="0"/>
          <w:numId w:val="34"/>
        </w:numPr>
        <w:tabs>
          <w:tab w:val="right" w:pos="-2430"/>
          <w:tab w:val="left" w:pos="360"/>
        </w:tabs>
        <w:rPr>
          <w:rFonts w:asciiTheme="minorHAnsi" w:eastAsiaTheme="minorHAnsi" w:hAnsiTheme="minorHAnsi" w:cstheme="minorHAnsi"/>
        </w:rPr>
      </w:pPr>
      <w:r w:rsidRPr="003D03C5">
        <w:rPr>
          <w:rFonts w:asciiTheme="minorHAnsi" w:eastAsiaTheme="minorHAnsi" w:hAnsiTheme="minorHAnsi" w:cstheme="minorHAnsi"/>
        </w:rPr>
        <w:t xml:space="preserve">Ensures consistency with terms (e.g. “workplace” and “place of employment”). </w:t>
      </w:r>
    </w:p>
    <w:p w:rsidR="002D2EA2" w:rsidRPr="003D03C5" w:rsidRDefault="002D2EA2" w:rsidP="002D2EA2">
      <w:pPr>
        <w:ind w:left="360"/>
        <w:rPr>
          <w:rFonts w:cstheme="minorHAnsi"/>
          <w:sz w:val="24"/>
          <w:szCs w:val="24"/>
        </w:rPr>
      </w:pPr>
      <w:r w:rsidRPr="003D03C5">
        <w:rPr>
          <w:rFonts w:cstheme="minorHAnsi"/>
          <w:sz w:val="24"/>
          <w:szCs w:val="24"/>
        </w:rPr>
        <w:t xml:space="preserve">4.    Adds penalties and violations for: </w:t>
      </w:r>
    </w:p>
    <w:p w:rsidR="002D2EA2" w:rsidRPr="003D03C5" w:rsidRDefault="002D2EA2" w:rsidP="002D2EA2">
      <w:pPr>
        <w:pStyle w:val="ListParagraph"/>
        <w:numPr>
          <w:ilvl w:val="0"/>
          <w:numId w:val="36"/>
        </w:numPr>
        <w:rPr>
          <w:rFonts w:asciiTheme="minorHAnsi" w:eastAsiaTheme="minorHAnsi" w:hAnsiTheme="minorHAnsi" w:cstheme="minorHAnsi"/>
        </w:rPr>
      </w:pPr>
      <w:r w:rsidRPr="003D03C5">
        <w:rPr>
          <w:rFonts w:asciiTheme="minorHAnsi" w:eastAsiaTheme="minorHAnsi" w:hAnsiTheme="minorHAnsi" w:cstheme="minorHAnsi"/>
        </w:rPr>
        <w:lastRenderedPageBreak/>
        <w:t>Failure of an employer or entity in charge to cooperate in developing a remediation plan.</w:t>
      </w:r>
      <w:r w:rsidRPr="003D03C5">
        <w:t xml:space="preserve"> </w:t>
      </w:r>
      <w:r w:rsidRPr="003D03C5">
        <w:rPr>
          <w:rFonts w:asciiTheme="minorHAnsi" w:eastAsiaTheme="minorHAnsi" w:hAnsiTheme="minorHAnsi" w:cstheme="minorHAnsi"/>
          <w:b/>
        </w:rPr>
        <w:t>333-015-0078</w:t>
      </w:r>
      <w:r>
        <w:rPr>
          <w:rFonts w:asciiTheme="minorHAnsi" w:eastAsiaTheme="minorHAnsi" w:hAnsiTheme="minorHAnsi" w:cstheme="minorHAnsi"/>
          <w:b/>
        </w:rPr>
        <w:t>(1)</w:t>
      </w:r>
      <w:r w:rsidRPr="003D03C5">
        <w:rPr>
          <w:rFonts w:asciiTheme="minorHAnsi" w:eastAsiaTheme="minorHAnsi" w:hAnsiTheme="minorHAnsi" w:cstheme="minorHAnsi"/>
          <w:b/>
        </w:rPr>
        <w:t>(m)</w:t>
      </w:r>
    </w:p>
    <w:p w:rsidR="002D2EA2" w:rsidRPr="003D03C5" w:rsidRDefault="002D2EA2" w:rsidP="002D2EA2">
      <w:pPr>
        <w:pStyle w:val="ListParagraph"/>
        <w:numPr>
          <w:ilvl w:val="0"/>
          <w:numId w:val="36"/>
        </w:numPr>
        <w:rPr>
          <w:rFonts w:asciiTheme="minorHAnsi" w:eastAsiaTheme="minorHAnsi" w:hAnsiTheme="minorHAnsi" w:cstheme="minorHAnsi"/>
        </w:rPr>
      </w:pPr>
      <w:r w:rsidRPr="003D03C5">
        <w:rPr>
          <w:rFonts w:asciiTheme="minorHAnsi" w:eastAsiaTheme="minorHAnsi" w:hAnsiTheme="minorHAnsi" w:cstheme="minorHAnsi"/>
        </w:rPr>
        <w:t xml:space="preserve">Failure of an employer or entity in charge of a public place, a cigar bar or smoke shop to permit the Authority or the Local Public Health Authority to inspect all or any part of the premises. </w:t>
      </w:r>
      <w:r w:rsidRPr="003D03C5">
        <w:rPr>
          <w:rFonts w:asciiTheme="minorHAnsi" w:eastAsiaTheme="minorHAnsi" w:hAnsiTheme="minorHAnsi" w:cstheme="minorHAnsi"/>
          <w:b/>
        </w:rPr>
        <w:t>333-015-0078</w:t>
      </w:r>
      <w:r>
        <w:rPr>
          <w:rFonts w:asciiTheme="minorHAnsi" w:eastAsiaTheme="minorHAnsi" w:hAnsiTheme="minorHAnsi" w:cstheme="minorHAnsi"/>
          <w:b/>
        </w:rPr>
        <w:t>(1)</w:t>
      </w:r>
      <w:r w:rsidRPr="003D03C5">
        <w:rPr>
          <w:rFonts w:asciiTheme="minorHAnsi" w:eastAsiaTheme="minorHAnsi" w:hAnsiTheme="minorHAnsi" w:cstheme="minorHAnsi"/>
          <w:b/>
        </w:rPr>
        <w:t>(n)</w:t>
      </w:r>
    </w:p>
    <w:p w:rsidR="002D2EA2" w:rsidRPr="003D03C5" w:rsidRDefault="002D2EA2" w:rsidP="002D2EA2">
      <w:pPr>
        <w:pStyle w:val="ListParagraph"/>
        <w:numPr>
          <w:ilvl w:val="0"/>
          <w:numId w:val="36"/>
        </w:numPr>
        <w:rPr>
          <w:rFonts w:asciiTheme="minorHAnsi" w:eastAsiaTheme="minorHAnsi" w:hAnsiTheme="minorHAnsi" w:cstheme="minorHAnsi"/>
        </w:rPr>
      </w:pPr>
      <w:r w:rsidRPr="003D03C5">
        <w:rPr>
          <w:rFonts w:asciiTheme="minorHAnsi" w:eastAsiaTheme="minorHAnsi" w:hAnsiTheme="minorHAnsi" w:cstheme="minorHAnsi"/>
        </w:rPr>
        <w:t xml:space="preserve">Failure of an employer to provide a smokefree place of employment by permitting smoking within 10 feet of the entrances, exits, windows that open, ventilation intakes that serve an enclosed area, and accessibility ramps.  </w:t>
      </w:r>
      <w:r w:rsidRPr="003D03C5">
        <w:rPr>
          <w:rFonts w:asciiTheme="minorHAnsi" w:eastAsiaTheme="minorHAnsi" w:hAnsiTheme="minorHAnsi" w:cstheme="minorHAnsi"/>
          <w:b/>
        </w:rPr>
        <w:t>333-015-0078</w:t>
      </w:r>
      <w:r>
        <w:rPr>
          <w:rFonts w:asciiTheme="minorHAnsi" w:eastAsiaTheme="minorHAnsi" w:hAnsiTheme="minorHAnsi" w:cstheme="minorHAnsi"/>
          <w:b/>
        </w:rPr>
        <w:t>(1)</w:t>
      </w:r>
      <w:r w:rsidRPr="003D03C5">
        <w:rPr>
          <w:rFonts w:asciiTheme="minorHAnsi" w:eastAsiaTheme="minorHAnsi" w:hAnsiTheme="minorHAnsi" w:cstheme="minorHAnsi"/>
          <w:b/>
        </w:rPr>
        <w:t>(o)</w:t>
      </w:r>
    </w:p>
    <w:p w:rsidR="002D2EA2" w:rsidRPr="003D03C5" w:rsidRDefault="002D2EA2" w:rsidP="002D2EA2">
      <w:pPr>
        <w:ind w:left="360"/>
        <w:rPr>
          <w:rFonts w:cstheme="minorHAnsi"/>
          <w:sz w:val="24"/>
          <w:szCs w:val="24"/>
        </w:rPr>
      </w:pPr>
      <w:r w:rsidRPr="003D03C5">
        <w:rPr>
          <w:rFonts w:cstheme="minorHAnsi"/>
          <w:sz w:val="24"/>
          <w:szCs w:val="24"/>
        </w:rPr>
        <w:t>5.   Removes the civil penalty limit because the limit in ORS 433.990 only applies to fines and not to civil penalties.</w:t>
      </w:r>
    </w:p>
    <w:p w:rsidR="002D2EA2" w:rsidRPr="003D03C5" w:rsidRDefault="002D2EA2" w:rsidP="002D2EA2">
      <w:pPr>
        <w:rPr>
          <w:rFonts w:cstheme="minorHAnsi"/>
          <w:sz w:val="24"/>
          <w:szCs w:val="24"/>
        </w:rPr>
      </w:pPr>
    </w:p>
    <w:p w:rsidR="002D2EA2" w:rsidRDefault="002D2EA2" w:rsidP="002D2EA2">
      <w:pPr>
        <w:ind w:left="360"/>
        <w:rPr>
          <w:rFonts w:cstheme="minorHAnsi"/>
          <w:sz w:val="24"/>
          <w:szCs w:val="24"/>
        </w:rPr>
      </w:pPr>
      <w:r w:rsidRPr="003D03C5">
        <w:rPr>
          <w:rFonts w:cstheme="minorHAnsi"/>
          <w:sz w:val="24"/>
          <w:szCs w:val="24"/>
        </w:rPr>
        <w:t xml:space="preserve">A rules advisory committee was held on 7/23/14 and there were two public hearings in September. The rules went into effect on Wednesday, 10/8.  HPCDP </w:t>
      </w:r>
      <w:proofErr w:type="gramStart"/>
      <w:r w:rsidRPr="003D03C5">
        <w:rPr>
          <w:rFonts w:cstheme="minorHAnsi"/>
          <w:sz w:val="24"/>
          <w:szCs w:val="24"/>
        </w:rPr>
        <w:t>staff are</w:t>
      </w:r>
      <w:proofErr w:type="gramEnd"/>
      <w:r w:rsidRPr="003D03C5">
        <w:rPr>
          <w:rFonts w:cstheme="minorHAnsi"/>
          <w:sz w:val="24"/>
          <w:szCs w:val="24"/>
        </w:rPr>
        <w:t xml:space="preserve"> working on an implementation plan, which includes updates and instructions on revised forms </w:t>
      </w:r>
      <w:r>
        <w:rPr>
          <w:rFonts w:cstheme="minorHAnsi"/>
          <w:sz w:val="24"/>
          <w:szCs w:val="24"/>
        </w:rPr>
        <w:t xml:space="preserve">and procedures for TPEP grantees. </w:t>
      </w:r>
    </w:p>
    <w:p w:rsidR="002D2EA2" w:rsidRDefault="002D2EA2" w:rsidP="002D2EA2">
      <w:pPr>
        <w:ind w:left="360"/>
        <w:rPr>
          <w:rFonts w:cstheme="minorHAnsi"/>
          <w:sz w:val="24"/>
          <w:szCs w:val="24"/>
        </w:rPr>
      </w:pPr>
    </w:p>
    <w:p w:rsidR="002D2EA2" w:rsidRPr="003D03C5" w:rsidRDefault="002D2EA2" w:rsidP="002D2EA2">
      <w:pPr>
        <w:ind w:left="360"/>
        <w:rPr>
          <w:rFonts w:cstheme="minorHAnsi"/>
          <w:sz w:val="24"/>
          <w:szCs w:val="24"/>
        </w:rPr>
      </w:pPr>
      <w:r>
        <w:rPr>
          <w:rFonts w:cstheme="minorHAnsi"/>
          <w:sz w:val="24"/>
          <w:szCs w:val="24"/>
        </w:rPr>
        <w:t>Kim LaCroix is on maternity leave until mid-January. Please contact Shira Pope (</w:t>
      </w:r>
      <w:hyperlink r:id="rId10" w:history="1">
        <w:r w:rsidRPr="00FD5666">
          <w:rPr>
            <w:rStyle w:val="Hyperlink"/>
            <w:rFonts w:cstheme="minorHAnsi"/>
            <w:sz w:val="24"/>
            <w:szCs w:val="24"/>
          </w:rPr>
          <w:t>Shira.R.Pope@state.or.us</w:t>
        </w:r>
      </w:hyperlink>
      <w:r>
        <w:rPr>
          <w:rFonts w:cstheme="minorHAnsi"/>
          <w:sz w:val="24"/>
          <w:szCs w:val="24"/>
        </w:rPr>
        <w:t>) or Luci Longoria (</w:t>
      </w:r>
      <w:hyperlink r:id="rId11" w:history="1">
        <w:r w:rsidRPr="00FD5666">
          <w:rPr>
            <w:rStyle w:val="Hyperlink"/>
            <w:rFonts w:cstheme="minorHAnsi"/>
            <w:sz w:val="24"/>
            <w:szCs w:val="24"/>
          </w:rPr>
          <w:t>Luci.Longoria@state.or.us</w:t>
        </w:r>
      </w:hyperlink>
      <w:r>
        <w:rPr>
          <w:rFonts w:cstheme="minorHAnsi"/>
          <w:sz w:val="24"/>
          <w:szCs w:val="24"/>
        </w:rPr>
        <w:t xml:space="preserve">) for questions in the interim. </w:t>
      </w:r>
    </w:p>
    <w:p w:rsidR="002D2EA2" w:rsidRDefault="002D2EA2" w:rsidP="00690827">
      <w:pPr>
        <w:rPr>
          <w:rFonts w:asciiTheme="majorHAnsi" w:hAnsiTheme="majorHAnsi"/>
          <w:sz w:val="24"/>
          <w:szCs w:val="24"/>
          <w:u w:val="single"/>
        </w:rPr>
      </w:pPr>
    </w:p>
    <w:sectPr w:rsidR="002D2EA2" w:rsidSect="001F6450">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A09" w:rsidRDefault="006D6A09" w:rsidP="003C38D2">
      <w:r>
        <w:separator/>
      </w:r>
    </w:p>
  </w:endnote>
  <w:endnote w:type="continuationSeparator" w:id="0">
    <w:p w:rsidR="006D6A09" w:rsidRDefault="006D6A09"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A09" w:rsidRDefault="006D6A09">
    <w:pPr>
      <w:pStyle w:val="Footer"/>
    </w:pPr>
  </w:p>
  <w:p w:rsidR="006D6A09" w:rsidRDefault="006D6A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A09" w:rsidRDefault="006D6A09" w:rsidP="003C38D2">
      <w:r>
        <w:separator/>
      </w:r>
    </w:p>
  </w:footnote>
  <w:footnote w:type="continuationSeparator" w:id="0">
    <w:p w:rsidR="006D6A09" w:rsidRDefault="006D6A09"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845EE0"/>
    <w:multiLevelType w:val="hybridMultilevel"/>
    <w:tmpl w:val="235C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1A0199"/>
    <w:multiLevelType w:val="hybridMultilevel"/>
    <w:tmpl w:val="55B09E9E"/>
    <w:lvl w:ilvl="0" w:tplc="A03A5EFA">
      <w:start w:val="1"/>
      <w:numFmt w:val="decimal"/>
      <w:lvlText w:val="%1."/>
      <w:lvlJc w:val="left"/>
      <w:pPr>
        <w:ind w:left="720" w:hanging="360"/>
      </w:pPr>
      <w:rPr>
        <w:rFonts w:ascii="Times New Roman" w:eastAsia="Time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36F21AF"/>
    <w:multiLevelType w:val="hybridMultilevel"/>
    <w:tmpl w:val="CCB49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5752D"/>
    <w:multiLevelType w:val="hybridMultilevel"/>
    <w:tmpl w:val="2416E29C"/>
    <w:lvl w:ilvl="0" w:tplc="52725DE0">
      <w:start w:val="1"/>
      <w:numFmt w:val="lowerLetter"/>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534C17"/>
    <w:multiLevelType w:val="hybridMultilevel"/>
    <w:tmpl w:val="C4301A92"/>
    <w:lvl w:ilvl="0" w:tplc="52725DE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9A364B"/>
    <w:multiLevelType w:val="hybridMultilevel"/>
    <w:tmpl w:val="0BF65D4E"/>
    <w:lvl w:ilvl="0" w:tplc="4F028B6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3A80ED5"/>
    <w:multiLevelType w:val="hybridMultilevel"/>
    <w:tmpl w:val="410AA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3D1189"/>
    <w:multiLevelType w:val="hybridMultilevel"/>
    <w:tmpl w:val="D214C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EF52ED"/>
    <w:multiLevelType w:val="hybridMultilevel"/>
    <w:tmpl w:val="262233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5"/>
  </w:num>
  <w:num w:numId="3">
    <w:abstractNumId w:val="10"/>
  </w:num>
  <w:num w:numId="4">
    <w:abstractNumId w:val="36"/>
  </w:num>
  <w:num w:numId="5">
    <w:abstractNumId w:val="37"/>
  </w:num>
  <w:num w:numId="6">
    <w:abstractNumId w:val="6"/>
  </w:num>
  <w:num w:numId="7">
    <w:abstractNumId w:val="33"/>
  </w:num>
  <w:num w:numId="8">
    <w:abstractNumId w:val="14"/>
  </w:num>
  <w:num w:numId="9">
    <w:abstractNumId w:val="5"/>
  </w:num>
  <w:num w:numId="10">
    <w:abstractNumId w:val="0"/>
  </w:num>
  <w:num w:numId="11">
    <w:abstractNumId w:val="24"/>
  </w:num>
  <w:num w:numId="12">
    <w:abstractNumId w:val="27"/>
  </w:num>
  <w:num w:numId="13">
    <w:abstractNumId w:val="25"/>
  </w:num>
  <w:num w:numId="14">
    <w:abstractNumId w:val="8"/>
  </w:num>
  <w:num w:numId="15">
    <w:abstractNumId w:val="28"/>
  </w:num>
  <w:num w:numId="16">
    <w:abstractNumId w:val="11"/>
  </w:num>
  <w:num w:numId="17">
    <w:abstractNumId w:val="35"/>
  </w:num>
  <w:num w:numId="18">
    <w:abstractNumId w:val="13"/>
  </w:num>
  <w:num w:numId="19">
    <w:abstractNumId w:val="34"/>
  </w:num>
  <w:num w:numId="20">
    <w:abstractNumId w:val="20"/>
  </w:num>
  <w:num w:numId="21">
    <w:abstractNumId w:val="23"/>
  </w:num>
  <w:num w:numId="22">
    <w:abstractNumId w:val="26"/>
  </w:num>
  <w:num w:numId="23">
    <w:abstractNumId w:val="4"/>
  </w:num>
  <w:num w:numId="24">
    <w:abstractNumId w:val="21"/>
  </w:num>
  <w:num w:numId="25">
    <w:abstractNumId w:val="29"/>
  </w:num>
  <w:num w:numId="26">
    <w:abstractNumId w:val="19"/>
  </w:num>
  <w:num w:numId="27">
    <w:abstractNumId w:val="31"/>
  </w:num>
  <w:num w:numId="28">
    <w:abstractNumId w:val="9"/>
  </w:num>
  <w:num w:numId="29">
    <w:abstractNumId w:val="17"/>
  </w:num>
  <w:num w:numId="30">
    <w:abstractNumId w:val="32"/>
  </w:num>
  <w:num w:numId="31">
    <w:abstractNumId w:val="12"/>
  </w:num>
  <w:num w:numId="32">
    <w:abstractNumId w:val="1"/>
  </w:num>
  <w:num w:numId="33">
    <w:abstractNumId w:val="22"/>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lvlOverride w:ilvl="2"/>
    <w:lvlOverride w:ilvl="3"/>
    <w:lvlOverride w:ilvl="4"/>
    <w:lvlOverride w:ilvl="5"/>
    <w:lvlOverride w:ilvl="6"/>
    <w:lvlOverride w:ilvl="7"/>
    <w:lvlOverride w:ilvl="8"/>
  </w:num>
  <w:num w:numId="37">
    <w:abstractNumId w:val="7"/>
  </w:num>
  <w:num w:numId="38">
    <w:abstractNumId w:val="30"/>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41AE"/>
    <w:rsid w:val="00004A22"/>
    <w:rsid w:val="00006ED1"/>
    <w:rsid w:val="000103C8"/>
    <w:rsid w:val="00012097"/>
    <w:rsid w:val="0001214E"/>
    <w:rsid w:val="00013AA2"/>
    <w:rsid w:val="000145F2"/>
    <w:rsid w:val="00016160"/>
    <w:rsid w:val="000202B3"/>
    <w:rsid w:val="000217FC"/>
    <w:rsid w:val="00023053"/>
    <w:rsid w:val="00024949"/>
    <w:rsid w:val="00027BD0"/>
    <w:rsid w:val="00030532"/>
    <w:rsid w:val="0003148B"/>
    <w:rsid w:val="0003163E"/>
    <w:rsid w:val="00031790"/>
    <w:rsid w:val="000340AD"/>
    <w:rsid w:val="00034FBD"/>
    <w:rsid w:val="00035B8A"/>
    <w:rsid w:val="00037D12"/>
    <w:rsid w:val="00042FEA"/>
    <w:rsid w:val="000430C5"/>
    <w:rsid w:val="000434F0"/>
    <w:rsid w:val="00064E68"/>
    <w:rsid w:val="00065498"/>
    <w:rsid w:val="0007323B"/>
    <w:rsid w:val="000739C6"/>
    <w:rsid w:val="00077B04"/>
    <w:rsid w:val="00081811"/>
    <w:rsid w:val="00083C01"/>
    <w:rsid w:val="00083DA5"/>
    <w:rsid w:val="00084AA0"/>
    <w:rsid w:val="00086A9D"/>
    <w:rsid w:val="00086AB5"/>
    <w:rsid w:val="00090EE4"/>
    <w:rsid w:val="00093075"/>
    <w:rsid w:val="000949A1"/>
    <w:rsid w:val="000A0869"/>
    <w:rsid w:val="000A7C44"/>
    <w:rsid w:val="000B159B"/>
    <w:rsid w:val="000B2EF4"/>
    <w:rsid w:val="000B49F2"/>
    <w:rsid w:val="000C0573"/>
    <w:rsid w:val="000C0D26"/>
    <w:rsid w:val="000C589D"/>
    <w:rsid w:val="000D23E6"/>
    <w:rsid w:val="000D4BDA"/>
    <w:rsid w:val="000D660A"/>
    <w:rsid w:val="000E27D1"/>
    <w:rsid w:val="000E2EEC"/>
    <w:rsid w:val="000E47EF"/>
    <w:rsid w:val="000E69CF"/>
    <w:rsid w:val="000E7A30"/>
    <w:rsid w:val="000F02DE"/>
    <w:rsid w:val="000F1305"/>
    <w:rsid w:val="000F4511"/>
    <w:rsid w:val="000F7771"/>
    <w:rsid w:val="00100593"/>
    <w:rsid w:val="0010159E"/>
    <w:rsid w:val="00102A35"/>
    <w:rsid w:val="001072C7"/>
    <w:rsid w:val="0011268E"/>
    <w:rsid w:val="0011606F"/>
    <w:rsid w:val="00117E90"/>
    <w:rsid w:val="00120C17"/>
    <w:rsid w:val="001211B8"/>
    <w:rsid w:val="001244DC"/>
    <w:rsid w:val="00124AC5"/>
    <w:rsid w:val="00127CD9"/>
    <w:rsid w:val="00130175"/>
    <w:rsid w:val="001321E6"/>
    <w:rsid w:val="00144D70"/>
    <w:rsid w:val="00146CED"/>
    <w:rsid w:val="00146F70"/>
    <w:rsid w:val="00150B86"/>
    <w:rsid w:val="001549C5"/>
    <w:rsid w:val="00155130"/>
    <w:rsid w:val="0015688B"/>
    <w:rsid w:val="00156E8B"/>
    <w:rsid w:val="00170F1E"/>
    <w:rsid w:val="00170F20"/>
    <w:rsid w:val="0017243C"/>
    <w:rsid w:val="001766EC"/>
    <w:rsid w:val="00182E1F"/>
    <w:rsid w:val="00184026"/>
    <w:rsid w:val="00186524"/>
    <w:rsid w:val="001956C4"/>
    <w:rsid w:val="001956EE"/>
    <w:rsid w:val="0019673A"/>
    <w:rsid w:val="00197669"/>
    <w:rsid w:val="001A43DE"/>
    <w:rsid w:val="001A4902"/>
    <w:rsid w:val="001A4ADA"/>
    <w:rsid w:val="001A4D7A"/>
    <w:rsid w:val="001B2AC8"/>
    <w:rsid w:val="001B3522"/>
    <w:rsid w:val="001B7DC9"/>
    <w:rsid w:val="001C3022"/>
    <w:rsid w:val="001C393F"/>
    <w:rsid w:val="001C439B"/>
    <w:rsid w:val="001D0D78"/>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7576"/>
    <w:rsid w:val="00212FEA"/>
    <w:rsid w:val="002157B4"/>
    <w:rsid w:val="00220620"/>
    <w:rsid w:val="002227F0"/>
    <w:rsid w:val="002228B7"/>
    <w:rsid w:val="002232A2"/>
    <w:rsid w:val="00223671"/>
    <w:rsid w:val="00225301"/>
    <w:rsid w:val="00226D03"/>
    <w:rsid w:val="002271B8"/>
    <w:rsid w:val="00230D6C"/>
    <w:rsid w:val="00233D43"/>
    <w:rsid w:val="002354D6"/>
    <w:rsid w:val="00244DC7"/>
    <w:rsid w:val="00245DF8"/>
    <w:rsid w:val="002461C1"/>
    <w:rsid w:val="002465E3"/>
    <w:rsid w:val="00247146"/>
    <w:rsid w:val="00247844"/>
    <w:rsid w:val="00247B3E"/>
    <w:rsid w:val="00250E59"/>
    <w:rsid w:val="00253015"/>
    <w:rsid w:val="00257DE7"/>
    <w:rsid w:val="002621F7"/>
    <w:rsid w:val="00264C76"/>
    <w:rsid w:val="002672F1"/>
    <w:rsid w:val="002707F8"/>
    <w:rsid w:val="002709BE"/>
    <w:rsid w:val="00276B86"/>
    <w:rsid w:val="0028065B"/>
    <w:rsid w:val="00281F0E"/>
    <w:rsid w:val="002834E6"/>
    <w:rsid w:val="0028612B"/>
    <w:rsid w:val="00290CE6"/>
    <w:rsid w:val="00293FCB"/>
    <w:rsid w:val="00296A0D"/>
    <w:rsid w:val="00297892"/>
    <w:rsid w:val="002A51AB"/>
    <w:rsid w:val="002A7749"/>
    <w:rsid w:val="002B2238"/>
    <w:rsid w:val="002B2295"/>
    <w:rsid w:val="002B4C8D"/>
    <w:rsid w:val="002B60C0"/>
    <w:rsid w:val="002C178D"/>
    <w:rsid w:val="002C3FE9"/>
    <w:rsid w:val="002C4E8E"/>
    <w:rsid w:val="002D2EA2"/>
    <w:rsid w:val="002D343E"/>
    <w:rsid w:val="002D41A5"/>
    <w:rsid w:val="002E15CD"/>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44F7"/>
    <w:rsid w:val="00377C1C"/>
    <w:rsid w:val="00377F13"/>
    <w:rsid w:val="0038020B"/>
    <w:rsid w:val="00380DFC"/>
    <w:rsid w:val="00382891"/>
    <w:rsid w:val="00384B40"/>
    <w:rsid w:val="00384F1E"/>
    <w:rsid w:val="0038693D"/>
    <w:rsid w:val="00387D35"/>
    <w:rsid w:val="00395D04"/>
    <w:rsid w:val="003A3DDF"/>
    <w:rsid w:val="003A695A"/>
    <w:rsid w:val="003B2B16"/>
    <w:rsid w:val="003B31B4"/>
    <w:rsid w:val="003C1151"/>
    <w:rsid w:val="003C38D2"/>
    <w:rsid w:val="003C455B"/>
    <w:rsid w:val="003C6C89"/>
    <w:rsid w:val="003D02FC"/>
    <w:rsid w:val="003D04BC"/>
    <w:rsid w:val="003D18EE"/>
    <w:rsid w:val="003D4DFB"/>
    <w:rsid w:val="003D71DA"/>
    <w:rsid w:val="003D728B"/>
    <w:rsid w:val="003E0C0E"/>
    <w:rsid w:val="003E1288"/>
    <w:rsid w:val="003E1874"/>
    <w:rsid w:val="003E1885"/>
    <w:rsid w:val="003E2FF1"/>
    <w:rsid w:val="003E5C69"/>
    <w:rsid w:val="003E6927"/>
    <w:rsid w:val="003E6D07"/>
    <w:rsid w:val="003F2831"/>
    <w:rsid w:val="003F7D89"/>
    <w:rsid w:val="00400381"/>
    <w:rsid w:val="004110E7"/>
    <w:rsid w:val="00412627"/>
    <w:rsid w:val="00413106"/>
    <w:rsid w:val="00413F69"/>
    <w:rsid w:val="00414107"/>
    <w:rsid w:val="00415A1D"/>
    <w:rsid w:val="00417868"/>
    <w:rsid w:val="004219AE"/>
    <w:rsid w:val="00425786"/>
    <w:rsid w:val="00426DFB"/>
    <w:rsid w:val="0043149E"/>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B145C"/>
    <w:rsid w:val="004B2EEC"/>
    <w:rsid w:val="004B3F0F"/>
    <w:rsid w:val="004B76EA"/>
    <w:rsid w:val="004C2DEB"/>
    <w:rsid w:val="004C42E9"/>
    <w:rsid w:val="004C5A56"/>
    <w:rsid w:val="004C6019"/>
    <w:rsid w:val="004C67FB"/>
    <w:rsid w:val="004C7D91"/>
    <w:rsid w:val="004E3069"/>
    <w:rsid w:val="004E51E3"/>
    <w:rsid w:val="004F1C10"/>
    <w:rsid w:val="004F3A9B"/>
    <w:rsid w:val="00500483"/>
    <w:rsid w:val="005107A0"/>
    <w:rsid w:val="00512C66"/>
    <w:rsid w:val="00513009"/>
    <w:rsid w:val="005146B0"/>
    <w:rsid w:val="00514717"/>
    <w:rsid w:val="005207A1"/>
    <w:rsid w:val="00522F94"/>
    <w:rsid w:val="00526A04"/>
    <w:rsid w:val="00527D89"/>
    <w:rsid w:val="00531D74"/>
    <w:rsid w:val="00535A75"/>
    <w:rsid w:val="00536C1A"/>
    <w:rsid w:val="00536E03"/>
    <w:rsid w:val="005423FF"/>
    <w:rsid w:val="00543175"/>
    <w:rsid w:val="00544ACA"/>
    <w:rsid w:val="00544D7E"/>
    <w:rsid w:val="0055064C"/>
    <w:rsid w:val="00550FB3"/>
    <w:rsid w:val="00552139"/>
    <w:rsid w:val="0055702B"/>
    <w:rsid w:val="005619FA"/>
    <w:rsid w:val="00561B6A"/>
    <w:rsid w:val="00562C6C"/>
    <w:rsid w:val="00564366"/>
    <w:rsid w:val="0056523E"/>
    <w:rsid w:val="00566265"/>
    <w:rsid w:val="005714AE"/>
    <w:rsid w:val="00571BFA"/>
    <w:rsid w:val="00573987"/>
    <w:rsid w:val="00576B63"/>
    <w:rsid w:val="00576C4D"/>
    <w:rsid w:val="005776BD"/>
    <w:rsid w:val="00582B10"/>
    <w:rsid w:val="00583DB0"/>
    <w:rsid w:val="0058491F"/>
    <w:rsid w:val="005948D0"/>
    <w:rsid w:val="005950E0"/>
    <w:rsid w:val="00596849"/>
    <w:rsid w:val="005A31AF"/>
    <w:rsid w:val="005A6E00"/>
    <w:rsid w:val="005A7163"/>
    <w:rsid w:val="005B1841"/>
    <w:rsid w:val="005B1EE7"/>
    <w:rsid w:val="005B75E4"/>
    <w:rsid w:val="005C1210"/>
    <w:rsid w:val="005C1868"/>
    <w:rsid w:val="005C2021"/>
    <w:rsid w:val="005C21B5"/>
    <w:rsid w:val="005C32F8"/>
    <w:rsid w:val="005C48A3"/>
    <w:rsid w:val="005C545D"/>
    <w:rsid w:val="005C5B06"/>
    <w:rsid w:val="005C5DF8"/>
    <w:rsid w:val="005D0DEC"/>
    <w:rsid w:val="005D1337"/>
    <w:rsid w:val="005D246C"/>
    <w:rsid w:val="005D79A5"/>
    <w:rsid w:val="005E1ED1"/>
    <w:rsid w:val="005E70FE"/>
    <w:rsid w:val="005E7ECC"/>
    <w:rsid w:val="005F0094"/>
    <w:rsid w:val="005F0F5C"/>
    <w:rsid w:val="005F7616"/>
    <w:rsid w:val="00600806"/>
    <w:rsid w:val="00600E33"/>
    <w:rsid w:val="00601576"/>
    <w:rsid w:val="006050B5"/>
    <w:rsid w:val="00605591"/>
    <w:rsid w:val="00605B22"/>
    <w:rsid w:val="00606594"/>
    <w:rsid w:val="00610223"/>
    <w:rsid w:val="00610C2D"/>
    <w:rsid w:val="00613CA2"/>
    <w:rsid w:val="0061492C"/>
    <w:rsid w:val="006151B7"/>
    <w:rsid w:val="00625759"/>
    <w:rsid w:val="0063184B"/>
    <w:rsid w:val="006345A0"/>
    <w:rsid w:val="00636B69"/>
    <w:rsid w:val="006409C7"/>
    <w:rsid w:val="006414C7"/>
    <w:rsid w:val="00646A4C"/>
    <w:rsid w:val="00646EF9"/>
    <w:rsid w:val="00650BCE"/>
    <w:rsid w:val="00651638"/>
    <w:rsid w:val="00654201"/>
    <w:rsid w:val="00654A68"/>
    <w:rsid w:val="0065675C"/>
    <w:rsid w:val="00657394"/>
    <w:rsid w:val="006626C1"/>
    <w:rsid w:val="006639F0"/>
    <w:rsid w:val="00663EBC"/>
    <w:rsid w:val="00663F53"/>
    <w:rsid w:val="00665864"/>
    <w:rsid w:val="0066690A"/>
    <w:rsid w:val="0067056B"/>
    <w:rsid w:val="00671551"/>
    <w:rsid w:val="00671950"/>
    <w:rsid w:val="00671AF3"/>
    <w:rsid w:val="00677FEA"/>
    <w:rsid w:val="0068156A"/>
    <w:rsid w:val="006820D6"/>
    <w:rsid w:val="00690827"/>
    <w:rsid w:val="00690864"/>
    <w:rsid w:val="0069169B"/>
    <w:rsid w:val="006928AE"/>
    <w:rsid w:val="006978FD"/>
    <w:rsid w:val="006A1039"/>
    <w:rsid w:val="006A318E"/>
    <w:rsid w:val="006A3361"/>
    <w:rsid w:val="006A36F2"/>
    <w:rsid w:val="006A3C47"/>
    <w:rsid w:val="006A793F"/>
    <w:rsid w:val="006B1AC4"/>
    <w:rsid w:val="006B2367"/>
    <w:rsid w:val="006C1637"/>
    <w:rsid w:val="006C3B12"/>
    <w:rsid w:val="006C5639"/>
    <w:rsid w:val="006C5DBD"/>
    <w:rsid w:val="006C6F52"/>
    <w:rsid w:val="006D1C5F"/>
    <w:rsid w:val="006D3831"/>
    <w:rsid w:val="006D55F3"/>
    <w:rsid w:val="006D6A09"/>
    <w:rsid w:val="006E0E79"/>
    <w:rsid w:val="006E1564"/>
    <w:rsid w:val="006E1B5B"/>
    <w:rsid w:val="006E21F5"/>
    <w:rsid w:val="006E330F"/>
    <w:rsid w:val="006E3CA6"/>
    <w:rsid w:val="006E5026"/>
    <w:rsid w:val="006F1794"/>
    <w:rsid w:val="006F38B6"/>
    <w:rsid w:val="006F3E55"/>
    <w:rsid w:val="006F4BD1"/>
    <w:rsid w:val="006F6689"/>
    <w:rsid w:val="006F72BE"/>
    <w:rsid w:val="0070009E"/>
    <w:rsid w:val="00704E41"/>
    <w:rsid w:val="007050DB"/>
    <w:rsid w:val="00705746"/>
    <w:rsid w:val="00705ACF"/>
    <w:rsid w:val="00717571"/>
    <w:rsid w:val="00721955"/>
    <w:rsid w:val="00730163"/>
    <w:rsid w:val="0073043A"/>
    <w:rsid w:val="00740C57"/>
    <w:rsid w:val="00745CFB"/>
    <w:rsid w:val="00751194"/>
    <w:rsid w:val="00752C74"/>
    <w:rsid w:val="00755C0F"/>
    <w:rsid w:val="00757930"/>
    <w:rsid w:val="00757CBB"/>
    <w:rsid w:val="00760C6E"/>
    <w:rsid w:val="00761D4F"/>
    <w:rsid w:val="00764D88"/>
    <w:rsid w:val="00767A0E"/>
    <w:rsid w:val="00770E6B"/>
    <w:rsid w:val="00772B57"/>
    <w:rsid w:val="00777D4F"/>
    <w:rsid w:val="00783ABB"/>
    <w:rsid w:val="00787169"/>
    <w:rsid w:val="00787488"/>
    <w:rsid w:val="00787BA4"/>
    <w:rsid w:val="00796DEE"/>
    <w:rsid w:val="007A256A"/>
    <w:rsid w:val="007A3E7C"/>
    <w:rsid w:val="007A4B86"/>
    <w:rsid w:val="007B52C2"/>
    <w:rsid w:val="007B5485"/>
    <w:rsid w:val="007B618D"/>
    <w:rsid w:val="007C6493"/>
    <w:rsid w:val="007C7453"/>
    <w:rsid w:val="007D1113"/>
    <w:rsid w:val="007D4ACB"/>
    <w:rsid w:val="007D4DDC"/>
    <w:rsid w:val="007D5B82"/>
    <w:rsid w:val="007E2C46"/>
    <w:rsid w:val="007E3E05"/>
    <w:rsid w:val="007E57B5"/>
    <w:rsid w:val="007F0284"/>
    <w:rsid w:val="007F2F83"/>
    <w:rsid w:val="007F7B7F"/>
    <w:rsid w:val="0080383C"/>
    <w:rsid w:val="00804A03"/>
    <w:rsid w:val="0080785C"/>
    <w:rsid w:val="008109B6"/>
    <w:rsid w:val="00810E1E"/>
    <w:rsid w:val="008120CA"/>
    <w:rsid w:val="00817F1A"/>
    <w:rsid w:val="0082346B"/>
    <w:rsid w:val="008305D0"/>
    <w:rsid w:val="00830688"/>
    <w:rsid w:val="008306C8"/>
    <w:rsid w:val="00830CAA"/>
    <w:rsid w:val="00831317"/>
    <w:rsid w:val="00832ADB"/>
    <w:rsid w:val="00832FA8"/>
    <w:rsid w:val="008330EF"/>
    <w:rsid w:val="0084241C"/>
    <w:rsid w:val="00844B21"/>
    <w:rsid w:val="008459E4"/>
    <w:rsid w:val="0085184E"/>
    <w:rsid w:val="008611D3"/>
    <w:rsid w:val="00861FE8"/>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90265F"/>
    <w:rsid w:val="00904407"/>
    <w:rsid w:val="00911CE2"/>
    <w:rsid w:val="00911DA7"/>
    <w:rsid w:val="009145A2"/>
    <w:rsid w:val="009163D1"/>
    <w:rsid w:val="009230DC"/>
    <w:rsid w:val="00923DB2"/>
    <w:rsid w:val="009247C3"/>
    <w:rsid w:val="00924C7B"/>
    <w:rsid w:val="009329E7"/>
    <w:rsid w:val="009352E1"/>
    <w:rsid w:val="009361B5"/>
    <w:rsid w:val="00946409"/>
    <w:rsid w:val="00950D8C"/>
    <w:rsid w:val="009537B1"/>
    <w:rsid w:val="00957DAB"/>
    <w:rsid w:val="00964BEB"/>
    <w:rsid w:val="00965C88"/>
    <w:rsid w:val="009703D0"/>
    <w:rsid w:val="009704FE"/>
    <w:rsid w:val="0097248F"/>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7435"/>
    <w:rsid w:val="009C778F"/>
    <w:rsid w:val="009D066A"/>
    <w:rsid w:val="009D6FA9"/>
    <w:rsid w:val="009D749E"/>
    <w:rsid w:val="009E4303"/>
    <w:rsid w:val="009E761E"/>
    <w:rsid w:val="009F3585"/>
    <w:rsid w:val="009F36EB"/>
    <w:rsid w:val="009F76C3"/>
    <w:rsid w:val="00A06263"/>
    <w:rsid w:val="00A12F15"/>
    <w:rsid w:val="00A14716"/>
    <w:rsid w:val="00A2540E"/>
    <w:rsid w:val="00A26E76"/>
    <w:rsid w:val="00A305C1"/>
    <w:rsid w:val="00A307B2"/>
    <w:rsid w:val="00A30A13"/>
    <w:rsid w:val="00A46CDE"/>
    <w:rsid w:val="00A46D90"/>
    <w:rsid w:val="00A4788A"/>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401F"/>
    <w:rsid w:val="00AA46D2"/>
    <w:rsid w:val="00AB0C3C"/>
    <w:rsid w:val="00AB3518"/>
    <w:rsid w:val="00AB44B1"/>
    <w:rsid w:val="00AB5FFF"/>
    <w:rsid w:val="00AB7EF6"/>
    <w:rsid w:val="00AC00A2"/>
    <w:rsid w:val="00AC0EB3"/>
    <w:rsid w:val="00AC28DA"/>
    <w:rsid w:val="00AC391D"/>
    <w:rsid w:val="00AC41BA"/>
    <w:rsid w:val="00AD2AC5"/>
    <w:rsid w:val="00AD7C5E"/>
    <w:rsid w:val="00AE1204"/>
    <w:rsid w:val="00AE6BB8"/>
    <w:rsid w:val="00AF7613"/>
    <w:rsid w:val="00B045FD"/>
    <w:rsid w:val="00B05EF7"/>
    <w:rsid w:val="00B060B7"/>
    <w:rsid w:val="00B12572"/>
    <w:rsid w:val="00B13CF0"/>
    <w:rsid w:val="00B210FD"/>
    <w:rsid w:val="00B22805"/>
    <w:rsid w:val="00B244E6"/>
    <w:rsid w:val="00B26A9F"/>
    <w:rsid w:val="00B27994"/>
    <w:rsid w:val="00B3283D"/>
    <w:rsid w:val="00B34125"/>
    <w:rsid w:val="00B34508"/>
    <w:rsid w:val="00B34E82"/>
    <w:rsid w:val="00B379D8"/>
    <w:rsid w:val="00B42253"/>
    <w:rsid w:val="00B50247"/>
    <w:rsid w:val="00B51603"/>
    <w:rsid w:val="00B56646"/>
    <w:rsid w:val="00B6292A"/>
    <w:rsid w:val="00B6375D"/>
    <w:rsid w:val="00B6491F"/>
    <w:rsid w:val="00B6612D"/>
    <w:rsid w:val="00B67B1F"/>
    <w:rsid w:val="00B67CA3"/>
    <w:rsid w:val="00B7000B"/>
    <w:rsid w:val="00B70440"/>
    <w:rsid w:val="00B721E8"/>
    <w:rsid w:val="00B7393F"/>
    <w:rsid w:val="00B7486F"/>
    <w:rsid w:val="00B7674B"/>
    <w:rsid w:val="00B7799C"/>
    <w:rsid w:val="00B77CAB"/>
    <w:rsid w:val="00B80D88"/>
    <w:rsid w:val="00B84212"/>
    <w:rsid w:val="00B90DDE"/>
    <w:rsid w:val="00B93E32"/>
    <w:rsid w:val="00B94D72"/>
    <w:rsid w:val="00BA1137"/>
    <w:rsid w:val="00BA2A24"/>
    <w:rsid w:val="00BA30DC"/>
    <w:rsid w:val="00BA7480"/>
    <w:rsid w:val="00BB1544"/>
    <w:rsid w:val="00BB2907"/>
    <w:rsid w:val="00BB4717"/>
    <w:rsid w:val="00BC435C"/>
    <w:rsid w:val="00BD083A"/>
    <w:rsid w:val="00BD0DE3"/>
    <w:rsid w:val="00BD1448"/>
    <w:rsid w:val="00BD5BA4"/>
    <w:rsid w:val="00BD7097"/>
    <w:rsid w:val="00BD7F91"/>
    <w:rsid w:val="00BE1D27"/>
    <w:rsid w:val="00BE3AF6"/>
    <w:rsid w:val="00BE3DFC"/>
    <w:rsid w:val="00BE67C1"/>
    <w:rsid w:val="00BF18DF"/>
    <w:rsid w:val="00BF36DB"/>
    <w:rsid w:val="00BF61F7"/>
    <w:rsid w:val="00BF6A82"/>
    <w:rsid w:val="00BF6B5E"/>
    <w:rsid w:val="00C01BE7"/>
    <w:rsid w:val="00C02340"/>
    <w:rsid w:val="00C04CB7"/>
    <w:rsid w:val="00C0682B"/>
    <w:rsid w:val="00C06F86"/>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169D"/>
    <w:rsid w:val="00C4308A"/>
    <w:rsid w:val="00C430F9"/>
    <w:rsid w:val="00C4575B"/>
    <w:rsid w:val="00C55089"/>
    <w:rsid w:val="00C56F01"/>
    <w:rsid w:val="00C57EE7"/>
    <w:rsid w:val="00C662A4"/>
    <w:rsid w:val="00C671D1"/>
    <w:rsid w:val="00C67AC5"/>
    <w:rsid w:val="00C72A6E"/>
    <w:rsid w:val="00C85920"/>
    <w:rsid w:val="00C862DC"/>
    <w:rsid w:val="00C91559"/>
    <w:rsid w:val="00C946AE"/>
    <w:rsid w:val="00C96F0F"/>
    <w:rsid w:val="00CA2C80"/>
    <w:rsid w:val="00CA76DC"/>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3000"/>
    <w:rsid w:val="00CF3F8F"/>
    <w:rsid w:val="00CF4729"/>
    <w:rsid w:val="00CF7C11"/>
    <w:rsid w:val="00D0223F"/>
    <w:rsid w:val="00D0299A"/>
    <w:rsid w:val="00D05BA2"/>
    <w:rsid w:val="00D0653B"/>
    <w:rsid w:val="00D0718F"/>
    <w:rsid w:val="00D07309"/>
    <w:rsid w:val="00D14C3C"/>
    <w:rsid w:val="00D15047"/>
    <w:rsid w:val="00D17D44"/>
    <w:rsid w:val="00D20442"/>
    <w:rsid w:val="00D2196F"/>
    <w:rsid w:val="00D22C0D"/>
    <w:rsid w:val="00D242C6"/>
    <w:rsid w:val="00D25437"/>
    <w:rsid w:val="00D3285F"/>
    <w:rsid w:val="00D32C99"/>
    <w:rsid w:val="00D3355B"/>
    <w:rsid w:val="00D36175"/>
    <w:rsid w:val="00D449DB"/>
    <w:rsid w:val="00D466CD"/>
    <w:rsid w:val="00D47517"/>
    <w:rsid w:val="00D52CCE"/>
    <w:rsid w:val="00D61BBB"/>
    <w:rsid w:val="00D62147"/>
    <w:rsid w:val="00D63475"/>
    <w:rsid w:val="00D638EC"/>
    <w:rsid w:val="00D6475D"/>
    <w:rsid w:val="00D64F3B"/>
    <w:rsid w:val="00D65711"/>
    <w:rsid w:val="00D66333"/>
    <w:rsid w:val="00D66974"/>
    <w:rsid w:val="00D713CB"/>
    <w:rsid w:val="00D72F77"/>
    <w:rsid w:val="00D76CEE"/>
    <w:rsid w:val="00D81791"/>
    <w:rsid w:val="00D81EB5"/>
    <w:rsid w:val="00D82016"/>
    <w:rsid w:val="00D83A53"/>
    <w:rsid w:val="00D842D4"/>
    <w:rsid w:val="00D87D05"/>
    <w:rsid w:val="00D924AF"/>
    <w:rsid w:val="00D9439C"/>
    <w:rsid w:val="00D97C70"/>
    <w:rsid w:val="00DA0FE8"/>
    <w:rsid w:val="00DA1177"/>
    <w:rsid w:val="00DA1254"/>
    <w:rsid w:val="00DA2A47"/>
    <w:rsid w:val="00DA2C81"/>
    <w:rsid w:val="00DA58EE"/>
    <w:rsid w:val="00DA6419"/>
    <w:rsid w:val="00DA6B70"/>
    <w:rsid w:val="00DB44EE"/>
    <w:rsid w:val="00DC2DA3"/>
    <w:rsid w:val="00DC344B"/>
    <w:rsid w:val="00DC4E04"/>
    <w:rsid w:val="00DC744B"/>
    <w:rsid w:val="00DC7B21"/>
    <w:rsid w:val="00DD71BA"/>
    <w:rsid w:val="00DF321C"/>
    <w:rsid w:val="00DF323A"/>
    <w:rsid w:val="00DF5CDF"/>
    <w:rsid w:val="00E01D67"/>
    <w:rsid w:val="00E06E54"/>
    <w:rsid w:val="00E113BC"/>
    <w:rsid w:val="00E12651"/>
    <w:rsid w:val="00E22A78"/>
    <w:rsid w:val="00E2672E"/>
    <w:rsid w:val="00E30845"/>
    <w:rsid w:val="00E30E9E"/>
    <w:rsid w:val="00E30FE5"/>
    <w:rsid w:val="00E3412C"/>
    <w:rsid w:val="00E34A4D"/>
    <w:rsid w:val="00E34C01"/>
    <w:rsid w:val="00E36A8C"/>
    <w:rsid w:val="00E41190"/>
    <w:rsid w:val="00E420A8"/>
    <w:rsid w:val="00E449B2"/>
    <w:rsid w:val="00E44FDF"/>
    <w:rsid w:val="00E4520D"/>
    <w:rsid w:val="00E479BF"/>
    <w:rsid w:val="00E50C6D"/>
    <w:rsid w:val="00E51D3B"/>
    <w:rsid w:val="00E53E2C"/>
    <w:rsid w:val="00E54080"/>
    <w:rsid w:val="00E557D3"/>
    <w:rsid w:val="00E55916"/>
    <w:rsid w:val="00E55FFA"/>
    <w:rsid w:val="00E61E22"/>
    <w:rsid w:val="00E6249B"/>
    <w:rsid w:val="00E67FA1"/>
    <w:rsid w:val="00E73B21"/>
    <w:rsid w:val="00E75611"/>
    <w:rsid w:val="00E80322"/>
    <w:rsid w:val="00E826EC"/>
    <w:rsid w:val="00E82793"/>
    <w:rsid w:val="00E848B2"/>
    <w:rsid w:val="00E95A19"/>
    <w:rsid w:val="00E975F7"/>
    <w:rsid w:val="00E97786"/>
    <w:rsid w:val="00E97C06"/>
    <w:rsid w:val="00EA09D5"/>
    <w:rsid w:val="00EA1DA9"/>
    <w:rsid w:val="00EA2E01"/>
    <w:rsid w:val="00EA2FF1"/>
    <w:rsid w:val="00EA5456"/>
    <w:rsid w:val="00EA77F6"/>
    <w:rsid w:val="00EA7A7B"/>
    <w:rsid w:val="00EB04EF"/>
    <w:rsid w:val="00EB604D"/>
    <w:rsid w:val="00EC4899"/>
    <w:rsid w:val="00EC52EF"/>
    <w:rsid w:val="00EC6BC0"/>
    <w:rsid w:val="00EC7240"/>
    <w:rsid w:val="00EC7B9F"/>
    <w:rsid w:val="00ED2BFA"/>
    <w:rsid w:val="00ED469C"/>
    <w:rsid w:val="00EE25F0"/>
    <w:rsid w:val="00EE3AA0"/>
    <w:rsid w:val="00EE44B0"/>
    <w:rsid w:val="00EE5A62"/>
    <w:rsid w:val="00EE5D0C"/>
    <w:rsid w:val="00EE7818"/>
    <w:rsid w:val="00EF36F0"/>
    <w:rsid w:val="00EF3720"/>
    <w:rsid w:val="00EF729E"/>
    <w:rsid w:val="00EF746E"/>
    <w:rsid w:val="00F041AF"/>
    <w:rsid w:val="00F04349"/>
    <w:rsid w:val="00F04795"/>
    <w:rsid w:val="00F04BF3"/>
    <w:rsid w:val="00F06403"/>
    <w:rsid w:val="00F1342E"/>
    <w:rsid w:val="00F149EC"/>
    <w:rsid w:val="00F213E6"/>
    <w:rsid w:val="00F24A47"/>
    <w:rsid w:val="00F25887"/>
    <w:rsid w:val="00F25A1F"/>
    <w:rsid w:val="00F266B8"/>
    <w:rsid w:val="00F27977"/>
    <w:rsid w:val="00F30746"/>
    <w:rsid w:val="00F34504"/>
    <w:rsid w:val="00F41EE5"/>
    <w:rsid w:val="00F4497D"/>
    <w:rsid w:val="00F502B8"/>
    <w:rsid w:val="00F50625"/>
    <w:rsid w:val="00F522D8"/>
    <w:rsid w:val="00F53500"/>
    <w:rsid w:val="00F540EE"/>
    <w:rsid w:val="00F618C9"/>
    <w:rsid w:val="00F64CC5"/>
    <w:rsid w:val="00F64D27"/>
    <w:rsid w:val="00F673F7"/>
    <w:rsid w:val="00F70575"/>
    <w:rsid w:val="00F710FB"/>
    <w:rsid w:val="00F71CD8"/>
    <w:rsid w:val="00F73773"/>
    <w:rsid w:val="00F837CA"/>
    <w:rsid w:val="00F86626"/>
    <w:rsid w:val="00F86A8B"/>
    <w:rsid w:val="00F908A1"/>
    <w:rsid w:val="00F9181D"/>
    <w:rsid w:val="00F949F5"/>
    <w:rsid w:val="00F95C9E"/>
    <w:rsid w:val="00FA025B"/>
    <w:rsid w:val="00FA3B0C"/>
    <w:rsid w:val="00FA73F0"/>
    <w:rsid w:val="00FB4BF7"/>
    <w:rsid w:val="00FB4D46"/>
    <w:rsid w:val="00FB69D4"/>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77C3"/>
    <w:rsid w:val="00FF0FF8"/>
    <w:rsid w:val="00FF26E7"/>
    <w:rsid w:val="00FF5C8B"/>
    <w:rsid w:val="00FF60C2"/>
    <w:rsid w:val="00FF6566"/>
    <w:rsid w:val="00FF657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unhideWhenUsed/>
    <w:rsid w:val="00B7674B"/>
    <w:rPr>
      <w:sz w:val="16"/>
      <w:szCs w:val="16"/>
    </w:rPr>
  </w:style>
  <w:style w:type="paragraph" w:styleId="CommentText">
    <w:name w:val="annotation text"/>
    <w:basedOn w:val="Normal"/>
    <w:link w:val="CommentTextChar"/>
    <w:uiPriority w:val="99"/>
    <w:semiHidden/>
    <w:unhideWhenUsed/>
    <w:rsid w:val="00B7674B"/>
    <w:rPr>
      <w:sz w:val="20"/>
      <w:szCs w:val="20"/>
    </w:rPr>
  </w:style>
  <w:style w:type="character" w:customStyle="1" w:styleId="CommentTextChar">
    <w:name w:val="Comment Text Char"/>
    <w:basedOn w:val="DefaultParagraphFont"/>
    <w:link w:val="CommentText"/>
    <w:uiPriority w:val="99"/>
    <w:semiHidden/>
    <w:rsid w:val="00B7674B"/>
    <w:rPr>
      <w:sz w:val="20"/>
      <w:szCs w:val="20"/>
    </w:rPr>
  </w:style>
  <w:style w:type="paragraph" w:styleId="CommentSubject">
    <w:name w:val="annotation subject"/>
    <w:basedOn w:val="CommentText"/>
    <w:next w:val="CommentText"/>
    <w:link w:val="CommentSubjectChar"/>
    <w:uiPriority w:val="99"/>
    <w:semiHidden/>
    <w:unhideWhenUsed/>
    <w:rsid w:val="00B7674B"/>
    <w:rPr>
      <w:b/>
      <w:bCs/>
    </w:rPr>
  </w:style>
  <w:style w:type="character" w:customStyle="1" w:styleId="CommentSubjectChar">
    <w:name w:val="Comment Subject Char"/>
    <w:basedOn w:val="CommentTextChar"/>
    <w:link w:val="CommentSubject"/>
    <w:uiPriority w:val="99"/>
    <w:semiHidden/>
    <w:rsid w:val="00B7674B"/>
    <w:rPr>
      <w:b/>
      <w:bCs/>
      <w:sz w:val="20"/>
      <w:szCs w:val="20"/>
    </w:rPr>
  </w:style>
  <w:style w:type="paragraph" w:styleId="PlainText">
    <w:name w:val="Plain Text"/>
    <w:basedOn w:val="Normal"/>
    <w:link w:val="PlainTextChar"/>
    <w:uiPriority w:val="99"/>
    <w:unhideWhenUsed/>
    <w:rsid w:val="00767A0E"/>
    <w:rPr>
      <w:rFonts w:eastAsiaTheme="minorHAnsi" w:cstheme="minorBidi"/>
      <w:szCs w:val="21"/>
    </w:rPr>
  </w:style>
  <w:style w:type="character" w:customStyle="1" w:styleId="PlainTextChar">
    <w:name w:val="Plain Text Char"/>
    <w:basedOn w:val="DefaultParagraphFont"/>
    <w:link w:val="PlainText"/>
    <w:uiPriority w:val="99"/>
    <w:rsid w:val="00767A0E"/>
    <w:rPr>
      <w:rFonts w:eastAsiaTheme="minorHAnsi" w:cstheme="minorBidi"/>
      <w:szCs w:val="21"/>
    </w:rPr>
  </w:style>
  <w:style w:type="character" w:styleId="FollowedHyperlink">
    <w:name w:val="FollowedHyperlink"/>
    <w:basedOn w:val="DefaultParagraphFont"/>
    <w:uiPriority w:val="99"/>
    <w:semiHidden/>
    <w:unhideWhenUsed/>
    <w:rsid w:val="004A1281"/>
    <w:rPr>
      <w:color w:val="800080" w:themeColor="followedHyperlink"/>
      <w:u w:val="single"/>
    </w:rPr>
  </w:style>
  <w:style w:type="paragraph" w:styleId="Revision">
    <w:name w:val="Revision"/>
    <w:hidden/>
    <w:uiPriority w:val="99"/>
    <w:semiHidden/>
    <w:rsid w:val="00281F0E"/>
  </w:style>
  <w:style w:type="paragraph" w:customStyle="1" w:styleId="Default">
    <w:name w:val="Default"/>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FF657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0834">
      <w:bodyDiv w:val="1"/>
      <w:marLeft w:val="0"/>
      <w:marRight w:val="0"/>
      <w:marTop w:val="0"/>
      <w:marBottom w:val="0"/>
      <w:divBdr>
        <w:top w:val="none" w:sz="0" w:space="0" w:color="auto"/>
        <w:left w:val="none" w:sz="0" w:space="0" w:color="auto"/>
        <w:bottom w:val="none" w:sz="0" w:space="0" w:color="auto"/>
        <w:right w:val="none" w:sz="0" w:space="0" w:color="auto"/>
      </w:divBdr>
    </w:div>
    <w:div w:id="30572027">
      <w:bodyDiv w:val="1"/>
      <w:marLeft w:val="0"/>
      <w:marRight w:val="0"/>
      <w:marTop w:val="0"/>
      <w:marBottom w:val="0"/>
      <w:divBdr>
        <w:top w:val="none" w:sz="0" w:space="0" w:color="auto"/>
        <w:left w:val="none" w:sz="0" w:space="0" w:color="auto"/>
        <w:bottom w:val="none" w:sz="0" w:space="0" w:color="auto"/>
        <w:right w:val="none" w:sz="0" w:space="0" w:color="auto"/>
      </w:divBdr>
    </w:div>
    <w:div w:id="33582166">
      <w:bodyDiv w:val="1"/>
      <w:marLeft w:val="0"/>
      <w:marRight w:val="0"/>
      <w:marTop w:val="0"/>
      <w:marBottom w:val="0"/>
      <w:divBdr>
        <w:top w:val="none" w:sz="0" w:space="0" w:color="auto"/>
        <w:left w:val="none" w:sz="0" w:space="0" w:color="auto"/>
        <w:bottom w:val="none" w:sz="0" w:space="0" w:color="auto"/>
        <w:right w:val="none" w:sz="0" w:space="0" w:color="auto"/>
      </w:divBdr>
    </w:div>
    <w:div w:id="71196194">
      <w:bodyDiv w:val="1"/>
      <w:marLeft w:val="0"/>
      <w:marRight w:val="0"/>
      <w:marTop w:val="0"/>
      <w:marBottom w:val="0"/>
      <w:divBdr>
        <w:top w:val="none" w:sz="0" w:space="0" w:color="auto"/>
        <w:left w:val="none" w:sz="0" w:space="0" w:color="auto"/>
        <w:bottom w:val="none" w:sz="0" w:space="0" w:color="auto"/>
        <w:right w:val="none" w:sz="0" w:space="0" w:color="auto"/>
      </w:divBdr>
    </w:div>
    <w:div w:id="92433429">
      <w:bodyDiv w:val="1"/>
      <w:marLeft w:val="0"/>
      <w:marRight w:val="0"/>
      <w:marTop w:val="0"/>
      <w:marBottom w:val="0"/>
      <w:divBdr>
        <w:top w:val="none" w:sz="0" w:space="0" w:color="auto"/>
        <w:left w:val="none" w:sz="0" w:space="0" w:color="auto"/>
        <w:bottom w:val="none" w:sz="0" w:space="0" w:color="auto"/>
        <w:right w:val="none" w:sz="0" w:space="0" w:color="auto"/>
      </w:divBdr>
    </w:div>
    <w:div w:id="160393937">
      <w:bodyDiv w:val="1"/>
      <w:marLeft w:val="0"/>
      <w:marRight w:val="0"/>
      <w:marTop w:val="0"/>
      <w:marBottom w:val="0"/>
      <w:divBdr>
        <w:top w:val="none" w:sz="0" w:space="0" w:color="auto"/>
        <w:left w:val="none" w:sz="0" w:space="0" w:color="auto"/>
        <w:bottom w:val="none" w:sz="0" w:space="0" w:color="auto"/>
        <w:right w:val="none" w:sz="0" w:space="0" w:color="auto"/>
      </w:divBdr>
    </w:div>
    <w:div w:id="163672817">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302347395">
      <w:bodyDiv w:val="1"/>
      <w:marLeft w:val="0"/>
      <w:marRight w:val="0"/>
      <w:marTop w:val="0"/>
      <w:marBottom w:val="0"/>
      <w:divBdr>
        <w:top w:val="none" w:sz="0" w:space="0" w:color="auto"/>
        <w:left w:val="none" w:sz="0" w:space="0" w:color="auto"/>
        <w:bottom w:val="none" w:sz="0" w:space="0" w:color="auto"/>
        <w:right w:val="none" w:sz="0" w:space="0" w:color="auto"/>
      </w:divBdr>
    </w:div>
    <w:div w:id="305820498">
      <w:bodyDiv w:val="1"/>
      <w:marLeft w:val="0"/>
      <w:marRight w:val="0"/>
      <w:marTop w:val="0"/>
      <w:marBottom w:val="0"/>
      <w:divBdr>
        <w:top w:val="none" w:sz="0" w:space="0" w:color="auto"/>
        <w:left w:val="none" w:sz="0" w:space="0" w:color="auto"/>
        <w:bottom w:val="none" w:sz="0" w:space="0" w:color="auto"/>
        <w:right w:val="none" w:sz="0" w:space="0" w:color="auto"/>
      </w:divBdr>
    </w:div>
    <w:div w:id="364451926">
      <w:bodyDiv w:val="1"/>
      <w:marLeft w:val="0"/>
      <w:marRight w:val="0"/>
      <w:marTop w:val="0"/>
      <w:marBottom w:val="0"/>
      <w:divBdr>
        <w:top w:val="none" w:sz="0" w:space="0" w:color="auto"/>
        <w:left w:val="none" w:sz="0" w:space="0" w:color="auto"/>
        <w:bottom w:val="none" w:sz="0" w:space="0" w:color="auto"/>
        <w:right w:val="none" w:sz="0" w:space="0" w:color="auto"/>
      </w:divBdr>
    </w:div>
    <w:div w:id="376126131">
      <w:bodyDiv w:val="1"/>
      <w:marLeft w:val="0"/>
      <w:marRight w:val="0"/>
      <w:marTop w:val="0"/>
      <w:marBottom w:val="0"/>
      <w:divBdr>
        <w:top w:val="none" w:sz="0" w:space="0" w:color="auto"/>
        <w:left w:val="none" w:sz="0" w:space="0" w:color="auto"/>
        <w:bottom w:val="none" w:sz="0" w:space="0" w:color="auto"/>
        <w:right w:val="none" w:sz="0" w:space="0" w:color="auto"/>
      </w:divBdr>
    </w:div>
    <w:div w:id="402029997">
      <w:bodyDiv w:val="1"/>
      <w:marLeft w:val="0"/>
      <w:marRight w:val="0"/>
      <w:marTop w:val="0"/>
      <w:marBottom w:val="0"/>
      <w:divBdr>
        <w:top w:val="none" w:sz="0" w:space="0" w:color="auto"/>
        <w:left w:val="none" w:sz="0" w:space="0" w:color="auto"/>
        <w:bottom w:val="none" w:sz="0" w:space="0" w:color="auto"/>
        <w:right w:val="none" w:sz="0" w:space="0" w:color="auto"/>
      </w:divBdr>
    </w:div>
    <w:div w:id="416825072">
      <w:bodyDiv w:val="1"/>
      <w:marLeft w:val="0"/>
      <w:marRight w:val="0"/>
      <w:marTop w:val="0"/>
      <w:marBottom w:val="0"/>
      <w:divBdr>
        <w:top w:val="none" w:sz="0" w:space="0" w:color="auto"/>
        <w:left w:val="none" w:sz="0" w:space="0" w:color="auto"/>
        <w:bottom w:val="none" w:sz="0" w:space="0" w:color="auto"/>
        <w:right w:val="none" w:sz="0" w:space="0" w:color="auto"/>
      </w:divBdr>
    </w:div>
    <w:div w:id="424573672">
      <w:bodyDiv w:val="1"/>
      <w:marLeft w:val="0"/>
      <w:marRight w:val="0"/>
      <w:marTop w:val="0"/>
      <w:marBottom w:val="0"/>
      <w:divBdr>
        <w:top w:val="none" w:sz="0" w:space="0" w:color="auto"/>
        <w:left w:val="none" w:sz="0" w:space="0" w:color="auto"/>
        <w:bottom w:val="none" w:sz="0" w:space="0" w:color="auto"/>
        <w:right w:val="none" w:sz="0" w:space="0" w:color="auto"/>
      </w:divBdr>
    </w:div>
    <w:div w:id="452602385">
      <w:bodyDiv w:val="1"/>
      <w:marLeft w:val="0"/>
      <w:marRight w:val="0"/>
      <w:marTop w:val="0"/>
      <w:marBottom w:val="0"/>
      <w:divBdr>
        <w:top w:val="none" w:sz="0" w:space="0" w:color="auto"/>
        <w:left w:val="none" w:sz="0" w:space="0" w:color="auto"/>
        <w:bottom w:val="none" w:sz="0" w:space="0" w:color="auto"/>
        <w:right w:val="none" w:sz="0" w:space="0" w:color="auto"/>
      </w:divBdr>
    </w:div>
    <w:div w:id="489174335">
      <w:bodyDiv w:val="1"/>
      <w:marLeft w:val="0"/>
      <w:marRight w:val="0"/>
      <w:marTop w:val="0"/>
      <w:marBottom w:val="0"/>
      <w:divBdr>
        <w:top w:val="none" w:sz="0" w:space="0" w:color="auto"/>
        <w:left w:val="none" w:sz="0" w:space="0" w:color="auto"/>
        <w:bottom w:val="none" w:sz="0" w:space="0" w:color="auto"/>
        <w:right w:val="none" w:sz="0" w:space="0" w:color="auto"/>
      </w:divBdr>
    </w:div>
    <w:div w:id="503281700">
      <w:bodyDiv w:val="1"/>
      <w:marLeft w:val="0"/>
      <w:marRight w:val="0"/>
      <w:marTop w:val="0"/>
      <w:marBottom w:val="0"/>
      <w:divBdr>
        <w:top w:val="none" w:sz="0" w:space="0" w:color="auto"/>
        <w:left w:val="none" w:sz="0" w:space="0" w:color="auto"/>
        <w:bottom w:val="none" w:sz="0" w:space="0" w:color="auto"/>
        <w:right w:val="none" w:sz="0" w:space="0" w:color="auto"/>
      </w:divBdr>
    </w:div>
    <w:div w:id="518157417">
      <w:bodyDiv w:val="1"/>
      <w:marLeft w:val="0"/>
      <w:marRight w:val="0"/>
      <w:marTop w:val="0"/>
      <w:marBottom w:val="0"/>
      <w:divBdr>
        <w:top w:val="none" w:sz="0" w:space="0" w:color="auto"/>
        <w:left w:val="none" w:sz="0" w:space="0" w:color="auto"/>
        <w:bottom w:val="none" w:sz="0" w:space="0" w:color="auto"/>
        <w:right w:val="none" w:sz="0" w:space="0" w:color="auto"/>
      </w:divBdr>
    </w:div>
    <w:div w:id="519391530">
      <w:bodyDiv w:val="1"/>
      <w:marLeft w:val="0"/>
      <w:marRight w:val="0"/>
      <w:marTop w:val="0"/>
      <w:marBottom w:val="0"/>
      <w:divBdr>
        <w:top w:val="none" w:sz="0" w:space="0" w:color="auto"/>
        <w:left w:val="none" w:sz="0" w:space="0" w:color="auto"/>
        <w:bottom w:val="none" w:sz="0" w:space="0" w:color="auto"/>
        <w:right w:val="none" w:sz="0" w:space="0" w:color="auto"/>
      </w:divBdr>
    </w:div>
    <w:div w:id="539099426">
      <w:bodyDiv w:val="1"/>
      <w:marLeft w:val="0"/>
      <w:marRight w:val="0"/>
      <w:marTop w:val="0"/>
      <w:marBottom w:val="0"/>
      <w:divBdr>
        <w:top w:val="none" w:sz="0" w:space="0" w:color="auto"/>
        <w:left w:val="none" w:sz="0" w:space="0" w:color="auto"/>
        <w:bottom w:val="none" w:sz="0" w:space="0" w:color="auto"/>
        <w:right w:val="none" w:sz="0" w:space="0" w:color="auto"/>
      </w:divBdr>
    </w:div>
    <w:div w:id="629097427">
      <w:bodyDiv w:val="1"/>
      <w:marLeft w:val="0"/>
      <w:marRight w:val="0"/>
      <w:marTop w:val="0"/>
      <w:marBottom w:val="0"/>
      <w:divBdr>
        <w:top w:val="none" w:sz="0" w:space="0" w:color="auto"/>
        <w:left w:val="none" w:sz="0" w:space="0" w:color="auto"/>
        <w:bottom w:val="none" w:sz="0" w:space="0" w:color="auto"/>
        <w:right w:val="none" w:sz="0" w:space="0" w:color="auto"/>
      </w:divBdr>
    </w:div>
    <w:div w:id="670644760">
      <w:bodyDiv w:val="1"/>
      <w:marLeft w:val="0"/>
      <w:marRight w:val="0"/>
      <w:marTop w:val="0"/>
      <w:marBottom w:val="0"/>
      <w:divBdr>
        <w:top w:val="none" w:sz="0" w:space="0" w:color="auto"/>
        <w:left w:val="none" w:sz="0" w:space="0" w:color="auto"/>
        <w:bottom w:val="none" w:sz="0" w:space="0" w:color="auto"/>
        <w:right w:val="none" w:sz="0" w:space="0" w:color="auto"/>
      </w:divBdr>
    </w:div>
    <w:div w:id="698044738">
      <w:bodyDiv w:val="1"/>
      <w:marLeft w:val="0"/>
      <w:marRight w:val="0"/>
      <w:marTop w:val="0"/>
      <w:marBottom w:val="0"/>
      <w:divBdr>
        <w:top w:val="none" w:sz="0" w:space="0" w:color="auto"/>
        <w:left w:val="none" w:sz="0" w:space="0" w:color="auto"/>
        <w:bottom w:val="none" w:sz="0" w:space="0" w:color="auto"/>
        <w:right w:val="none" w:sz="0" w:space="0" w:color="auto"/>
      </w:divBdr>
    </w:div>
    <w:div w:id="749501830">
      <w:bodyDiv w:val="1"/>
      <w:marLeft w:val="0"/>
      <w:marRight w:val="0"/>
      <w:marTop w:val="0"/>
      <w:marBottom w:val="0"/>
      <w:divBdr>
        <w:top w:val="none" w:sz="0" w:space="0" w:color="auto"/>
        <w:left w:val="none" w:sz="0" w:space="0" w:color="auto"/>
        <w:bottom w:val="none" w:sz="0" w:space="0" w:color="auto"/>
        <w:right w:val="none" w:sz="0" w:space="0" w:color="auto"/>
      </w:divBdr>
    </w:div>
    <w:div w:id="753086488">
      <w:bodyDiv w:val="1"/>
      <w:marLeft w:val="0"/>
      <w:marRight w:val="0"/>
      <w:marTop w:val="0"/>
      <w:marBottom w:val="0"/>
      <w:divBdr>
        <w:top w:val="none" w:sz="0" w:space="0" w:color="auto"/>
        <w:left w:val="none" w:sz="0" w:space="0" w:color="auto"/>
        <w:bottom w:val="none" w:sz="0" w:space="0" w:color="auto"/>
        <w:right w:val="none" w:sz="0" w:space="0" w:color="auto"/>
      </w:divBdr>
    </w:div>
    <w:div w:id="779224760">
      <w:bodyDiv w:val="1"/>
      <w:marLeft w:val="0"/>
      <w:marRight w:val="0"/>
      <w:marTop w:val="0"/>
      <w:marBottom w:val="0"/>
      <w:divBdr>
        <w:top w:val="none" w:sz="0" w:space="0" w:color="auto"/>
        <w:left w:val="none" w:sz="0" w:space="0" w:color="auto"/>
        <w:bottom w:val="none" w:sz="0" w:space="0" w:color="auto"/>
        <w:right w:val="none" w:sz="0" w:space="0" w:color="auto"/>
      </w:divBdr>
    </w:div>
    <w:div w:id="801457762">
      <w:bodyDiv w:val="1"/>
      <w:marLeft w:val="0"/>
      <w:marRight w:val="0"/>
      <w:marTop w:val="0"/>
      <w:marBottom w:val="0"/>
      <w:divBdr>
        <w:top w:val="none" w:sz="0" w:space="0" w:color="auto"/>
        <w:left w:val="none" w:sz="0" w:space="0" w:color="auto"/>
        <w:bottom w:val="none" w:sz="0" w:space="0" w:color="auto"/>
        <w:right w:val="none" w:sz="0" w:space="0" w:color="auto"/>
      </w:divBdr>
    </w:div>
    <w:div w:id="802044255">
      <w:bodyDiv w:val="1"/>
      <w:marLeft w:val="0"/>
      <w:marRight w:val="0"/>
      <w:marTop w:val="0"/>
      <w:marBottom w:val="0"/>
      <w:divBdr>
        <w:top w:val="none" w:sz="0" w:space="0" w:color="auto"/>
        <w:left w:val="none" w:sz="0" w:space="0" w:color="auto"/>
        <w:bottom w:val="none" w:sz="0" w:space="0" w:color="auto"/>
        <w:right w:val="none" w:sz="0" w:space="0" w:color="auto"/>
      </w:divBdr>
    </w:div>
    <w:div w:id="810051315">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836844008">
      <w:bodyDiv w:val="1"/>
      <w:marLeft w:val="0"/>
      <w:marRight w:val="0"/>
      <w:marTop w:val="0"/>
      <w:marBottom w:val="0"/>
      <w:divBdr>
        <w:top w:val="none" w:sz="0" w:space="0" w:color="auto"/>
        <w:left w:val="none" w:sz="0" w:space="0" w:color="auto"/>
        <w:bottom w:val="none" w:sz="0" w:space="0" w:color="auto"/>
        <w:right w:val="none" w:sz="0" w:space="0" w:color="auto"/>
      </w:divBdr>
    </w:div>
    <w:div w:id="896476942">
      <w:bodyDiv w:val="1"/>
      <w:marLeft w:val="0"/>
      <w:marRight w:val="0"/>
      <w:marTop w:val="0"/>
      <w:marBottom w:val="0"/>
      <w:divBdr>
        <w:top w:val="none" w:sz="0" w:space="0" w:color="auto"/>
        <w:left w:val="none" w:sz="0" w:space="0" w:color="auto"/>
        <w:bottom w:val="none" w:sz="0" w:space="0" w:color="auto"/>
        <w:right w:val="none" w:sz="0" w:space="0" w:color="auto"/>
      </w:divBdr>
    </w:div>
    <w:div w:id="916286816">
      <w:bodyDiv w:val="1"/>
      <w:marLeft w:val="0"/>
      <w:marRight w:val="0"/>
      <w:marTop w:val="0"/>
      <w:marBottom w:val="0"/>
      <w:divBdr>
        <w:top w:val="none" w:sz="0" w:space="0" w:color="auto"/>
        <w:left w:val="none" w:sz="0" w:space="0" w:color="auto"/>
        <w:bottom w:val="none" w:sz="0" w:space="0" w:color="auto"/>
        <w:right w:val="none" w:sz="0" w:space="0" w:color="auto"/>
      </w:divBdr>
    </w:div>
    <w:div w:id="952636525">
      <w:bodyDiv w:val="1"/>
      <w:marLeft w:val="0"/>
      <w:marRight w:val="0"/>
      <w:marTop w:val="0"/>
      <w:marBottom w:val="0"/>
      <w:divBdr>
        <w:top w:val="none" w:sz="0" w:space="0" w:color="auto"/>
        <w:left w:val="none" w:sz="0" w:space="0" w:color="auto"/>
        <w:bottom w:val="none" w:sz="0" w:space="0" w:color="auto"/>
        <w:right w:val="none" w:sz="0" w:space="0" w:color="auto"/>
      </w:divBdr>
    </w:div>
    <w:div w:id="1006902621">
      <w:bodyDiv w:val="1"/>
      <w:marLeft w:val="0"/>
      <w:marRight w:val="0"/>
      <w:marTop w:val="0"/>
      <w:marBottom w:val="0"/>
      <w:divBdr>
        <w:top w:val="none" w:sz="0" w:space="0" w:color="auto"/>
        <w:left w:val="none" w:sz="0" w:space="0" w:color="auto"/>
        <w:bottom w:val="none" w:sz="0" w:space="0" w:color="auto"/>
        <w:right w:val="none" w:sz="0" w:space="0" w:color="auto"/>
      </w:divBdr>
    </w:div>
    <w:div w:id="1013268742">
      <w:bodyDiv w:val="1"/>
      <w:marLeft w:val="0"/>
      <w:marRight w:val="0"/>
      <w:marTop w:val="0"/>
      <w:marBottom w:val="0"/>
      <w:divBdr>
        <w:top w:val="none" w:sz="0" w:space="0" w:color="auto"/>
        <w:left w:val="none" w:sz="0" w:space="0" w:color="auto"/>
        <w:bottom w:val="none" w:sz="0" w:space="0" w:color="auto"/>
        <w:right w:val="none" w:sz="0" w:space="0" w:color="auto"/>
      </w:divBdr>
    </w:div>
    <w:div w:id="1064835854">
      <w:bodyDiv w:val="1"/>
      <w:marLeft w:val="0"/>
      <w:marRight w:val="0"/>
      <w:marTop w:val="0"/>
      <w:marBottom w:val="0"/>
      <w:divBdr>
        <w:top w:val="none" w:sz="0" w:space="0" w:color="auto"/>
        <w:left w:val="none" w:sz="0" w:space="0" w:color="auto"/>
        <w:bottom w:val="none" w:sz="0" w:space="0" w:color="auto"/>
        <w:right w:val="none" w:sz="0" w:space="0" w:color="auto"/>
      </w:divBdr>
    </w:div>
    <w:div w:id="1101145096">
      <w:bodyDiv w:val="1"/>
      <w:marLeft w:val="0"/>
      <w:marRight w:val="0"/>
      <w:marTop w:val="0"/>
      <w:marBottom w:val="0"/>
      <w:divBdr>
        <w:top w:val="none" w:sz="0" w:space="0" w:color="auto"/>
        <w:left w:val="none" w:sz="0" w:space="0" w:color="auto"/>
        <w:bottom w:val="none" w:sz="0" w:space="0" w:color="auto"/>
        <w:right w:val="none" w:sz="0" w:space="0" w:color="auto"/>
      </w:divBdr>
    </w:div>
    <w:div w:id="1113867828">
      <w:bodyDiv w:val="1"/>
      <w:marLeft w:val="0"/>
      <w:marRight w:val="0"/>
      <w:marTop w:val="0"/>
      <w:marBottom w:val="0"/>
      <w:divBdr>
        <w:top w:val="none" w:sz="0" w:space="0" w:color="auto"/>
        <w:left w:val="none" w:sz="0" w:space="0" w:color="auto"/>
        <w:bottom w:val="none" w:sz="0" w:space="0" w:color="auto"/>
        <w:right w:val="none" w:sz="0" w:space="0" w:color="auto"/>
      </w:divBdr>
    </w:div>
    <w:div w:id="1191726817">
      <w:bodyDiv w:val="1"/>
      <w:marLeft w:val="0"/>
      <w:marRight w:val="0"/>
      <w:marTop w:val="0"/>
      <w:marBottom w:val="0"/>
      <w:divBdr>
        <w:top w:val="none" w:sz="0" w:space="0" w:color="auto"/>
        <w:left w:val="none" w:sz="0" w:space="0" w:color="auto"/>
        <w:bottom w:val="none" w:sz="0" w:space="0" w:color="auto"/>
        <w:right w:val="none" w:sz="0" w:space="0" w:color="auto"/>
      </w:divBdr>
    </w:div>
    <w:div w:id="1199781753">
      <w:bodyDiv w:val="1"/>
      <w:marLeft w:val="0"/>
      <w:marRight w:val="0"/>
      <w:marTop w:val="0"/>
      <w:marBottom w:val="0"/>
      <w:divBdr>
        <w:top w:val="none" w:sz="0" w:space="0" w:color="auto"/>
        <w:left w:val="none" w:sz="0" w:space="0" w:color="auto"/>
        <w:bottom w:val="none" w:sz="0" w:space="0" w:color="auto"/>
        <w:right w:val="none" w:sz="0" w:space="0" w:color="auto"/>
      </w:divBdr>
    </w:div>
    <w:div w:id="1230116921">
      <w:bodyDiv w:val="1"/>
      <w:marLeft w:val="0"/>
      <w:marRight w:val="0"/>
      <w:marTop w:val="0"/>
      <w:marBottom w:val="0"/>
      <w:divBdr>
        <w:top w:val="none" w:sz="0" w:space="0" w:color="auto"/>
        <w:left w:val="none" w:sz="0" w:space="0" w:color="auto"/>
        <w:bottom w:val="none" w:sz="0" w:space="0" w:color="auto"/>
        <w:right w:val="none" w:sz="0" w:space="0" w:color="auto"/>
      </w:divBdr>
    </w:div>
    <w:div w:id="1236549828">
      <w:bodyDiv w:val="1"/>
      <w:marLeft w:val="0"/>
      <w:marRight w:val="0"/>
      <w:marTop w:val="0"/>
      <w:marBottom w:val="0"/>
      <w:divBdr>
        <w:top w:val="none" w:sz="0" w:space="0" w:color="auto"/>
        <w:left w:val="none" w:sz="0" w:space="0" w:color="auto"/>
        <w:bottom w:val="none" w:sz="0" w:space="0" w:color="auto"/>
        <w:right w:val="none" w:sz="0" w:space="0" w:color="auto"/>
      </w:divBdr>
    </w:div>
    <w:div w:id="1243222318">
      <w:bodyDiv w:val="1"/>
      <w:marLeft w:val="0"/>
      <w:marRight w:val="0"/>
      <w:marTop w:val="0"/>
      <w:marBottom w:val="0"/>
      <w:divBdr>
        <w:top w:val="none" w:sz="0" w:space="0" w:color="auto"/>
        <w:left w:val="none" w:sz="0" w:space="0" w:color="auto"/>
        <w:bottom w:val="none" w:sz="0" w:space="0" w:color="auto"/>
        <w:right w:val="none" w:sz="0" w:space="0" w:color="auto"/>
      </w:divBdr>
    </w:div>
    <w:div w:id="1341276630">
      <w:bodyDiv w:val="1"/>
      <w:marLeft w:val="0"/>
      <w:marRight w:val="0"/>
      <w:marTop w:val="0"/>
      <w:marBottom w:val="0"/>
      <w:divBdr>
        <w:top w:val="none" w:sz="0" w:space="0" w:color="auto"/>
        <w:left w:val="none" w:sz="0" w:space="0" w:color="auto"/>
        <w:bottom w:val="none" w:sz="0" w:space="0" w:color="auto"/>
        <w:right w:val="none" w:sz="0" w:space="0" w:color="auto"/>
      </w:divBdr>
    </w:div>
    <w:div w:id="1342851125">
      <w:bodyDiv w:val="1"/>
      <w:marLeft w:val="0"/>
      <w:marRight w:val="0"/>
      <w:marTop w:val="0"/>
      <w:marBottom w:val="0"/>
      <w:divBdr>
        <w:top w:val="none" w:sz="0" w:space="0" w:color="auto"/>
        <w:left w:val="none" w:sz="0" w:space="0" w:color="auto"/>
        <w:bottom w:val="none" w:sz="0" w:space="0" w:color="auto"/>
        <w:right w:val="none" w:sz="0" w:space="0" w:color="auto"/>
      </w:divBdr>
    </w:div>
    <w:div w:id="1348873474">
      <w:bodyDiv w:val="1"/>
      <w:marLeft w:val="0"/>
      <w:marRight w:val="0"/>
      <w:marTop w:val="0"/>
      <w:marBottom w:val="0"/>
      <w:divBdr>
        <w:top w:val="none" w:sz="0" w:space="0" w:color="auto"/>
        <w:left w:val="none" w:sz="0" w:space="0" w:color="auto"/>
        <w:bottom w:val="none" w:sz="0" w:space="0" w:color="auto"/>
        <w:right w:val="none" w:sz="0" w:space="0" w:color="auto"/>
      </w:divBdr>
    </w:div>
    <w:div w:id="1370229968">
      <w:bodyDiv w:val="1"/>
      <w:marLeft w:val="0"/>
      <w:marRight w:val="0"/>
      <w:marTop w:val="0"/>
      <w:marBottom w:val="0"/>
      <w:divBdr>
        <w:top w:val="none" w:sz="0" w:space="0" w:color="auto"/>
        <w:left w:val="none" w:sz="0" w:space="0" w:color="auto"/>
        <w:bottom w:val="none" w:sz="0" w:space="0" w:color="auto"/>
        <w:right w:val="none" w:sz="0" w:space="0" w:color="auto"/>
      </w:divBdr>
    </w:div>
    <w:div w:id="1460342920">
      <w:bodyDiv w:val="1"/>
      <w:marLeft w:val="0"/>
      <w:marRight w:val="0"/>
      <w:marTop w:val="0"/>
      <w:marBottom w:val="0"/>
      <w:divBdr>
        <w:top w:val="none" w:sz="0" w:space="0" w:color="auto"/>
        <w:left w:val="none" w:sz="0" w:space="0" w:color="auto"/>
        <w:bottom w:val="none" w:sz="0" w:space="0" w:color="auto"/>
        <w:right w:val="none" w:sz="0" w:space="0" w:color="auto"/>
      </w:divBdr>
    </w:div>
    <w:div w:id="1461263121">
      <w:bodyDiv w:val="1"/>
      <w:marLeft w:val="0"/>
      <w:marRight w:val="0"/>
      <w:marTop w:val="0"/>
      <w:marBottom w:val="0"/>
      <w:divBdr>
        <w:top w:val="none" w:sz="0" w:space="0" w:color="auto"/>
        <w:left w:val="none" w:sz="0" w:space="0" w:color="auto"/>
        <w:bottom w:val="none" w:sz="0" w:space="0" w:color="auto"/>
        <w:right w:val="none" w:sz="0" w:space="0" w:color="auto"/>
      </w:divBdr>
    </w:div>
    <w:div w:id="1477794344">
      <w:bodyDiv w:val="1"/>
      <w:marLeft w:val="0"/>
      <w:marRight w:val="0"/>
      <w:marTop w:val="0"/>
      <w:marBottom w:val="0"/>
      <w:divBdr>
        <w:top w:val="none" w:sz="0" w:space="0" w:color="auto"/>
        <w:left w:val="none" w:sz="0" w:space="0" w:color="auto"/>
        <w:bottom w:val="none" w:sz="0" w:space="0" w:color="auto"/>
        <w:right w:val="none" w:sz="0" w:space="0" w:color="auto"/>
      </w:divBdr>
    </w:div>
    <w:div w:id="1493133443">
      <w:bodyDiv w:val="1"/>
      <w:marLeft w:val="0"/>
      <w:marRight w:val="0"/>
      <w:marTop w:val="0"/>
      <w:marBottom w:val="0"/>
      <w:divBdr>
        <w:top w:val="none" w:sz="0" w:space="0" w:color="auto"/>
        <w:left w:val="none" w:sz="0" w:space="0" w:color="auto"/>
        <w:bottom w:val="none" w:sz="0" w:space="0" w:color="auto"/>
        <w:right w:val="none" w:sz="0" w:space="0" w:color="auto"/>
      </w:divBdr>
    </w:div>
    <w:div w:id="1503660554">
      <w:bodyDiv w:val="1"/>
      <w:marLeft w:val="0"/>
      <w:marRight w:val="0"/>
      <w:marTop w:val="0"/>
      <w:marBottom w:val="0"/>
      <w:divBdr>
        <w:top w:val="none" w:sz="0" w:space="0" w:color="auto"/>
        <w:left w:val="none" w:sz="0" w:space="0" w:color="auto"/>
        <w:bottom w:val="none" w:sz="0" w:space="0" w:color="auto"/>
        <w:right w:val="none" w:sz="0" w:space="0" w:color="auto"/>
      </w:divBdr>
    </w:div>
    <w:div w:id="1514414548">
      <w:bodyDiv w:val="1"/>
      <w:marLeft w:val="0"/>
      <w:marRight w:val="0"/>
      <w:marTop w:val="0"/>
      <w:marBottom w:val="0"/>
      <w:divBdr>
        <w:top w:val="none" w:sz="0" w:space="0" w:color="auto"/>
        <w:left w:val="none" w:sz="0" w:space="0" w:color="auto"/>
        <w:bottom w:val="none" w:sz="0" w:space="0" w:color="auto"/>
        <w:right w:val="none" w:sz="0" w:space="0" w:color="auto"/>
      </w:divBdr>
    </w:div>
    <w:div w:id="1548182908">
      <w:bodyDiv w:val="1"/>
      <w:marLeft w:val="0"/>
      <w:marRight w:val="0"/>
      <w:marTop w:val="0"/>
      <w:marBottom w:val="0"/>
      <w:divBdr>
        <w:top w:val="none" w:sz="0" w:space="0" w:color="auto"/>
        <w:left w:val="none" w:sz="0" w:space="0" w:color="auto"/>
        <w:bottom w:val="none" w:sz="0" w:space="0" w:color="auto"/>
        <w:right w:val="none" w:sz="0" w:space="0" w:color="auto"/>
      </w:divBdr>
    </w:div>
    <w:div w:id="1557739273">
      <w:bodyDiv w:val="1"/>
      <w:marLeft w:val="0"/>
      <w:marRight w:val="0"/>
      <w:marTop w:val="0"/>
      <w:marBottom w:val="0"/>
      <w:divBdr>
        <w:top w:val="none" w:sz="0" w:space="0" w:color="auto"/>
        <w:left w:val="none" w:sz="0" w:space="0" w:color="auto"/>
        <w:bottom w:val="none" w:sz="0" w:space="0" w:color="auto"/>
        <w:right w:val="none" w:sz="0" w:space="0" w:color="auto"/>
      </w:divBdr>
    </w:div>
    <w:div w:id="1586382860">
      <w:bodyDiv w:val="1"/>
      <w:marLeft w:val="0"/>
      <w:marRight w:val="0"/>
      <w:marTop w:val="0"/>
      <w:marBottom w:val="0"/>
      <w:divBdr>
        <w:top w:val="none" w:sz="0" w:space="0" w:color="auto"/>
        <w:left w:val="none" w:sz="0" w:space="0" w:color="auto"/>
        <w:bottom w:val="none" w:sz="0" w:space="0" w:color="auto"/>
        <w:right w:val="none" w:sz="0" w:space="0" w:color="auto"/>
      </w:divBdr>
    </w:div>
    <w:div w:id="1588726499">
      <w:bodyDiv w:val="1"/>
      <w:marLeft w:val="0"/>
      <w:marRight w:val="0"/>
      <w:marTop w:val="0"/>
      <w:marBottom w:val="0"/>
      <w:divBdr>
        <w:top w:val="none" w:sz="0" w:space="0" w:color="auto"/>
        <w:left w:val="none" w:sz="0" w:space="0" w:color="auto"/>
        <w:bottom w:val="none" w:sz="0" w:space="0" w:color="auto"/>
        <w:right w:val="none" w:sz="0" w:space="0" w:color="auto"/>
      </w:divBdr>
    </w:div>
    <w:div w:id="1598563087">
      <w:bodyDiv w:val="1"/>
      <w:marLeft w:val="0"/>
      <w:marRight w:val="0"/>
      <w:marTop w:val="0"/>
      <w:marBottom w:val="0"/>
      <w:divBdr>
        <w:top w:val="none" w:sz="0" w:space="0" w:color="auto"/>
        <w:left w:val="none" w:sz="0" w:space="0" w:color="auto"/>
        <w:bottom w:val="none" w:sz="0" w:space="0" w:color="auto"/>
        <w:right w:val="none" w:sz="0" w:space="0" w:color="auto"/>
      </w:divBdr>
    </w:div>
    <w:div w:id="1716388782">
      <w:bodyDiv w:val="1"/>
      <w:marLeft w:val="0"/>
      <w:marRight w:val="0"/>
      <w:marTop w:val="0"/>
      <w:marBottom w:val="0"/>
      <w:divBdr>
        <w:top w:val="none" w:sz="0" w:space="0" w:color="auto"/>
        <w:left w:val="none" w:sz="0" w:space="0" w:color="auto"/>
        <w:bottom w:val="none" w:sz="0" w:space="0" w:color="auto"/>
        <w:right w:val="none" w:sz="0" w:space="0" w:color="auto"/>
      </w:divBdr>
    </w:div>
    <w:div w:id="1798833656">
      <w:bodyDiv w:val="1"/>
      <w:marLeft w:val="0"/>
      <w:marRight w:val="0"/>
      <w:marTop w:val="0"/>
      <w:marBottom w:val="0"/>
      <w:divBdr>
        <w:top w:val="none" w:sz="0" w:space="0" w:color="auto"/>
        <w:left w:val="none" w:sz="0" w:space="0" w:color="auto"/>
        <w:bottom w:val="none" w:sz="0" w:space="0" w:color="auto"/>
        <w:right w:val="none" w:sz="0" w:space="0" w:color="auto"/>
      </w:divBdr>
    </w:div>
    <w:div w:id="1800302321">
      <w:bodyDiv w:val="1"/>
      <w:marLeft w:val="0"/>
      <w:marRight w:val="0"/>
      <w:marTop w:val="0"/>
      <w:marBottom w:val="0"/>
      <w:divBdr>
        <w:top w:val="none" w:sz="0" w:space="0" w:color="auto"/>
        <w:left w:val="none" w:sz="0" w:space="0" w:color="auto"/>
        <w:bottom w:val="none" w:sz="0" w:space="0" w:color="auto"/>
        <w:right w:val="none" w:sz="0" w:space="0" w:color="auto"/>
      </w:divBdr>
    </w:div>
    <w:div w:id="1804469767">
      <w:bodyDiv w:val="1"/>
      <w:marLeft w:val="0"/>
      <w:marRight w:val="0"/>
      <w:marTop w:val="0"/>
      <w:marBottom w:val="0"/>
      <w:divBdr>
        <w:top w:val="none" w:sz="0" w:space="0" w:color="auto"/>
        <w:left w:val="none" w:sz="0" w:space="0" w:color="auto"/>
        <w:bottom w:val="none" w:sz="0" w:space="0" w:color="auto"/>
        <w:right w:val="none" w:sz="0" w:space="0" w:color="auto"/>
      </w:divBdr>
    </w:div>
    <w:div w:id="1865904129">
      <w:bodyDiv w:val="1"/>
      <w:marLeft w:val="0"/>
      <w:marRight w:val="0"/>
      <w:marTop w:val="0"/>
      <w:marBottom w:val="0"/>
      <w:divBdr>
        <w:top w:val="none" w:sz="0" w:space="0" w:color="auto"/>
        <w:left w:val="none" w:sz="0" w:space="0" w:color="auto"/>
        <w:bottom w:val="none" w:sz="0" w:space="0" w:color="auto"/>
        <w:right w:val="none" w:sz="0" w:space="0" w:color="auto"/>
      </w:divBdr>
      <w:divsChild>
        <w:div w:id="2072655325">
          <w:marLeft w:val="0"/>
          <w:marRight w:val="0"/>
          <w:marTop w:val="0"/>
          <w:marBottom w:val="0"/>
          <w:divBdr>
            <w:top w:val="none" w:sz="0" w:space="0" w:color="auto"/>
            <w:left w:val="none" w:sz="0" w:space="0" w:color="auto"/>
            <w:bottom w:val="none" w:sz="0" w:space="0" w:color="auto"/>
            <w:right w:val="none" w:sz="0" w:space="0" w:color="auto"/>
          </w:divBdr>
          <w:divsChild>
            <w:div w:id="229855534">
              <w:marLeft w:val="0"/>
              <w:marRight w:val="0"/>
              <w:marTop w:val="0"/>
              <w:marBottom w:val="0"/>
              <w:divBdr>
                <w:top w:val="none" w:sz="0" w:space="0" w:color="auto"/>
                <w:left w:val="none" w:sz="0" w:space="0" w:color="auto"/>
                <w:bottom w:val="none" w:sz="0" w:space="0" w:color="auto"/>
                <w:right w:val="none" w:sz="0" w:space="0" w:color="auto"/>
              </w:divBdr>
              <w:divsChild>
                <w:div w:id="24839185">
                  <w:marLeft w:val="0"/>
                  <w:marRight w:val="0"/>
                  <w:marTop w:val="0"/>
                  <w:marBottom w:val="0"/>
                  <w:divBdr>
                    <w:top w:val="none" w:sz="0" w:space="0" w:color="auto"/>
                    <w:left w:val="none" w:sz="0" w:space="0" w:color="auto"/>
                    <w:bottom w:val="none" w:sz="0" w:space="0" w:color="auto"/>
                    <w:right w:val="none" w:sz="0" w:space="0" w:color="auto"/>
                  </w:divBdr>
                  <w:divsChild>
                    <w:div w:id="1004015647">
                      <w:marLeft w:val="0"/>
                      <w:marRight w:val="0"/>
                      <w:marTop w:val="0"/>
                      <w:marBottom w:val="0"/>
                      <w:divBdr>
                        <w:top w:val="none" w:sz="0" w:space="0" w:color="auto"/>
                        <w:left w:val="none" w:sz="0" w:space="0" w:color="auto"/>
                        <w:bottom w:val="none" w:sz="0" w:space="0" w:color="auto"/>
                        <w:right w:val="none" w:sz="0" w:space="0" w:color="auto"/>
                      </w:divBdr>
                      <w:divsChild>
                        <w:div w:id="7816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682770">
      <w:bodyDiv w:val="1"/>
      <w:marLeft w:val="0"/>
      <w:marRight w:val="0"/>
      <w:marTop w:val="0"/>
      <w:marBottom w:val="0"/>
      <w:divBdr>
        <w:top w:val="none" w:sz="0" w:space="0" w:color="auto"/>
        <w:left w:val="none" w:sz="0" w:space="0" w:color="auto"/>
        <w:bottom w:val="none" w:sz="0" w:space="0" w:color="auto"/>
        <w:right w:val="none" w:sz="0" w:space="0" w:color="auto"/>
      </w:divBdr>
    </w:div>
    <w:div w:id="1975327731">
      <w:bodyDiv w:val="1"/>
      <w:marLeft w:val="0"/>
      <w:marRight w:val="0"/>
      <w:marTop w:val="0"/>
      <w:marBottom w:val="0"/>
      <w:divBdr>
        <w:top w:val="none" w:sz="0" w:space="0" w:color="auto"/>
        <w:left w:val="none" w:sz="0" w:space="0" w:color="auto"/>
        <w:bottom w:val="none" w:sz="0" w:space="0" w:color="auto"/>
        <w:right w:val="none" w:sz="0" w:space="0" w:color="auto"/>
      </w:divBdr>
    </w:div>
    <w:div w:id="197822079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31908880">
      <w:bodyDiv w:val="1"/>
      <w:marLeft w:val="0"/>
      <w:marRight w:val="0"/>
      <w:marTop w:val="0"/>
      <w:marBottom w:val="0"/>
      <w:divBdr>
        <w:top w:val="none" w:sz="0" w:space="0" w:color="auto"/>
        <w:left w:val="none" w:sz="0" w:space="0" w:color="auto"/>
        <w:bottom w:val="none" w:sz="0" w:space="0" w:color="auto"/>
        <w:right w:val="none" w:sz="0" w:space="0" w:color="auto"/>
      </w:divBdr>
    </w:div>
    <w:div w:id="2032338982">
      <w:bodyDiv w:val="1"/>
      <w:marLeft w:val="0"/>
      <w:marRight w:val="0"/>
      <w:marTop w:val="0"/>
      <w:marBottom w:val="0"/>
      <w:divBdr>
        <w:top w:val="none" w:sz="0" w:space="0" w:color="auto"/>
        <w:left w:val="none" w:sz="0" w:space="0" w:color="auto"/>
        <w:bottom w:val="none" w:sz="0" w:space="0" w:color="auto"/>
        <w:right w:val="none" w:sz="0" w:space="0" w:color="auto"/>
      </w:divBdr>
    </w:div>
    <w:div w:id="2033918934">
      <w:bodyDiv w:val="1"/>
      <w:marLeft w:val="0"/>
      <w:marRight w:val="0"/>
      <w:marTop w:val="0"/>
      <w:marBottom w:val="0"/>
      <w:divBdr>
        <w:top w:val="none" w:sz="0" w:space="0" w:color="auto"/>
        <w:left w:val="none" w:sz="0" w:space="0" w:color="auto"/>
        <w:bottom w:val="none" w:sz="0" w:space="0" w:color="auto"/>
        <w:right w:val="none" w:sz="0" w:space="0" w:color="auto"/>
      </w:divBdr>
    </w:div>
    <w:div w:id="2052681365">
      <w:bodyDiv w:val="1"/>
      <w:marLeft w:val="0"/>
      <w:marRight w:val="0"/>
      <w:marTop w:val="0"/>
      <w:marBottom w:val="0"/>
      <w:divBdr>
        <w:top w:val="none" w:sz="0" w:space="0" w:color="auto"/>
        <w:left w:val="none" w:sz="0" w:space="0" w:color="auto"/>
        <w:bottom w:val="none" w:sz="0" w:space="0" w:color="auto"/>
        <w:right w:val="none" w:sz="0" w:space="0" w:color="auto"/>
      </w:divBdr>
    </w:div>
    <w:div w:id="2062508887">
      <w:bodyDiv w:val="1"/>
      <w:marLeft w:val="0"/>
      <w:marRight w:val="0"/>
      <w:marTop w:val="0"/>
      <w:marBottom w:val="0"/>
      <w:divBdr>
        <w:top w:val="none" w:sz="0" w:space="0" w:color="auto"/>
        <w:left w:val="none" w:sz="0" w:space="0" w:color="auto"/>
        <w:bottom w:val="none" w:sz="0" w:space="0" w:color="auto"/>
        <w:right w:val="none" w:sz="0" w:space="0" w:color="auto"/>
      </w:divBdr>
    </w:div>
    <w:div w:id="2117284750">
      <w:bodyDiv w:val="1"/>
      <w:marLeft w:val="0"/>
      <w:marRight w:val="0"/>
      <w:marTop w:val="0"/>
      <w:marBottom w:val="0"/>
      <w:divBdr>
        <w:top w:val="none" w:sz="0" w:space="0" w:color="auto"/>
        <w:left w:val="none" w:sz="0" w:space="0" w:color="auto"/>
        <w:bottom w:val="none" w:sz="0" w:space="0" w:color="auto"/>
        <w:right w:val="none" w:sz="0" w:space="0" w:color="auto"/>
      </w:divBdr>
    </w:div>
    <w:div w:id="2118940656">
      <w:bodyDiv w:val="1"/>
      <w:marLeft w:val="0"/>
      <w:marRight w:val="0"/>
      <w:marTop w:val="0"/>
      <w:marBottom w:val="0"/>
      <w:divBdr>
        <w:top w:val="none" w:sz="0" w:space="0" w:color="auto"/>
        <w:left w:val="none" w:sz="0" w:space="0" w:color="auto"/>
        <w:bottom w:val="none" w:sz="0" w:space="0" w:color="auto"/>
        <w:right w:val="none" w:sz="0" w:space="0" w:color="auto"/>
      </w:divBdr>
    </w:div>
    <w:div w:id="2122138493">
      <w:bodyDiv w:val="1"/>
      <w:marLeft w:val="0"/>
      <w:marRight w:val="0"/>
      <w:marTop w:val="0"/>
      <w:marBottom w:val="0"/>
      <w:divBdr>
        <w:top w:val="none" w:sz="0" w:space="0" w:color="auto"/>
        <w:left w:val="none" w:sz="0" w:space="0" w:color="auto"/>
        <w:bottom w:val="none" w:sz="0" w:space="0" w:color="auto"/>
        <w:right w:val="none" w:sz="0" w:space="0" w:color="auto"/>
      </w:divBdr>
    </w:div>
    <w:div w:id="214611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uci.Longoria@state.or.us"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cphss.wustl.edu/Products/Documents/CPHSS_TCLC_2014_PointofSaleStrategies1.pdf" TargetMode="External"/><Relationship Id="rId10" Type="http://schemas.openxmlformats.org/officeDocument/2006/relationships/hyperlink" Target="mailto:Shira.R.Pope@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07AB4-AF77-6E4C-A978-DF783449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1455</Words>
  <Characters>8299</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Freewynn Sabrina L</dc:creator>
  <cp:lastModifiedBy>Erin Mowlds</cp:lastModifiedBy>
  <cp:revision>2</cp:revision>
  <cp:lastPrinted>2014-09-03T23:16:00Z</cp:lastPrinted>
  <dcterms:created xsi:type="dcterms:W3CDTF">2015-02-04T18:53:00Z</dcterms:created>
  <dcterms:modified xsi:type="dcterms:W3CDTF">2015-02-04T18:53:00Z</dcterms:modified>
</cp:coreProperties>
</file>