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260D8" w14:textId="77777777" w:rsidR="009B54A7" w:rsidRPr="00C6494F" w:rsidRDefault="00DC4E04" w:rsidP="00544ACA">
      <w:pPr>
        <w:jc w:val="center"/>
        <w:rPr>
          <w:rFonts w:asciiTheme="majorHAnsi" w:hAnsiTheme="majorHAnsi"/>
          <w:sz w:val="24"/>
          <w:szCs w:val="24"/>
        </w:rPr>
      </w:pPr>
      <w:r w:rsidRPr="00C6494F">
        <w:rPr>
          <w:rFonts w:asciiTheme="majorHAnsi" w:hAnsiTheme="majorHAnsi"/>
          <w:sz w:val="24"/>
          <w:szCs w:val="24"/>
        </w:rPr>
        <w:t xml:space="preserve">CLHO </w:t>
      </w:r>
      <w:r w:rsidR="00ED2BFA" w:rsidRPr="00C6494F">
        <w:rPr>
          <w:rFonts w:asciiTheme="majorHAnsi" w:hAnsiTheme="majorHAnsi"/>
          <w:sz w:val="24"/>
          <w:szCs w:val="24"/>
        </w:rPr>
        <w:t xml:space="preserve">Healthy Communities </w:t>
      </w:r>
      <w:r w:rsidRPr="00C6494F">
        <w:rPr>
          <w:rFonts w:asciiTheme="majorHAnsi" w:hAnsiTheme="majorHAnsi"/>
          <w:sz w:val="24"/>
          <w:szCs w:val="24"/>
        </w:rPr>
        <w:t xml:space="preserve">Committee Meeting </w:t>
      </w:r>
    </w:p>
    <w:p w14:paraId="306A220D" w14:textId="77777777" w:rsidR="009B54A7" w:rsidRPr="00C6494F" w:rsidRDefault="00DC4E04" w:rsidP="00A764F2">
      <w:pPr>
        <w:jc w:val="center"/>
        <w:rPr>
          <w:rFonts w:asciiTheme="majorHAnsi" w:hAnsiTheme="majorHAnsi"/>
          <w:sz w:val="24"/>
          <w:szCs w:val="24"/>
        </w:rPr>
      </w:pPr>
      <w:r w:rsidRPr="00C6494F">
        <w:rPr>
          <w:rFonts w:asciiTheme="majorHAnsi" w:hAnsiTheme="majorHAnsi"/>
          <w:sz w:val="24"/>
          <w:szCs w:val="24"/>
        </w:rPr>
        <w:t>Date</w:t>
      </w:r>
      <w:r w:rsidR="00ED2BFA" w:rsidRPr="00C6494F">
        <w:rPr>
          <w:rFonts w:asciiTheme="majorHAnsi" w:hAnsiTheme="majorHAnsi"/>
          <w:sz w:val="24"/>
          <w:szCs w:val="24"/>
        </w:rPr>
        <w:t xml:space="preserve">:  Thursday, </w:t>
      </w:r>
      <w:r w:rsidR="0057519F" w:rsidRPr="00C6494F">
        <w:rPr>
          <w:rFonts w:asciiTheme="majorHAnsi" w:hAnsiTheme="majorHAnsi"/>
          <w:sz w:val="24"/>
          <w:szCs w:val="24"/>
        </w:rPr>
        <w:t>March 3</w:t>
      </w:r>
      <w:r w:rsidR="000F7335" w:rsidRPr="00C6494F">
        <w:rPr>
          <w:rFonts w:asciiTheme="majorHAnsi" w:hAnsiTheme="majorHAnsi"/>
          <w:sz w:val="24"/>
          <w:szCs w:val="24"/>
        </w:rPr>
        <w:t>, 2015</w:t>
      </w:r>
    </w:p>
    <w:p w14:paraId="72A90F8E" w14:textId="36D67588" w:rsidR="00ED2BFA" w:rsidRPr="00C6494F" w:rsidRDefault="00D157B7" w:rsidP="00A764F2">
      <w:pPr>
        <w:jc w:val="center"/>
        <w:rPr>
          <w:rFonts w:asciiTheme="majorHAnsi" w:hAnsiTheme="majorHAnsi"/>
          <w:sz w:val="24"/>
          <w:szCs w:val="24"/>
        </w:rPr>
      </w:pPr>
      <w:r w:rsidRPr="00C6494F">
        <w:rPr>
          <w:rFonts w:asciiTheme="majorHAnsi" w:hAnsiTheme="majorHAnsi"/>
          <w:sz w:val="24"/>
          <w:szCs w:val="24"/>
        </w:rPr>
        <w:t>1:30 – 3:</w:t>
      </w:r>
      <w:r w:rsidR="00AF0B95">
        <w:rPr>
          <w:rFonts w:asciiTheme="majorHAnsi" w:hAnsiTheme="majorHAnsi"/>
          <w:sz w:val="24"/>
          <w:szCs w:val="24"/>
        </w:rPr>
        <w:t>00</w:t>
      </w:r>
      <w:r w:rsidR="00AF0B95" w:rsidRPr="00C6494F">
        <w:rPr>
          <w:rFonts w:asciiTheme="majorHAnsi" w:hAnsiTheme="majorHAnsi"/>
          <w:sz w:val="24"/>
          <w:szCs w:val="24"/>
        </w:rPr>
        <w:t xml:space="preserve"> </w:t>
      </w:r>
      <w:r w:rsidR="00ED2BFA" w:rsidRPr="00C6494F">
        <w:rPr>
          <w:rFonts w:asciiTheme="majorHAnsi" w:hAnsiTheme="majorHAnsi"/>
          <w:sz w:val="24"/>
          <w:szCs w:val="24"/>
        </w:rPr>
        <w:t>pm</w:t>
      </w:r>
    </w:p>
    <w:p w14:paraId="5AC6BBB0" w14:textId="77777777" w:rsidR="00576C4D" w:rsidRPr="00C6494F" w:rsidRDefault="00576C4D" w:rsidP="00A764F2">
      <w:pPr>
        <w:jc w:val="center"/>
        <w:rPr>
          <w:rFonts w:asciiTheme="majorHAnsi" w:hAnsiTheme="majorHAnsi"/>
          <w:sz w:val="24"/>
          <w:szCs w:val="24"/>
        </w:rPr>
      </w:pPr>
      <w:r w:rsidRPr="00C6494F">
        <w:rPr>
          <w:rFonts w:asciiTheme="majorHAnsi" w:hAnsiTheme="majorHAnsi"/>
          <w:sz w:val="24"/>
          <w:szCs w:val="24"/>
        </w:rPr>
        <w:t xml:space="preserve">PSOB Room </w:t>
      </w:r>
      <w:r w:rsidR="000F7335" w:rsidRPr="00C6494F">
        <w:rPr>
          <w:rFonts w:asciiTheme="majorHAnsi" w:hAnsiTheme="majorHAnsi"/>
          <w:sz w:val="24"/>
          <w:szCs w:val="24"/>
        </w:rPr>
        <w:t>705-C</w:t>
      </w:r>
      <w:r w:rsidRPr="00C6494F">
        <w:rPr>
          <w:rFonts w:asciiTheme="majorHAnsi" w:hAnsiTheme="majorHAnsi"/>
          <w:sz w:val="24"/>
          <w:szCs w:val="24"/>
        </w:rPr>
        <w:t xml:space="preserve"> or </w:t>
      </w:r>
      <w:r w:rsidR="00923DB2" w:rsidRPr="00C6494F">
        <w:rPr>
          <w:rFonts w:asciiTheme="majorHAnsi" w:hAnsiTheme="majorHAnsi"/>
          <w:sz w:val="24"/>
          <w:szCs w:val="24"/>
        </w:rPr>
        <w:t>by</w:t>
      </w:r>
    </w:p>
    <w:p w14:paraId="151B2795" w14:textId="77777777" w:rsidR="008B441B" w:rsidRPr="00C6494F" w:rsidRDefault="00923DB2" w:rsidP="00576C4D">
      <w:pPr>
        <w:jc w:val="center"/>
        <w:rPr>
          <w:rFonts w:asciiTheme="majorHAnsi" w:hAnsiTheme="majorHAnsi" w:cstheme="minorHAnsi"/>
          <w:sz w:val="24"/>
          <w:szCs w:val="24"/>
        </w:rPr>
      </w:pPr>
      <w:r w:rsidRPr="00C6494F">
        <w:rPr>
          <w:rFonts w:asciiTheme="majorHAnsi" w:hAnsiTheme="majorHAnsi" w:cstheme="minorHAnsi"/>
          <w:sz w:val="24"/>
          <w:szCs w:val="24"/>
        </w:rPr>
        <w:t>Conference call number:</w:t>
      </w:r>
    </w:p>
    <w:p w14:paraId="4DCA2E09" w14:textId="77777777" w:rsidR="00576C4D" w:rsidRPr="00C6494F" w:rsidRDefault="008B441B" w:rsidP="00576C4D">
      <w:pPr>
        <w:jc w:val="center"/>
        <w:rPr>
          <w:rFonts w:asciiTheme="majorHAnsi" w:hAnsiTheme="majorHAnsi" w:cstheme="minorHAnsi"/>
          <w:sz w:val="24"/>
          <w:szCs w:val="24"/>
        </w:rPr>
      </w:pPr>
      <w:r w:rsidRPr="00C6494F">
        <w:rPr>
          <w:rFonts w:asciiTheme="majorHAnsi" w:hAnsiTheme="majorHAnsi" w:cstheme="minorHAnsi"/>
          <w:sz w:val="24"/>
          <w:szCs w:val="24"/>
        </w:rPr>
        <w:t>Dial: (888) 363-4735</w:t>
      </w:r>
    </w:p>
    <w:p w14:paraId="6054DDDE" w14:textId="77777777" w:rsidR="00576C4D" w:rsidRPr="00C6494F" w:rsidRDefault="008B441B" w:rsidP="00576C4D">
      <w:pPr>
        <w:jc w:val="center"/>
        <w:rPr>
          <w:rFonts w:asciiTheme="majorHAnsi" w:hAnsiTheme="majorHAnsi" w:cstheme="minorHAnsi"/>
          <w:sz w:val="24"/>
          <w:szCs w:val="24"/>
        </w:rPr>
      </w:pPr>
      <w:r w:rsidRPr="00C6494F">
        <w:rPr>
          <w:rFonts w:asciiTheme="majorHAnsi" w:hAnsiTheme="majorHAnsi" w:cstheme="minorHAnsi"/>
          <w:sz w:val="24"/>
          <w:szCs w:val="24"/>
        </w:rPr>
        <w:t>Participant: 868346</w:t>
      </w:r>
    </w:p>
    <w:p w14:paraId="32D07C3E" w14:textId="77777777" w:rsidR="00B12572" w:rsidRPr="00C6494F" w:rsidRDefault="008B441B" w:rsidP="00B12572">
      <w:pPr>
        <w:jc w:val="center"/>
        <w:rPr>
          <w:rFonts w:asciiTheme="majorHAnsi" w:hAnsiTheme="majorHAnsi" w:cstheme="minorHAnsi"/>
          <w:sz w:val="24"/>
          <w:szCs w:val="24"/>
        </w:rPr>
      </w:pPr>
      <w:r w:rsidRPr="00C6494F">
        <w:rPr>
          <w:rFonts w:asciiTheme="majorHAnsi" w:hAnsiTheme="majorHAnsi" w:cstheme="minorHAnsi"/>
          <w:sz w:val="24"/>
          <w:szCs w:val="24"/>
        </w:rPr>
        <w:t>Host: (Portland): 862516</w:t>
      </w:r>
    </w:p>
    <w:p w14:paraId="033B3443" w14:textId="77777777" w:rsidR="009B54A7" w:rsidRPr="00C6494F" w:rsidRDefault="009B54A7" w:rsidP="00A764F2">
      <w:pPr>
        <w:jc w:val="center"/>
        <w:rPr>
          <w:rFonts w:asciiTheme="majorHAnsi" w:hAnsiTheme="majorHAnsi"/>
          <w:sz w:val="24"/>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
        <w:gridCol w:w="2430"/>
        <w:gridCol w:w="3870"/>
        <w:gridCol w:w="6750"/>
        <w:gridCol w:w="1530"/>
        <w:gridCol w:w="18"/>
      </w:tblGrid>
      <w:tr w:rsidR="00C6494F" w:rsidRPr="00C6494F" w14:paraId="5EB2B135" w14:textId="77777777" w:rsidTr="0057519F">
        <w:tc>
          <w:tcPr>
            <w:tcW w:w="14616" w:type="dxa"/>
            <w:gridSpan w:val="6"/>
          </w:tcPr>
          <w:p w14:paraId="1150AABC" w14:textId="77777777" w:rsidR="009B54A7" w:rsidRPr="00C6494F" w:rsidRDefault="00752C74" w:rsidP="00BD7F91">
            <w:pPr>
              <w:jc w:val="center"/>
              <w:rPr>
                <w:rFonts w:asciiTheme="majorHAnsi" w:hAnsiTheme="majorHAnsi"/>
                <w:sz w:val="24"/>
                <w:szCs w:val="24"/>
              </w:rPr>
            </w:pPr>
            <w:r w:rsidRPr="00C6494F">
              <w:rPr>
                <w:rFonts w:asciiTheme="majorHAnsi" w:hAnsiTheme="majorHAnsi"/>
                <w:sz w:val="24"/>
                <w:szCs w:val="24"/>
              </w:rPr>
              <w:t>Agenda</w:t>
            </w:r>
          </w:p>
        </w:tc>
      </w:tr>
      <w:tr w:rsidR="00C6494F" w:rsidRPr="00C6494F" w14:paraId="27493E52" w14:textId="77777777" w:rsidTr="00D76C5E">
        <w:trPr>
          <w:trHeight w:val="170"/>
        </w:trPr>
        <w:tc>
          <w:tcPr>
            <w:tcW w:w="2448" w:type="dxa"/>
            <w:gridSpan w:val="2"/>
          </w:tcPr>
          <w:p w14:paraId="084536F8" w14:textId="77777777" w:rsidR="009B54A7" w:rsidRPr="00C6494F" w:rsidRDefault="009B54A7" w:rsidP="00BD7F91">
            <w:pPr>
              <w:jc w:val="center"/>
              <w:rPr>
                <w:rFonts w:asciiTheme="majorHAnsi" w:hAnsiTheme="majorHAnsi"/>
                <w:sz w:val="24"/>
                <w:szCs w:val="24"/>
              </w:rPr>
            </w:pPr>
            <w:r w:rsidRPr="00C6494F">
              <w:rPr>
                <w:rFonts w:asciiTheme="majorHAnsi" w:hAnsiTheme="majorHAnsi"/>
                <w:sz w:val="24"/>
                <w:szCs w:val="24"/>
              </w:rPr>
              <w:t>Agenda Item</w:t>
            </w:r>
          </w:p>
        </w:tc>
        <w:tc>
          <w:tcPr>
            <w:tcW w:w="3870" w:type="dxa"/>
          </w:tcPr>
          <w:p w14:paraId="625A6D1B" w14:textId="77777777" w:rsidR="009B54A7" w:rsidRPr="00C6494F" w:rsidRDefault="009B54A7" w:rsidP="00BD7F91">
            <w:pPr>
              <w:jc w:val="center"/>
              <w:rPr>
                <w:rFonts w:asciiTheme="majorHAnsi" w:hAnsiTheme="majorHAnsi"/>
                <w:sz w:val="24"/>
                <w:szCs w:val="24"/>
              </w:rPr>
            </w:pPr>
            <w:r w:rsidRPr="00C6494F">
              <w:rPr>
                <w:rFonts w:asciiTheme="majorHAnsi" w:hAnsiTheme="majorHAnsi"/>
                <w:sz w:val="24"/>
                <w:szCs w:val="24"/>
              </w:rPr>
              <w:t>Detail</w:t>
            </w:r>
          </w:p>
        </w:tc>
        <w:tc>
          <w:tcPr>
            <w:tcW w:w="6750" w:type="dxa"/>
          </w:tcPr>
          <w:p w14:paraId="42189AAC" w14:textId="77777777" w:rsidR="009B54A7" w:rsidRPr="00C6494F" w:rsidRDefault="009B54A7" w:rsidP="00BD7F91">
            <w:pPr>
              <w:jc w:val="center"/>
              <w:rPr>
                <w:rFonts w:asciiTheme="majorHAnsi" w:hAnsiTheme="majorHAnsi"/>
                <w:sz w:val="24"/>
                <w:szCs w:val="24"/>
              </w:rPr>
            </w:pPr>
            <w:r w:rsidRPr="00C6494F">
              <w:rPr>
                <w:rFonts w:asciiTheme="majorHAnsi" w:hAnsiTheme="majorHAnsi"/>
                <w:sz w:val="24"/>
                <w:szCs w:val="24"/>
              </w:rPr>
              <w:t>Action Item</w:t>
            </w:r>
          </w:p>
        </w:tc>
        <w:tc>
          <w:tcPr>
            <w:tcW w:w="1548" w:type="dxa"/>
            <w:gridSpan w:val="2"/>
          </w:tcPr>
          <w:p w14:paraId="44F2879C" w14:textId="77777777" w:rsidR="009B54A7" w:rsidRPr="00C6494F" w:rsidRDefault="009B54A7" w:rsidP="00BD7F91">
            <w:pPr>
              <w:jc w:val="center"/>
              <w:rPr>
                <w:rFonts w:asciiTheme="majorHAnsi" w:hAnsiTheme="majorHAnsi"/>
                <w:sz w:val="24"/>
                <w:szCs w:val="24"/>
              </w:rPr>
            </w:pPr>
            <w:r w:rsidRPr="00C6494F">
              <w:rPr>
                <w:rFonts w:asciiTheme="majorHAnsi" w:hAnsiTheme="majorHAnsi"/>
                <w:sz w:val="24"/>
                <w:szCs w:val="24"/>
              </w:rPr>
              <w:t>Responsible Party</w:t>
            </w:r>
          </w:p>
        </w:tc>
      </w:tr>
      <w:tr w:rsidR="00C6494F" w:rsidRPr="00C6494F" w14:paraId="3C380068" w14:textId="77777777" w:rsidTr="00D76C5E">
        <w:trPr>
          <w:trHeight w:val="692"/>
        </w:trPr>
        <w:tc>
          <w:tcPr>
            <w:tcW w:w="2448" w:type="dxa"/>
            <w:gridSpan w:val="2"/>
          </w:tcPr>
          <w:p w14:paraId="3FE890AD" w14:textId="77777777" w:rsidR="00DF5CDF" w:rsidRPr="00C6494F" w:rsidRDefault="00783ABB" w:rsidP="00783ABB">
            <w:pPr>
              <w:rPr>
                <w:rFonts w:asciiTheme="majorHAnsi" w:hAnsiTheme="majorHAnsi"/>
                <w:sz w:val="24"/>
                <w:szCs w:val="24"/>
              </w:rPr>
            </w:pPr>
            <w:r w:rsidRPr="00C6494F">
              <w:rPr>
                <w:rFonts w:asciiTheme="majorHAnsi" w:hAnsiTheme="majorHAnsi"/>
                <w:sz w:val="24"/>
                <w:szCs w:val="24"/>
              </w:rPr>
              <w:t xml:space="preserve">Welcome &amp; Introductions </w:t>
            </w:r>
            <w:r w:rsidR="00BD7097" w:rsidRPr="00C6494F">
              <w:rPr>
                <w:rFonts w:asciiTheme="majorHAnsi" w:hAnsiTheme="majorHAnsi"/>
                <w:sz w:val="24"/>
                <w:szCs w:val="24"/>
              </w:rPr>
              <w:t>(5 min</w:t>
            </w:r>
            <w:r w:rsidR="00D157B7" w:rsidRPr="00C6494F">
              <w:rPr>
                <w:rFonts w:asciiTheme="majorHAnsi" w:hAnsiTheme="majorHAnsi"/>
                <w:sz w:val="24"/>
                <w:szCs w:val="24"/>
              </w:rPr>
              <w:t>) 1:30 – 1:3</w:t>
            </w:r>
            <w:r w:rsidR="00F540EE" w:rsidRPr="00C6494F">
              <w:rPr>
                <w:rFonts w:asciiTheme="majorHAnsi" w:hAnsiTheme="majorHAnsi"/>
                <w:sz w:val="24"/>
                <w:szCs w:val="24"/>
              </w:rPr>
              <w:t>5</w:t>
            </w:r>
          </w:p>
        </w:tc>
        <w:tc>
          <w:tcPr>
            <w:tcW w:w="3870" w:type="dxa"/>
          </w:tcPr>
          <w:p w14:paraId="58032239" w14:textId="77777777" w:rsidR="00DF5CDF" w:rsidRPr="00C6494F" w:rsidRDefault="00783ABB" w:rsidP="00E6249B">
            <w:pPr>
              <w:rPr>
                <w:rFonts w:asciiTheme="majorHAnsi" w:hAnsiTheme="majorHAnsi"/>
                <w:sz w:val="24"/>
                <w:szCs w:val="24"/>
              </w:rPr>
            </w:pPr>
            <w:r w:rsidRPr="00C6494F">
              <w:rPr>
                <w:rFonts w:asciiTheme="majorHAnsi" w:hAnsiTheme="majorHAnsi"/>
                <w:sz w:val="24"/>
                <w:szCs w:val="24"/>
              </w:rPr>
              <w:t>Attendance</w:t>
            </w:r>
          </w:p>
        </w:tc>
        <w:tc>
          <w:tcPr>
            <w:tcW w:w="6750" w:type="dxa"/>
          </w:tcPr>
          <w:p w14:paraId="0B44DBB2" w14:textId="77777777" w:rsidR="00FF4D01" w:rsidRPr="00835BA1" w:rsidRDefault="00FF4D01" w:rsidP="00FF4D01">
            <w:pPr>
              <w:rPr>
                <w:rFonts w:ascii="Times New Roman" w:hAnsi="Times New Roman"/>
                <w:sz w:val="24"/>
                <w:szCs w:val="24"/>
              </w:rPr>
            </w:pPr>
            <w:r>
              <w:rPr>
                <w:rFonts w:ascii="Times New Roman" w:hAnsi="Times New Roman"/>
                <w:sz w:val="24"/>
                <w:szCs w:val="24"/>
              </w:rPr>
              <w:t xml:space="preserve">Tanya Phillips/Jackson, Jocelyn Warren/Lane, </w:t>
            </w:r>
            <w:r w:rsidRPr="00835BA1">
              <w:rPr>
                <w:rFonts w:ascii="Times New Roman" w:hAnsi="Times New Roman"/>
                <w:sz w:val="24"/>
                <w:szCs w:val="24"/>
              </w:rPr>
              <w:t>Robin Nudd/Baker, Charlie Fautin/Benton, Tatiana Dierwechter</w:t>
            </w:r>
            <w:r w:rsidRPr="00000513">
              <w:rPr>
                <w:rFonts w:ascii="Times New Roman" w:hAnsi="Times New Roman"/>
                <w:sz w:val="24"/>
                <w:szCs w:val="24"/>
              </w:rPr>
              <w:t xml:space="preserve">/Benton, Julie Albers/Clackamas, </w:t>
            </w:r>
            <w:r>
              <w:rPr>
                <w:rFonts w:ascii="Times New Roman" w:hAnsi="Times New Roman"/>
                <w:sz w:val="24"/>
                <w:szCs w:val="24"/>
              </w:rPr>
              <w:t xml:space="preserve">Sherrie Ford/Columbia, Muriel Dela Vergne-Brown/Crook, </w:t>
            </w:r>
            <w:r w:rsidRPr="00000513">
              <w:rPr>
                <w:rFonts w:ascii="Times New Roman" w:hAnsi="Times New Roman"/>
                <w:sz w:val="24"/>
                <w:szCs w:val="24"/>
              </w:rPr>
              <w:t xml:space="preserve">Kris Williams/Crook, </w:t>
            </w:r>
            <w:r>
              <w:rPr>
                <w:rFonts w:ascii="Times New Roman" w:hAnsi="Times New Roman"/>
                <w:sz w:val="24"/>
                <w:szCs w:val="24"/>
              </w:rPr>
              <w:t>Sarah Worthington</w:t>
            </w:r>
            <w:r w:rsidRPr="00000513">
              <w:rPr>
                <w:rFonts w:ascii="Times New Roman" w:hAnsi="Times New Roman"/>
                <w:sz w:val="24"/>
                <w:szCs w:val="24"/>
              </w:rPr>
              <w:t xml:space="preserve">/Deschutes, Marilynn Sutherland/Klamath, </w:t>
            </w:r>
            <w:r>
              <w:rPr>
                <w:rFonts w:ascii="Times New Roman" w:hAnsi="Times New Roman"/>
                <w:sz w:val="24"/>
                <w:szCs w:val="24"/>
              </w:rPr>
              <w:t xml:space="preserve">Cindy (C.A.) Baskerville/Lane, Peter Davis/Marion, </w:t>
            </w:r>
            <w:r w:rsidRPr="00000513">
              <w:rPr>
                <w:rFonts w:ascii="Times New Roman" w:hAnsi="Times New Roman"/>
                <w:sz w:val="24"/>
                <w:szCs w:val="24"/>
              </w:rPr>
              <w:t xml:space="preserve">Adelle Adams/Multnomah, </w:t>
            </w:r>
            <w:r>
              <w:rPr>
                <w:rFonts w:ascii="Times New Roman" w:hAnsi="Times New Roman"/>
                <w:sz w:val="24"/>
                <w:szCs w:val="24"/>
              </w:rPr>
              <w:t>Kari McFarlan/Multnomah, Meghan DeBolt</w:t>
            </w:r>
            <w:r w:rsidRPr="00000513">
              <w:rPr>
                <w:rFonts w:ascii="Times New Roman" w:hAnsi="Times New Roman"/>
                <w:sz w:val="24"/>
                <w:szCs w:val="24"/>
              </w:rPr>
              <w:t xml:space="preserve">/Umatilla, </w:t>
            </w:r>
            <w:r w:rsidRPr="00835BA1">
              <w:rPr>
                <w:rFonts w:ascii="Times New Roman" w:hAnsi="Times New Roman"/>
                <w:sz w:val="24"/>
                <w:szCs w:val="24"/>
              </w:rPr>
              <w:t xml:space="preserve">Amanda Garcia-Snell/Washington, </w:t>
            </w:r>
            <w:r>
              <w:rPr>
                <w:rFonts w:ascii="Times New Roman" w:hAnsi="Times New Roman"/>
                <w:sz w:val="24"/>
                <w:szCs w:val="24"/>
              </w:rPr>
              <w:t xml:space="preserve">Kathleen Johnson/CLHO, </w:t>
            </w:r>
            <w:r w:rsidRPr="00835BA1">
              <w:rPr>
                <w:rFonts w:ascii="Times New Roman" w:hAnsi="Times New Roman"/>
                <w:sz w:val="24"/>
                <w:szCs w:val="24"/>
              </w:rPr>
              <w:t xml:space="preserve">Karen Girard/HPCDP, Luci Longoria/HPCDP, Sabrina Freewynn/HPCDP, Heather Gramp/HPCDP, </w:t>
            </w:r>
            <w:r>
              <w:rPr>
                <w:rFonts w:ascii="Times New Roman" w:hAnsi="Times New Roman"/>
                <w:sz w:val="24"/>
                <w:szCs w:val="24"/>
              </w:rPr>
              <w:t>Shaun Parkman</w:t>
            </w:r>
            <w:r w:rsidRPr="00835BA1">
              <w:rPr>
                <w:rFonts w:ascii="Times New Roman" w:hAnsi="Times New Roman"/>
                <w:sz w:val="24"/>
                <w:szCs w:val="24"/>
              </w:rPr>
              <w:t>/HPCDP</w:t>
            </w:r>
            <w:r>
              <w:rPr>
                <w:rFonts w:ascii="Times New Roman" w:hAnsi="Times New Roman"/>
                <w:sz w:val="24"/>
                <w:szCs w:val="24"/>
              </w:rPr>
              <w:t>, Andrew Epstein/HPCDP</w:t>
            </w:r>
          </w:p>
          <w:p w14:paraId="6BAD0039" w14:textId="77777777" w:rsidR="00FF4D01" w:rsidRPr="00835BA1" w:rsidRDefault="00FF4D01" w:rsidP="00FF4D01">
            <w:pPr>
              <w:rPr>
                <w:rFonts w:ascii="Times New Roman" w:hAnsi="Times New Roman"/>
                <w:sz w:val="24"/>
                <w:szCs w:val="24"/>
              </w:rPr>
            </w:pPr>
          </w:p>
          <w:p w14:paraId="66EE6C43" w14:textId="77777777" w:rsidR="00FF4D01" w:rsidRPr="00835BA1" w:rsidRDefault="00FF4D01" w:rsidP="00FF4D01">
            <w:pPr>
              <w:rPr>
                <w:rFonts w:ascii="Times New Roman" w:hAnsi="Times New Roman"/>
                <w:sz w:val="24"/>
                <w:szCs w:val="24"/>
              </w:rPr>
            </w:pPr>
            <w:r w:rsidRPr="00000513">
              <w:rPr>
                <w:rFonts w:ascii="Times New Roman" w:hAnsi="Times New Roman"/>
                <w:sz w:val="24"/>
                <w:szCs w:val="24"/>
              </w:rPr>
              <w:t>Janet Jones/Umatilla</w:t>
            </w:r>
            <w:r w:rsidRPr="00835BA1">
              <w:rPr>
                <w:rFonts w:ascii="Times New Roman" w:hAnsi="Times New Roman"/>
                <w:sz w:val="24"/>
                <w:szCs w:val="24"/>
              </w:rPr>
              <w:t xml:space="preserve"> -- excused.</w:t>
            </w:r>
          </w:p>
          <w:p w14:paraId="63BC335C" w14:textId="77777777" w:rsidR="00E30E9E" w:rsidRPr="00C6494F" w:rsidRDefault="00E30E9E" w:rsidP="00E30E9E">
            <w:pPr>
              <w:rPr>
                <w:rFonts w:asciiTheme="majorHAnsi" w:hAnsiTheme="majorHAnsi"/>
                <w:sz w:val="24"/>
                <w:szCs w:val="24"/>
              </w:rPr>
            </w:pPr>
          </w:p>
        </w:tc>
        <w:tc>
          <w:tcPr>
            <w:tcW w:w="1548" w:type="dxa"/>
            <w:gridSpan w:val="2"/>
          </w:tcPr>
          <w:p w14:paraId="460B3546" w14:textId="77777777" w:rsidR="00DF5CDF" w:rsidRPr="00C6494F" w:rsidRDefault="009230DC" w:rsidP="003E0C0E">
            <w:pPr>
              <w:rPr>
                <w:rFonts w:asciiTheme="majorHAnsi" w:hAnsiTheme="majorHAnsi"/>
                <w:sz w:val="24"/>
                <w:szCs w:val="24"/>
              </w:rPr>
            </w:pPr>
            <w:r w:rsidRPr="00C6494F">
              <w:rPr>
                <w:rFonts w:asciiTheme="majorHAnsi" w:hAnsiTheme="majorHAnsi"/>
                <w:sz w:val="24"/>
                <w:szCs w:val="24"/>
              </w:rPr>
              <w:t>Tanya Phillips</w:t>
            </w:r>
          </w:p>
          <w:p w14:paraId="3707AB00" w14:textId="77777777" w:rsidR="003A19B0" w:rsidRPr="00C6494F" w:rsidRDefault="003A19B0" w:rsidP="003E0C0E">
            <w:pPr>
              <w:rPr>
                <w:rFonts w:asciiTheme="majorHAnsi" w:hAnsiTheme="majorHAnsi"/>
                <w:sz w:val="24"/>
                <w:szCs w:val="24"/>
              </w:rPr>
            </w:pPr>
            <w:r w:rsidRPr="00C6494F">
              <w:rPr>
                <w:rFonts w:asciiTheme="majorHAnsi" w:hAnsiTheme="majorHAnsi"/>
                <w:sz w:val="24"/>
                <w:szCs w:val="24"/>
              </w:rPr>
              <w:t>Jocelyn Warren</w:t>
            </w:r>
          </w:p>
        </w:tc>
      </w:tr>
      <w:tr w:rsidR="00C6494F" w:rsidRPr="00C6494F" w14:paraId="08012948" w14:textId="77777777" w:rsidTr="00D76C5E">
        <w:trPr>
          <w:trHeight w:val="863"/>
        </w:trPr>
        <w:tc>
          <w:tcPr>
            <w:tcW w:w="2448" w:type="dxa"/>
            <w:gridSpan w:val="2"/>
          </w:tcPr>
          <w:p w14:paraId="4B7474B7" w14:textId="77777777" w:rsidR="009230DC" w:rsidRPr="00C6494F" w:rsidRDefault="00783ABB" w:rsidP="00783ABB">
            <w:pPr>
              <w:rPr>
                <w:rFonts w:asciiTheme="majorHAnsi" w:hAnsiTheme="majorHAnsi"/>
                <w:sz w:val="24"/>
                <w:szCs w:val="24"/>
              </w:rPr>
            </w:pPr>
            <w:r w:rsidRPr="00C6494F">
              <w:rPr>
                <w:rFonts w:asciiTheme="majorHAnsi" w:hAnsiTheme="majorHAnsi"/>
                <w:sz w:val="24"/>
                <w:szCs w:val="24"/>
              </w:rPr>
              <w:t>Review of Prior Month’s Minutes</w:t>
            </w:r>
            <w:r w:rsidR="00DF5CDF" w:rsidRPr="00C6494F">
              <w:rPr>
                <w:rFonts w:asciiTheme="majorHAnsi" w:hAnsiTheme="majorHAnsi"/>
                <w:sz w:val="24"/>
                <w:szCs w:val="24"/>
              </w:rPr>
              <w:t xml:space="preserve"> </w:t>
            </w:r>
            <w:r w:rsidRPr="00C6494F">
              <w:rPr>
                <w:rFonts w:asciiTheme="majorHAnsi" w:hAnsiTheme="majorHAnsi"/>
                <w:sz w:val="24"/>
                <w:szCs w:val="24"/>
              </w:rPr>
              <w:t>(5</w:t>
            </w:r>
            <w:r w:rsidR="00BD7097" w:rsidRPr="00C6494F">
              <w:rPr>
                <w:rFonts w:asciiTheme="majorHAnsi" w:hAnsiTheme="majorHAnsi"/>
                <w:sz w:val="24"/>
                <w:szCs w:val="24"/>
              </w:rPr>
              <w:t xml:space="preserve"> min</w:t>
            </w:r>
            <w:r w:rsidR="00DF5CDF" w:rsidRPr="00C6494F">
              <w:rPr>
                <w:rFonts w:asciiTheme="majorHAnsi" w:hAnsiTheme="majorHAnsi"/>
                <w:sz w:val="24"/>
                <w:szCs w:val="24"/>
              </w:rPr>
              <w:t>)</w:t>
            </w:r>
            <w:r w:rsidR="00F540EE" w:rsidRPr="00C6494F">
              <w:rPr>
                <w:rFonts w:asciiTheme="majorHAnsi" w:hAnsiTheme="majorHAnsi"/>
                <w:sz w:val="24"/>
                <w:szCs w:val="24"/>
              </w:rPr>
              <w:t xml:space="preserve"> </w:t>
            </w:r>
          </w:p>
          <w:p w14:paraId="4DAE6FA4" w14:textId="77777777" w:rsidR="00DF5CDF" w:rsidRPr="00C6494F" w:rsidRDefault="00F540EE" w:rsidP="00783ABB">
            <w:pPr>
              <w:rPr>
                <w:rFonts w:asciiTheme="majorHAnsi" w:hAnsiTheme="majorHAnsi"/>
                <w:sz w:val="24"/>
                <w:szCs w:val="24"/>
              </w:rPr>
            </w:pPr>
            <w:r w:rsidRPr="00C6494F">
              <w:rPr>
                <w:rFonts w:asciiTheme="majorHAnsi" w:hAnsiTheme="majorHAnsi"/>
                <w:sz w:val="24"/>
                <w:szCs w:val="24"/>
              </w:rPr>
              <w:t>1:</w:t>
            </w:r>
            <w:r w:rsidR="00D157B7" w:rsidRPr="00C6494F">
              <w:rPr>
                <w:rFonts w:asciiTheme="majorHAnsi" w:hAnsiTheme="majorHAnsi"/>
                <w:sz w:val="24"/>
                <w:szCs w:val="24"/>
              </w:rPr>
              <w:t>35 – 1:40</w:t>
            </w:r>
          </w:p>
        </w:tc>
        <w:tc>
          <w:tcPr>
            <w:tcW w:w="3870" w:type="dxa"/>
          </w:tcPr>
          <w:p w14:paraId="37FDB448" w14:textId="77777777" w:rsidR="00DF5CDF" w:rsidRPr="00C6494F" w:rsidRDefault="00561B6A" w:rsidP="005C6C0E">
            <w:pPr>
              <w:rPr>
                <w:rFonts w:asciiTheme="majorHAnsi" w:hAnsiTheme="majorHAnsi"/>
                <w:sz w:val="24"/>
                <w:szCs w:val="24"/>
              </w:rPr>
            </w:pPr>
            <w:r w:rsidRPr="00C6494F">
              <w:rPr>
                <w:rFonts w:asciiTheme="majorHAnsi" w:hAnsiTheme="majorHAnsi"/>
                <w:sz w:val="24"/>
                <w:szCs w:val="24"/>
              </w:rPr>
              <w:t xml:space="preserve">The Committee will have an opportunity to </w:t>
            </w:r>
            <w:r w:rsidR="00A61D28" w:rsidRPr="00C6494F">
              <w:rPr>
                <w:rFonts w:asciiTheme="majorHAnsi" w:hAnsiTheme="majorHAnsi"/>
                <w:sz w:val="24"/>
                <w:szCs w:val="24"/>
              </w:rPr>
              <w:t xml:space="preserve">review </w:t>
            </w:r>
            <w:r w:rsidR="00AD7C5E" w:rsidRPr="00C6494F">
              <w:rPr>
                <w:rFonts w:asciiTheme="majorHAnsi" w:hAnsiTheme="majorHAnsi"/>
                <w:sz w:val="24"/>
                <w:szCs w:val="24"/>
              </w:rPr>
              <w:t xml:space="preserve">minutes from the </w:t>
            </w:r>
            <w:r w:rsidR="005C6C0E" w:rsidRPr="00C6494F">
              <w:rPr>
                <w:rFonts w:asciiTheme="majorHAnsi" w:hAnsiTheme="majorHAnsi"/>
                <w:sz w:val="24"/>
                <w:szCs w:val="24"/>
              </w:rPr>
              <w:t>past meeting</w:t>
            </w:r>
            <w:r w:rsidR="00AD7C5E" w:rsidRPr="00C6494F">
              <w:rPr>
                <w:rFonts w:asciiTheme="majorHAnsi" w:hAnsiTheme="majorHAnsi"/>
                <w:sz w:val="24"/>
                <w:szCs w:val="24"/>
              </w:rPr>
              <w:t>,</w:t>
            </w:r>
            <w:r w:rsidRPr="00C6494F">
              <w:rPr>
                <w:rFonts w:asciiTheme="majorHAnsi" w:hAnsiTheme="majorHAnsi"/>
                <w:sz w:val="24"/>
                <w:szCs w:val="24"/>
              </w:rPr>
              <w:t xml:space="preserve"> make changes and/or adopt the minutes.</w:t>
            </w:r>
          </w:p>
        </w:tc>
        <w:tc>
          <w:tcPr>
            <w:tcW w:w="6750" w:type="dxa"/>
          </w:tcPr>
          <w:p w14:paraId="1AF9EF7F" w14:textId="77777777" w:rsidR="00E30E9E" w:rsidRPr="00C6494F" w:rsidRDefault="00FF4D01" w:rsidP="00FF4D01">
            <w:pPr>
              <w:rPr>
                <w:rFonts w:asciiTheme="majorHAnsi" w:hAnsiTheme="majorHAnsi"/>
                <w:sz w:val="24"/>
                <w:szCs w:val="24"/>
              </w:rPr>
            </w:pPr>
            <w:r>
              <w:rPr>
                <w:rFonts w:asciiTheme="majorHAnsi" w:hAnsiTheme="majorHAnsi"/>
                <w:sz w:val="24"/>
                <w:szCs w:val="24"/>
              </w:rPr>
              <w:t xml:space="preserve">The Committee reviewed the minutes from the February 4, 2016 meeting. </w:t>
            </w:r>
            <w:r w:rsidR="00BE4DDB">
              <w:rPr>
                <w:rFonts w:asciiTheme="majorHAnsi" w:hAnsiTheme="majorHAnsi"/>
                <w:sz w:val="24"/>
                <w:szCs w:val="24"/>
              </w:rPr>
              <w:t xml:space="preserve">Kris moved </w:t>
            </w:r>
            <w:r>
              <w:rPr>
                <w:rFonts w:asciiTheme="majorHAnsi" w:hAnsiTheme="majorHAnsi"/>
                <w:sz w:val="24"/>
                <w:szCs w:val="24"/>
              </w:rPr>
              <w:t xml:space="preserve">to approve the minutes and </w:t>
            </w:r>
            <w:r w:rsidR="00BE4DDB">
              <w:rPr>
                <w:rFonts w:asciiTheme="majorHAnsi" w:hAnsiTheme="majorHAnsi"/>
                <w:sz w:val="24"/>
                <w:szCs w:val="24"/>
              </w:rPr>
              <w:t>Jocelyn</w:t>
            </w:r>
            <w:r>
              <w:rPr>
                <w:rFonts w:asciiTheme="majorHAnsi" w:hAnsiTheme="majorHAnsi"/>
                <w:sz w:val="24"/>
                <w:szCs w:val="24"/>
              </w:rPr>
              <w:t xml:space="preserve"> seconded</w:t>
            </w:r>
            <w:r w:rsidR="00BE4DDB">
              <w:rPr>
                <w:rFonts w:asciiTheme="majorHAnsi" w:hAnsiTheme="majorHAnsi"/>
                <w:sz w:val="24"/>
                <w:szCs w:val="24"/>
              </w:rPr>
              <w:t xml:space="preserve">. </w:t>
            </w:r>
            <w:r>
              <w:rPr>
                <w:rFonts w:asciiTheme="majorHAnsi" w:hAnsiTheme="majorHAnsi"/>
                <w:sz w:val="24"/>
                <w:szCs w:val="24"/>
              </w:rPr>
              <w:t>Motion passed.</w:t>
            </w:r>
          </w:p>
        </w:tc>
        <w:tc>
          <w:tcPr>
            <w:tcW w:w="1548" w:type="dxa"/>
            <w:gridSpan w:val="2"/>
          </w:tcPr>
          <w:p w14:paraId="01659D9A" w14:textId="77777777" w:rsidR="00DF5CDF" w:rsidRPr="00C6494F" w:rsidRDefault="009230DC" w:rsidP="00354A29">
            <w:pPr>
              <w:rPr>
                <w:rFonts w:asciiTheme="majorHAnsi" w:hAnsiTheme="majorHAnsi"/>
                <w:sz w:val="24"/>
                <w:szCs w:val="24"/>
              </w:rPr>
            </w:pPr>
            <w:r w:rsidRPr="00C6494F">
              <w:rPr>
                <w:rFonts w:asciiTheme="majorHAnsi" w:hAnsiTheme="majorHAnsi"/>
                <w:sz w:val="24"/>
                <w:szCs w:val="24"/>
              </w:rPr>
              <w:t>Tanya Phillips</w:t>
            </w:r>
          </w:p>
          <w:p w14:paraId="325BD4D8" w14:textId="77777777" w:rsidR="003A19B0" w:rsidRPr="00C6494F" w:rsidRDefault="003A19B0" w:rsidP="00354A29">
            <w:pPr>
              <w:rPr>
                <w:rFonts w:asciiTheme="majorHAnsi" w:hAnsiTheme="majorHAnsi"/>
                <w:sz w:val="24"/>
                <w:szCs w:val="24"/>
              </w:rPr>
            </w:pPr>
            <w:r w:rsidRPr="00C6494F">
              <w:rPr>
                <w:rFonts w:asciiTheme="majorHAnsi" w:hAnsiTheme="majorHAnsi"/>
                <w:sz w:val="24"/>
                <w:szCs w:val="24"/>
              </w:rPr>
              <w:t>Jocelyn Warren</w:t>
            </w:r>
          </w:p>
        </w:tc>
      </w:tr>
      <w:tr w:rsidR="00C6494F" w:rsidRPr="00C6494F" w14:paraId="03485A7D" w14:textId="77777777" w:rsidTr="00D76C5E">
        <w:trPr>
          <w:gridBefore w:val="1"/>
          <w:gridAfter w:val="1"/>
          <w:wBefore w:w="18" w:type="dxa"/>
          <w:wAfter w:w="18" w:type="dxa"/>
          <w:trHeight w:val="692"/>
        </w:trPr>
        <w:tc>
          <w:tcPr>
            <w:tcW w:w="2430" w:type="dxa"/>
            <w:tcBorders>
              <w:top w:val="single" w:sz="4" w:space="0" w:color="auto"/>
              <w:left w:val="single" w:sz="4" w:space="0" w:color="auto"/>
              <w:bottom w:val="single" w:sz="4" w:space="0" w:color="auto"/>
              <w:right w:val="single" w:sz="4" w:space="0" w:color="auto"/>
            </w:tcBorders>
          </w:tcPr>
          <w:p w14:paraId="2F9960B9" w14:textId="77777777" w:rsidR="0057519F" w:rsidRPr="00C6494F" w:rsidRDefault="0057519F" w:rsidP="00215F02">
            <w:pPr>
              <w:rPr>
                <w:rFonts w:asciiTheme="majorHAnsi" w:hAnsiTheme="majorHAnsi"/>
                <w:sz w:val="24"/>
                <w:szCs w:val="24"/>
              </w:rPr>
            </w:pPr>
            <w:r w:rsidRPr="00C6494F">
              <w:rPr>
                <w:rFonts w:asciiTheme="majorHAnsi" w:hAnsiTheme="majorHAnsi"/>
                <w:sz w:val="24"/>
                <w:szCs w:val="24"/>
              </w:rPr>
              <w:t>Heal</w:t>
            </w:r>
            <w:r w:rsidR="00714FC1" w:rsidRPr="00C6494F">
              <w:rPr>
                <w:rFonts w:asciiTheme="majorHAnsi" w:hAnsiTheme="majorHAnsi"/>
                <w:sz w:val="24"/>
                <w:szCs w:val="24"/>
              </w:rPr>
              <w:t>th in All Policies workgroup (10</w:t>
            </w:r>
            <w:r w:rsidRPr="00C6494F">
              <w:rPr>
                <w:rFonts w:asciiTheme="majorHAnsi" w:hAnsiTheme="majorHAnsi"/>
                <w:sz w:val="24"/>
                <w:szCs w:val="24"/>
              </w:rPr>
              <w:t xml:space="preserve"> min)</w:t>
            </w:r>
          </w:p>
          <w:p w14:paraId="2A2065D3" w14:textId="77777777" w:rsidR="0057519F" w:rsidRPr="00C6494F" w:rsidRDefault="00D157B7" w:rsidP="00215F02">
            <w:pPr>
              <w:rPr>
                <w:rFonts w:asciiTheme="majorHAnsi" w:hAnsiTheme="majorHAnsi"/>
                <w:sz w:val="24"/>
                <w:szCs w:val="24"/>
              </w:rPr>
            </w:pPr>
            <w:r w:rsidRPr="00C6494F">
              <w:rPr>
                <w:rFonts w:asciiTheme="majorHAnsi" w:hAnsiTheme="majorHAnsi"/>
                <w:sz w:val="24"/>
                <w:szCs w:val="24"/>
              </w:rPr>
              <w:t>1:40 – 1:50</w:t>
            </w:r>
          </w:p>
        </w:tc>
        <w:tc>
          <w:tcPr>
            <w:tcW w:w="3870" w:type="dxa"/>
            <w:tcBorders>
              <w:top w:val="single" w:sz="4" w:space="0" w:color="auto"/>
              <w:left w:val="single" w:sz="4" w:space="0" w:color="auto"/>
              <w:bottom w:val="single" w:sz="4" w:space="0" w:color="auto"/>
              <w:right w:val="single" w:sz="4" w:space="0" w:color="auto"/>
            </w:tcBorders>
          </w:tcPr>
          <w:p w14:paraId="37EF0BDC" w14:textId="77777777" w:rsidR="0057519F" w:rsidRPr="00C6494F" w:rsidRDefault="0057519F" w:rsidP="0057519F">
            <w:pPr>
              <w:rPr>
                <w:rFonts w:asciiTheme="majorHAnsi" w:hAnsiTheme="majorHAnsi"/>
                <w:sz w:val="24"/>
                <w:szCs w:val="24"/>
              </w:rPr>
            </w:pPr>
            <w:r w:rsidRPr="00C6494F">
              <w:rPr>
                <w:rFonts w:asciiTheme="majorHAnsi" w:hAnsiTheme="majorHAnsi"/>
                <w:b/>
                <w:sz w:val="24"/>
                <w:szCs w:val="24"/>
              </w:rPr>
              <w:t xml:space="preserve">Background: </w:t>
            </w:r>
            <w:r w:rsidR="00C81DAB" w:rsidRPr="00C6494F">
              <w:rPr>
                <w:rFonts w:asciiTheme="majorHAnsi" w:hAnsiTheme="majorHAnsi"/>
                <w:sz w:val="24"/>
                <w:szCs w:val="24"/>
              </w:rPr>
              <w:t>A Health in All Policies (HiAP) Workgroup has been created to establish a collaborative learning environment where local health departments can learn, brainstorm, problem solve and share resources as it relates to HiAP approaches.</w:t>
            </w:r>
          </w:p>
          <w:p w14:paraId="68A6BB97" w14:textId="77777777" w:rsidR="00C81DAB" w:rsidRPr="00C6494F" w:rsidRDefault="00C81DAB" w:rsidP="0057519F">
            <w:pPr>
              <w:rPr>
                <w:rFonts w:asciiTheme="majorHAnsi" w:hAnsiTheme="majorHAnsi"/>
                <w:sz w:val="24"/>
                <w:szCs w:val="24"/>
              </w:rPr>
            </w:pPr>
          </w:p>
          <w:p w14:paraId="5F778F15" w14:textId="77777777" w:rsidR="0057519F" w:rsidRPr="00C6494F" w:rsidRDefault="0057519F" w:rsidP="0057519F">
            <w:pPr>
              <w:rPr>
                <w:rFonts w:asciiTheme="majorHAnsi" w:hAnsiTheme="majorHAnsi"/>
                <w:sz w:val="24"/>
                <w:szCs w:val="24"/>
              </w:rPr>
            </w:pPr>
            <w:r w:rsidRPr="00C6494F">
              <w:rPr>
                <w:rFonts w:asciiTheme="majorHAnsi" w:hAnsiTheme="majorHAnsi"/>
                <w:b/>
                <w:sz w:val="24"/>
                <w:szCs w:val="24"/>
              </w:rPr>
              <w:t xml:space="preserve">Objective: </w:t>
            </w:r>
            <w:r w:rsidR="00C81DAB" w:rsidRPr="00C6494F">
              <w:rPr>
                <w:rFonts w:asciiTheme="majorHAnsi" w:hAnsiTheme="majorHAnsi"/>
                <w:sz w:val="24"/>
                <w:szCs w:val="24"/>
              </w:rPr>
              <w:t>Inform Healthy Communities of work and recruit workgroup members.</w:t>
            </w:r>
          </w:p>
          <w:p w14:paraId="08B902CE" w14:textId="77777777" w:rsidR="0057519F" w:rsidRPr="00C6494F" w:rsidRDefault="0057519F" w:rsidP="00215F02">
            <w:pPr>
              <w:rPr>
                <w:rFonts w:asciiTheme="majorHAnsi" w:hAnsiTheme="majorHAnsi"/>
                <w:b/>
                <w:sz w:val="24"/>
                <w:szCs w:val="24"/>
              </w:rPr>
            </w:pPr>
          </w:p>
        </w:tc>
        <w:tc>
          <w:tcPr>
            <w:tcW w:w="6750" w:type="dxa"/>
            <w:tcBorders>
              <w:top w:val="single" w:sz="4" w:space="0" w:color="auto"/>
              <w:left w:val="single" w:sz="4" w:space="0" w:color="auto"/>
              <w:bottom w:val="single" w:sz="4" w:space="0" w:color="auto"/>
              <w:right w:val="single" w:sz="4" w:space="0" w:color="auto"/>
            </w:tcBorders>
          </w:tcPr>
          <w:p w14:paraId="3CAD5B13" w14:textId="77777777" w:rsidR="00585424" w:rsidRDefault="00585424" w:rsidP="00215F02">
            <w:pPr>
              <w:rPr>
                <w:rFonts w:asciiTheme="majorHAnsi" w:hAnsiTheme="majorHAnsi"/>
                <w:sz w:val="24"/>
                <w:szCs w:val="24"/>
              </w:rPr>
            </w:pPr>
            <w:r>
              <w:rPr>
                <w:rFonts w:asciiTheme="majorHAnsi" w:hAnsiTheme="majorHAnsi"/>
                <w:sz w:val="24"/>
                <w:szCs w:val="24"/>
              </w:rPr>
              <w:lastRenderedPageBreak/>
              <w:t xml:space="preserve">Kathleen Johnson provided an overview related to the establishment of a Health in All Policies (HiAP) workgroup. </w:t>
            </w:r>
            <w:r w:rsidR="00BE4DDB">
              <w:rPr>
                <w:rFonts w:asciiTheme="majorHAnsi" w:hAnsiTheme="majorHAnsi"/>
                <w:sz w:val="24"/>
                <w:szCs w:val="24"/>
              </w:rPr>
              <w:t xml:space="preserve">At </w:t>
            </w:r>
            <w:r>
              <w:rPr>
                <w:rFonts w:asciiTheme="majorHAnsi" w:hAnsiTheme="majorHAnsi"/>
                <w:sz w:val="24"/>
                <w:szCs w:val="24"/>
              </w:rPr>
              <w:t xml:space="preserve">the </w:t>
            </w:r>
            <w:r w:rsidR="00BE4DDB">
              <w:rPr>
                <w:rFonts w:asciiTheme="majorHAnsi" w:hAnsiTheme="majorHAnsi"/>
                <w:sz w:val="24"/>
                <w:szCs w:val="24"/>
              </w:rPr>
              <w:t>January CLHO mee</w:t>
            </w:r>
            <w:r>
              <w:rPr>
                <w:rFonts w:asciiTheme="majorHAnsi" w:hAnsiTheme="majorHAnsi"/>
                <w:sz w:val="24"/>
                <w:szCs w:val="24"/>
              </w:rPr>
              <w:t xml:space="preserve">ting, </w:t>
            </w:r>
            <w:r w:rsidR="00BE4DDB">
              <w:rPr>
                <w:rFonts w:asciiTheme="majorHAnsi" w:hAnsiTheme="majorHAnsi"/>
                <w:sz w:val="24"/>
                <w:szCs w:val="24"/>
              </w:rPr>
              <w:t xml:space="preserve">Kathleen </w:t>
            </w:r>
            <w:r>
              <w:rPr>
                <w:rFonts w:asciiTheme="majorHAnsi" w:hAnsiTheme="majorHAnsi"/>
                <w:sz w:val="24"/>
                <w:szCs w:val="24"/>
              </w:rPr>
              <w:t>informed</w:t>
            </w:r>
            <w:r w:rsidR="00BE4DDB">
              <w:rPr>
                <w:rFonts w:asciiTheme="majorHAnsi" w:hAnsiTheme="majorHAnsi"/>
                <w:sz w:val="24"/>
                <w:szCs w:val="24"/>
              </w:rPr>
              <w:t xml:space="preserve"> members that </w:t>
            </w:r>
            <w:r>
              <w:rPr>
                <w:rFonts w:asciiTheme="majorHAnsi" w:hAnsiTheme="majorHAnsi"/>
                <w:sz w:val="24"/>
                <w:szCs w:val="24"/>
              </w:rPr>
              <w:t>the</w:t>
            </w:r>
            <w:r w:rsidR="00BE4DDB">
              <w:rPr>
                <w:rFonts w:asciiTheme="majorHAnsi" w:hAnsiTheme="majorHAnsi"/>
                <w:sz w:val="24"/>
                <w:szCs w:val="24"/>
              </w:rPr>
              <w:t xml:space="preserve"> workgroup was being created</w:t>
            </w:r>
            <w:r w:rsidR="00704D0A">
              <w:rPr>
                <w:rFonts w:asciiTheme="majorHAnsi" w:hAnsiTheme="majorHAnsi"/>
                <w:sz w:val="24"/>
                <w:szCs w:val="24"/>
              </w:rPr>
              <w:t xml:space="preserve"> to support sharing </w:t>
            </w:r>
            <w:r>
              <w:rPr>
                <w:rFonts w:asciiTheme="majorHAnsi" w:hAnsiTheme="majorHAnsi"/>
                <w:sz w:val="24"/>
                <w:szCs w:val="24"/>
              </w:rPr>
              <w:t xml:space="preserve">knowledge and tools </w:t>
            </w:r>
            <w:r w:rsidR="00704D0A">
              <w:rPr>
                <w:rFonts w:asciiTheme="majorHAnsi" w:hAnsiTheme="majorHAnsi"/>
                <w:sz w:val="24"/>
                <w:szCs w:val="24"/>
              </w:rPr>
              <w:t>to help L</w:t>
            </w:r>
            <w:r w:rsidR="00CA412A">
              <w:rPr>
                <w:rFonts w:asciiTheme="majorHAnsi" w:hAnsiTheme="majorHAnsi"/>
                <w:sz w:val="24"/>
                <w:szCs w:val="24"/>
              </w:rPr>
              <w:t xml:space="preserve">ocal </w:t>
            </w:r>
            <w:r w:rsidR="00704D0A">
              <w:rPr>
                <w:rFonts w:asciiTheme="majorHAnsi" w:hAnsiTheme="majorHAnsi"/>
                <w:sz w:val="24"/>
                <w:szCs w:val="24"/>
              </w:rPr>
              <w:t>H</w:t>
            </w:r>
            <w:r w:rsidR="00CA412A">
              <w:rPr>
                <w:rFonts w:asciiTheme="majorHAnsi" w:hAnsiTheme="majorHAnsi"/>
                <w:sz w:val="24"/>
                <w:szCs w:val="24"/>
              </w:rPr>
              <w:t xml:space="preserve">ealth </w:t>
            </w:r>
            <w:r w:rsidR="00704D0A">
              <w:rPr>
                <w:rFonts w:asciiTheme="majorHAnsi" w:hAnsiTheme="majorHAnsi"/>
                <w:sz w:val="24"/>
                <w:szCs w:val="24"/>
              </w:rPr>
              <w:t>D</w:t>
            </w:r>
            <w:r w:rsidR="00CA412A">
              <w:rPr>
                <w:rFonts w:asciiTheme="majorHAnsi" w:hAnsiTheme="majorHAnsi"/>
                <w:sz w:val="24"/>
                <w:szCs w:val="24"/>
              </w:rPr>
              <w:t>epartment</w:t>
            </w:r>
            <w:r w:rsidR="00704D0A">
              <w:rPr>
                <w:rFonts w:asciiTheme="majorHAnsi" w:hAnsiTheme="majorHAnsi"/>
                <w:sz w:val="24"/>
                <w:szCs w:val="24"/>
              </w:rPr>
              <w:t>s</w:t>
            </w:r>
            <w:r w:rsidR="00CA412A">
              <w:rPr>
                <w:rFonts w:asciiTheme="majorHAnsi" w:hAnsiTheme="majorHAnsi"/>
                <w:sz w:val="24"/>
                <w:szCs w:val="24"/>
              </w:rPr>
              <w:t xml:space="preserve"> (LHDs)</w:t>
            </w:r>
            <w:r w:rsidR="00704D0A">
              <w:rPr>
                <w:rFonts w:asciiTheme="majorHAnsi" w:hAnsiTheme="majorHAnsi"/>
                <w:sz w:val="24"/>
                <w:szCs w:val="24"/>
              </w:rPr>
              <w:t xml:space="preserve"> talk about</w:t>
            </w:r>
            <w:r>
              <w:rPr>
                <w:rFonts w:asciiTheme="majorHAnsi" w:hAnsiTheme="majorHAnsi"/>
                <w:sz w:val="24"/>
                <w:szCs w:val="24"/>
              </w:rPr>
              <w:t xml:space="preserve"> HiAP-related processes</w:t>
            </w:r>
            <w:r w:rsidR="00BE4DDB">
              <w:rPr>
                <w:rFonts w:asciiTheme="majorHAnsi" w:hAnsiTheme="majorHAnsi"/>
                <w:sz w:val="24"/>
                <w:szCs w:val="24"/>
              </w:rPr>
              <w:t xml:space="preserve">. </w:t>
            </w:r>
            <w:r>
              <w:rPr>
                <w:rFonts w:asciiTheme="majorHAnsi" w:hAnsiTheme="majorHAnsi"/>
                <w:sz w:val="24"/>
                <w:szCs w:val="24"/>
              </w:rPr>
              <w:t xml:space="preserve">Staff from the Public Health Division’s Environmental Health section have agreed to co-facilitate the workgroup. </w:t>
            </w:r>
          </w:p>
          <w:p w14:paraId="618BB141" w14:textId="77777777" w:rsidR="00585424" w:rsidRDefault="00585424" w:rsidP="00215F02">
            <w:pPr>
              <w:rPr>
                <w:rFonts w:asciiTheme="majorHAnsi" w:hAnsiTheme="majorHAnsi"/>
                <w:sz w:val="24"/>
                <w:szCs w:val="24"/>
              </w:rPr>
            </w:pPr>
          </w:p>
          <w:p w14:paraId="471C0426" w14:textId="77777777" w:rsidR="002466CE" w:rsidRDefault="00585424" w:rsidP="00585424">
            <w:pPr>
              <w:rPr>
                <w:rFonts w:asciiTheme="majorHAnsi" w:hAnsiTheme="majorHAnsi"/>
                <w:sz w:val="24"/>
                <w:szCs w:val="24"/>
              </w:rPr>
            </w:pPr>
            <w:r>
              <w:rPr>
                <w:rFonts w:asciiTheme="majorHAnsi" w:hAnsiTheme="majorHAnsi"/>
                <w:sz w:val="24"/>
                <w:szCs w:val="24"/>
              </w:rPr>
              <w:t xml:space="preserve">Kathleen has </w:t>
            </w:r>
            <w:r w:rsidR="00CA412A">
              <w:rPr>
                <w:rFonts w:asciiTheme="majorHAnsi" w:hAnsiTheme="majorHAnsi"/>
                <w:sz w:val="24"/>
                <w:szCs w:val="24"/>
              </w:rPr>
              <w:t>held</w:t>
            </w:r>
            <w:r>
              <w:rPr>
                <w:rFonts w:asciiTheme="majorHAnsi" w:hAnsiTheme="majorHAnsi"/>
                <w:sz w:val="24"/>
                <w:szCs w:val="24"/>
              </w:rPr>
              <w:t xml:space="preserve"> planning calls with a small group including representatives from C</w:t>
            </w:r>
            <w:r w:rsidR="00BE4DDB">
              <w:rPr>
                <w:rFonts w:asciiTheme="majorHAnsi" w:hAnsiTheme="majorHAnsi"/>
                <w:sz w:val="24"/>
                <w:szCs w:val="24"/>
              </w:rPr>
              <w:t>lack</w:t>
            </w:r>
            <w:r>
              <w:rPr>
                <w:rFonts w:asciiTheme="majorHAnsi" w:hAnsiTheme="majorHAnsi"/>
                <w:sz w:val="24"/>
                <w:szCs w:val="24"/>
              </w:rPr>
              <w:t>amas, Benton, Lane and W</w:t>
            </w:r>
            <w:r w:rsidR="00BE4DDB">
              <w:rPr>
                <w:rFonts w:asciiTheme="majorHAnsi" w:hAnsiTheme="majorHAnsi"/>
                <w:sz w:val="24"/>
                <w:szCs w:val="24"/>
              </w:rPr>
              <w:t>as</w:t>
            </w:r>
            <w:r>
              <w:rPr>
                <w:rFonts w:asciiTheme="majorHAnsi" w:hAnsiTheme="majorHAnsi"/>
                <w:sz w:val="24"/>
                <w:szCs w:val="24"/>
              </w:rPr>
              <w:t>h</w:t>
            </w:r>
            <w:r w:rsidR="00BE4DDB">
              <w:rPr>
                <w:rFonts w:asciiTheme="majorHAnsi" w:hAnsiTheme="majorHAnsi"/>
                <w:sz w:val="24"/>
                <w:szCs w:val="24"/>
              </w:rPr>
              <w:t xml:space="preserve">ington </w:t>
            </w:r>
            <w:r>
              <w:rPr>
                <w:rFonts w:asciiTheme="majorHAnsi" w:hAnsiTheme="majorHAnsi"/>
                <w:sz w:val="24"/>
                <w:szCs w:val="24"/>
              </w:rPr>
              <w:t>counties. The first workgroup meeting will be held M</w:t>
            </w:r>
            <w:r w:rsidR="00BE4DDB">
              <w:rPr>
                <w:rFonts w:asciiTheme="majorHAnsi" w:hAnsiTheme="majorHAnsi"/>
                <w:sz w:val="24"/>
                <w:szCs w:val="24"/>
              </w:rPr>
              <w:t>arch 23</w:t>
            </w:r>
            <w:r>
              <w:rPr>
                <w:rFonts w:asciiTheme="majorHAnsi" w:hAnsiTheme="majorHAnsi"/>
                <w:sz w:val="24"/>
                <w:szCs w:val="24"/>
              </w:rPr>
              <w:t xml:space="preserve">, </w:t>
            </w:r>
            <w:r w:rsidR="00BE4DDB">
              <w:rPr>
                <w:rFonts w:asciiTheme="majorHAnsi" w:hAnsiTheme="majorHAnsi"/>
                <w:sz w:val="24"/>
                <w:szCs w:val="24"/>
              </w:rPr>
              <w:t>3</w:t>
            </w:r>
            <w:r>
              <w:rPr>
                <w:rFonts w:asciiTheme="majorHAnsi" w:hAnsiTheme="majorHAnsi"/>
                <w:sz w:val="24"/>
                <w:szCs w:val="24"/>
              </w:rPr>
              <w:t>:00</w:t>
            </w:r>
            <w:r w:rsidR="00BE4DDB">
              <w:rPr>
                <w:rFonts w:asciiTheme="majorHAnsi" w:hAnsiTheme="majorHAnsi"/>
                <w:sz w:val="24"/>
                <w:szCs w:val="24"/>
              </w:rPr>
              <w:t>-4</w:t>
            </w:r>
            <w:r>
              <w:rPr>
                <w:rFonts w:asciiTheme="majorHAnsi" w:hAnsiTheme="majorHAnsi"/>
                <w:sz w:val="24"/>
                <w:szCs w:val="24"/>
              </w:rPr>
              <w:t xml:space="preserve">:00pm. The group will meet quarterly, </w:t>
            </w:r>
            <w:r w:rsidR="00704D0A">
              <w:rPr>
                <w:rFonts w:asciiTheme="majorHAnsi" w:hAnsiTheme="majorHAnsi"/>
                <w:sz w:val="24"/>
                <w:szCs w:val="24"/>
              </w:rPr>
              <w:t>with meetings</w:t>
            </w:r>
            <w:r>
              <w:rPr>
                <w:rFonts w:asciiTheme="majorHAnsi" w:hAnsiTheme="majorHAnsi"/>
                <w:sz w:val="24"/>
                <w:szCs w:val="24"/>
              </w:rPr>
              <w:t xml:space="preserve"> no longer than 1.5 hours. Kathleen has put out a r</w:t>
            </w:r>
            <w:r w:rsidR="00BE4DDB">
              <w:rPr>
                <w:rFonts w:asciiTheme="majorHAnsi" w:hAnsiTheme="majorHAnsi"/>
                <w:sz w:val="24"/>
                <w:szCs w:val="24"/>
              </w:rPr>
              <w:t xml:space="preserve">equest </w:t>
            </w:r>
            <w:r>
              <w:rPr>
                <w:rFonts w:asciiTheme="majorHAnsi" w:hAnsiTheme="majorHAnsi"/>
                <w:sz w:val="24"/>
                <w:szCs w:val="24"/>
              </w:rPr>
              <w:t>t</w:t>
            </w:r>
            <w:r w:rsidR="00BE4DDB">
              <w:rPr>
                <w:rFonts w:asciiTheme="majorHAnsi" w:hAnsiTheme="majorHAnsi"/>
                <w:sz w:val="24"/>
                <w:szCs w:val="24"/>
              </w:rPr>
              <w:t>o administrators regarding who would be interested in participating</w:t>
            </w:r>
            <w:r>
              <w:rPr>
                <w:rFonts w:asciiTheme="majorHAnsi" w:hAnsiTheme="majorHAnsi"/>
                <w:sz w:val="24"/>
                <w:szCs w:val="24"/>
              </w:rPr>
              <w:t xml:space="preserve">, and </w:t>
            </w:r>
            <w:r w:rsidR="00704D0A">
              <w:rPr>
                <w:rFonts w:asciiTheme="majorHAnsi" w:hAnsiTheme="majorHAnsi"/>
                <w:sz w:val="24"/>
                <w:szCs w:val="24"/>
              </w:rPr>
              <w:t xml:space="preserve">she </w:t>
            </w:r>
            <w:r>
              <w:rPr>
                <w:rFonts w:asciiTheme="majorHAnsi" w:hAnsiTheme="majorHAnsi"/>
                <w:sz w:val="24"/>
                <w:szCs w:val="24"/>
              </w:rPr>
              <w:t xml:space="preserve">will follow up with CLHO members who volunteered or offered suggestions during today’s CLHO Healthy Communities meeting. </w:t>
            </w:r>
          </w:p>
          <w:p w14:paraId="18D7F11C" w14:textId="77777777" w:rsidR="002466CE" w:rsidRDefault="002466CE" w:rsidP="00215F02">
            <w:pPr>
              <w:rPr>
                <w:rFonts w:asciiTheme="majorHAnsi" w:hAnsiTheme="majorHAnsi"/>
                <w:sz w:val="24"/>
                <w:szCs w:val="24"/>
              </w:rPr>
            </w:pPr>
          </w:p>
          <w:p w14:paraId="2F4987B4" w14:textId="77777777" w:rsidR="002466CE" w:rsidRPr="00C6494F" w:rsidRDefault="00871798" w:rsidP="00215F02">
            <w:pPr>
              <w:rPr>
                <w:rFonts w:asciiTheme="majorHAnsi" w:hAnsiTheme="majorHAnsi"/>
                <w:sz w:val="24"/>
                <w:szCs w:val="24"/>
              </w:rPr>
            </w:pPr>
            <w:r>
              <w:rPr>
                <w:rFonts w:asciiTheme="majorHAnsi" w:hAnsiTheme="majorHAnsi"/>
                <w:sz w:val="24"/>
                <w:szCs w:val="24"/>
              </w:rPr>
              <w:t xml:space="preserve">Email </w:t>
            </w:r>
            <w:r w:rsidR="002466CE">
              <w:rPr>
                <w:rFonts w:asciiTheme="majorHAnsi" w:hAnsiTheme="majorHAnsi"/>
                <w:sz w:val="24"/>
                <w:szCs w:val="24"/>
              </w:rPr>
              <w:t xml:space="preserve">Kathleen with </w:t>
            </w:r>
            <w:r>
              <w:rPr>
                <w:rFonts w:asciiTheme="majorHAnsi" w:hAnsiTheme="majorHAnsi"/>
                <w:sz w:val="24"/>
                <w:szCs w:val="24"/>
              </w:rPr>
              <w:t xml:space="preserve">any </w:t>
            </w:r>
            <w:r w:rsidR="002466CE">
              <w:rPr>
                <w:rFonts w:asciiTheme="majorHAnsi" w:hAnsiTheme="majorHAnsi"/>
                <w:sz w:val="24"/>
                <w:szCs w:val="24"/>
              </w:rPr>
              <w:t xml:space="preserve">additional </w:t>
            </w:r>
            <w:r>
              <w:rPr>
                <w:rFonts w:asciiTheme="majorHAnsi" w:hAnsiTheme="majorHAnsi"/>
                <w:sz w:val="24"/>
                <w:szCs w:val="24"/>
              </w:rPr>
              <w:t>names of people</w:t>
            </w:r>
            <w:r w:rsidR="002466CE">
              <w:rPr>
                <w:rFonts w:asciiTheme="majorHAnsi" w:hAnsiTheme="majorHAnsi"/>
                <w:sz w:val="24"/>
                <w:szCs w:val="24"/>
              </w:rPr>
              <w:t xml:space="preserve"> interested in participating in the </w:t>
            </w:r>
            <w:r>
              <w:rPr>
                <w:rFonts w:asciiTheme="majorHAnsi" w:hAnsiTheme="majorHAnsi"/>
                <w:sz w:val="24"/>
                <w:szCs w:val="24"/>
              </w:rPr>
              <w:t>HiAP work</w:t>
            </w:r>
            <w:r w:rsidR="002466CE">
              <w:rPr>
                <w:rFonts w:asciiTheme="majorHAnsi" w:hAnsiTheme="majorHAnsi"/>
                <w:sz w:val="24"/>
                <w:szCs w:val="24"/>
              </w:rPr>
              <w:t xml:space="preserve">group. </w:t>
            </w:r>
            <w:r w:rsidR="00CA412A">
              <w:rPr>
                <w:rFonts w:asciiTheme="majorHAnsi" w:hAnsiTheme="majorHAnsi"/>
                <w:sz w:val="24"/>
                <w:szCs w:val="24"/>
              </w:rPr>
              <w:t xml:space="preserve">She can be reached at </w:t>
            </w:r>
            <w:r w:rsidR="00CA412A" w:rsidRPr="00CA412A">
              <w:rPr>
                <w:rFonts w:asciiTheme="majorHAnsi" w:hAnsiTheme="majorHAnsi"/>
                <w:sz w:val="24"/>
                <w:szCs w:val="24"/>
              </w:rPr>
              <w:t>kathleen@oregonclho.org</w:t>
            </w:r>
            <w:r w:rsidR="00CA412A">
              <w:rPr>
                <w:rFonts w:asciiTheme="majorHAnsi" w:hAnsiTheme="majorHAnsi"/>
                <w:sz w:val="24"/>
                <w:szCs w:val="24"/>
              </w:rPr>
              <w:t>.</w:t>
            </w:r>
          </w:p>
        </w:tc>
        <w:tc>
          <w:tcPr>
            <w:tcW w:w="1530" w:type="dxa"/>
            <w:tcBorders>
              <w:top w:val="single" w:sz="4" w:space="0" w:color="auto"/>
              <w:left w:val="single" w:sz="4" w:space="0" w:color="auto"/>
              <w:bottom w:val="single" w:sz="4" w:space="0" w:color="auto"/>
              <w:right w:val="single" w:sz="4" w:space="0" w:color="auto"/>
            </w:tcBorders>
          </w:tcPr>
          <w:p w14:paraId="32E7D7A3" w14:textId="77777777" w:rsidR="0057519F" w:rsidRPr="00C6494F" w:rsidRDefault="0057519F" w:rsidP="00215F02">
            <w:pPr>
              <w:rPr>
                <w:rFonts w:asciiTheme="majorHAnsi" w:hAnsiTheme="majorHAnsi"/>
                <w:sz w:val="24"/>
                <w:szCs w:val="24"/>
              </w:rPr>
            </w:pPr>
            <w:r w:rsidRPr="00C6494F">
              <w:rPr>
                <w:rFonts w:asciiTheme="majorHAnsi" w:hAnsiTheme="majorHAnsi"/>
                <w:sz w:val="24"/>
                <w:szCs w:val="24"/>
              </w:rPr>
              <w:lastRenderedPageBreak/>
              <w:t>Kathleen Johnson</w:t>
            </w:r>
          </w:p>
        </w:tc>
      </w:tr>
      <w:tr w:rsidR="00C6494F" w:rsidRPr="00C6494F" w14:paraId="3A2303E8" w14:textId="77777777" w:rsidTr="00D76C5E">
        <w:trPr>
          <w:trHeight w:val="692"/>
        </w:trPr>
        <w:tc>
          <w:tcPr>
            <w:tcW w:w="2448" w:type="dxa"/>
            <w:gridSpan w:val="2"/>
          </w:tcPr>
          <w:p w14:paraId="09C431D3" w14:textId="77777777" w:rsidR="009230DC" w:rsidRPr="00C6494F" w:rsidRDefault="0057519F" w:rsidP="009230DC">
            <w:pPr>
              <w:rPr>
                <w:rFonts w:asciiTheme="majorHAnsi" w:hAnsiTheme="majorHAnsi"/>
                <w:sz w:val="24"/>
                <w:szCs w:val="24"/>
              </w:rPr>
            </w:pPr>
            <w:r w:rsidRPr="00C6494F">
              <w:rPr>
                <w:rFonts w:asciiTheme="majorHAnsi" w:hAnsiTheme="majorHAnsi"/>
                <w:sz w:val="24"/>
                <w:szCs w:val="24"/>
              </w:rPr>
              <w:lastRenderedPageBreak/>
              <w:t xml:space="preserve">Update on </w:t>
            </w:r>
            <w:r w:rsidR="00CC350A" w:rsidRPr="00C6494F">
              <w:rPr>
                <w:rFonts w:asciiTheme="majorHAnsi" w:hAnsiTheme="majorHAnsi"/>
                <w:sz w:val="24"/>
                <w:szCs w:val="24"/>
              </w:rPr>
              <w:t>Marijuana</w:t>
            </w:r>
            <w:r w:rsidRPr="00C6494F">
              <w:rPr>
                <w:rFonts w:asciiTheme="majorHAnsi" w:hAnsiTheme="majorHAnsi"/>
                <w:sz w:val="24"/>
                <w:szCs w:val="24"/>
              </w:rPr>
              <w:t xml:space="preserve"> (10 min)</w:t>
            </w:r>
            <w:r w:rsidR="000B53DC" w:rsidRPr="00C6494F">
              <w:rPr>
                <w:rFonts w:asciiTheme="majorHAnsi" w:hAnsiTheme="majorHAnsi"/>
                <w:sz w:val="24"/>
                <w:szCs w:val="24"/>
              </w:rPr>
              <w:t xml:space="preserve"> 1:50 – 2:00</w:t>
            </w:r>
          </w:p>
        </w:tc>
        <w:tc>
          <w:tcPr>
            <w:tcW w:w="3870" w:type="dxa"/>
          </w:tcPr>
          <w:p w14:paraId="46B818E9" w14:textId="77777777" w:rsidR="000F7335" w:rsidRPr="00C6494F" w:rsidRDefault="000F7335" w:rsidP="000F7335">
            <w:pPr>
              <w:rPr>
                <w:rFonts w:asciiTheme="majorHAnsi" w:hAnsiTheme="majorHAnsi"/>
                <w:sz w:val="24"/>
                <w:szCs w:val="24"/>
              </w:rPr>
            </w:pPr>
            <w:r w:rsidRPr="00C6494F">
              <w:rPr>
                <w:rFonts w:asciiTheme="majorHAnsi" w:hAnsiTheme="majorHAnsi"/>
                <w:b/>
                <w:sz w:val="24"/>
                <w:szCs w:val="24"/>
              </w:rPr>
              <w:t xml:space="preserve">Background: </w:t>
            </w:r>
            <w:r w:rsidR="00FB439A" w:rsidRPr="00C6494F">
              <w:rPr>
                <w:rFonts w:asciiTheme="majorHAnsi" w:hAnsiTheme="majorHAnsi"/>
                <w:sz w:val="24"/>
                <w:szCs w:val="24"/>
              </w:rPr>
              <w:t>T</w:t>
            </w:r>
            <w:r w:rsidR="0060035B" w:rsidRPr="00C6494F">
              <w:rPr>
                <w:rFonts w:asciiTheme="majorHAnsi" w:hAnsiTheme="majorHAnsi"/>
                <w:sz w:val="24"/>
                <w:szCs w:val="24"/>
              </w:rPr>
              <w:t>he Oregon Health Authority continues to participat</w:t>
            </w:r>
            <w:r w:rsidR="00FB439A" w:rsidRPr="00C6494F">
              <w:rPr>
                <w:rFonts w:asciiTheme="majorHAnsi" w:hAnsiTheme="majorHAnsi"/>
                <w:sz w:val="24"/>
                <w:szCs w:val="24"/>
              </w:rPr>
              <w:t xml:space="preserve">e in rule making and </w:t>
            </w:r>
            <w:r w:rsidR="0060035B" w:rsidRPr="00C6494F">
              <w:rPr>
                <w:rFonts w:asciiTheme="majorHAnsi" w:hAnsiTheme="majorHAnsi"/>
                <w:sz w:val="24"/>
                <w:szCs w:val="24"/>
              </w:rPr>
              <w:t>planning related to marijuana use.</w:t>
            </w:r>
          </w:p>
          <w:p w14:paraId="1FA08864" w14:textId="77777777" w:rsidR="00707B00" w:rsidRPr="00C6494F" w:rsidRDefault="00707B00" w:rsidP="000F7335">
            <w:pPr>
              <w:rPr>
                <w:rFonts w:asciiTheme="majorHAnsi" w:hAnsiTheme="majorHAnsi"/>
                <w:sz w:val="24"/>
                <w:szCs w:val="24"/>
              </w:rPr>
            </w:pPr>
          </w:p>
          <w:p w14:paraId="6C9D2224" w14:textId="77777777" w:rsidR="000F7335" w:rsidRPr="00C6494F" w:rsidRDefault="000F7335" w:rsidP="000F7335">
            <w:pPr>
              <w:rPr>
                <w:rFonts w:asciiTheme="majorHAnsi" w:hAnsiTheme="majorHAnsi"/>
                <w:sz w:val="24"/>
                <w:szCs w:val="24"/>
              </w:rPr>
            </w:pPr>
            <w:r w:rsidRPr="00C6494F">
              <w:rPr>
                <w:rFonts w:asciiTheme="majorHAnsi" w:hAnsiTheme="majorHAnsi"/>
                <w:b/>
                <w:sz w:val="24"/>
                <w:szCs w:val="24"/>
              </w:rPr>
              <w:t xml:space="preserve">Objective: </w:t>
            </w:r>
            <w:r w:rsidR="0060035B" w:rsidRPr="00C6494F">
              <w:rPr>
                <w:rFonts w:asciiTheme="majorHAnsi" w:hAnsiTheme="majorHAnsi"/>
                <w:sz w:val="24"/>
                <w:szCs w:val="24"/>
              </w:rPr>
              <w:t>Provide an update on</w:t>
            </w:r>
            <w:r w:rsidR="0060035B" w:rsidRPr="00C6494F">
              <w:rPr>
                <w:rFonts w:asciiTheme="majorHAnsi" w:hAnsiTheme="majorHAnsi"/>
                <w:b/>
                <w:bCs/>
                <w:sz w:val="24"/>
                <w:szCs w:val="24"/>
              </w:rPr>
              <w:t xml:space="preserve"> </w:t>
            </w:r>
            <w:r w:rsidR="0060035B" w:rsidRPr="00C6494F">
              <w:rPr>
                <w:rFonts w:asciiTheme="majorHAnsi" w:hAnsiTheme="majorHAnsi"/>
                <w:sz w:val="24"/>
                <w:szCs w:val="24"/>
              </w:rPr>
              <w:t>the efforts of the Statewide Marijuana Communications Group, the Retail Marijuana Scientific Advisory Committee, and recent legislation</w:t>
            </w:r>
          </w:p>
          <w:p w14:paraId="6333B9A9" w14:textId="77777777" w:rsidR="009230DC" w:rsidRPr="00C6494F" w:rsidRDefault="009230DC" w:rsidP="009230DC">
            <w:pPr>
              <w:rPr>
                <w:rFonts w:asciiTheme="majorHAnsi" w:hAnsiTheme="majorHAnsi"/>
                <w:sz w:val="24"/>
                <w:szCs w:val="24"/>
              </w:rPr>
            </w:pPr>
          </w:p>
        </w:tc>
        <w:tc>
          <w:tcPr>
            <w:tcW w:w="6750" w:type="dxa"/>
          </w:tcPr>
          <w:p w14:paraId="52666887" w14:textId="5C67A850" w:rsidR="009230DC" w:rsidRDefault="00871798" w:rsidP="009230DC">
            <w:pPr>
              <w:rPr>
                <w:rFonts w:asciiTheme="majorHAnsi" w:hAnsiTheme="majorHAnsi"/>
                <w:sz w:val="24"/>
                <w:szCs w:val="24"/>
              </w:rPr>
            </w:pPr>
            <w:r>
              <w:rPr>
                <w:rFonts w:asciiTheme="majorHAnsi" w:hAnsiTheme="majorHAnsi"/>
                <w:sz w:val="24"/>
                <w:szCs w:val="24"/>
              </w:rPr>
              <w:t>HPCDP Section Manager Karen Girard provided an overview of legislation related to marijuana. A group at the Public Health Division (PHD) that meets weekly to coordinate on marijuana i</w:t>
            </w:r>
            <w:r w:rsidR="002466CE">
              <w:rPr>
                <w:rFonts w:asciiTheme="majorHAnsi" w:hAnsiTheme="majorHAnsi"/>
                <w:sz w:val="24"/>
                <w:szCs w:val="24"/>
              </w:rPr>
              <w:t>ssues</w:t>
            </w:r>
            <w:r>
              <w:rPr>
                <w:rFonts w:asciiTheme="majorHAnsi" w:hAnsiTheme="majorHAnsi"/>
                <w:sz w:val="24"/>
                <w:szCs w:val="24"/>
              </w:rPr>
              <w:t xml:space="preserve"> is d</w:t>
            </w:r>
            <w:r w:rsidR="002466CE">
              <w:rPr>
                <w:rFonts w:asciiTheme="majorHAnsi" w:hAnsiTheme="majorHAnsi"/>
                <w:sz w:val="24"/>
                <w:szCs w:val="24"/>
              </w:rPr>
              <w:t xml:space="preserve">eveloping </w:t>
            </w:r>
            <w:r>
              <w:rPr>
                <w:rFonts w:asciiTheme="majorHAnsi" w:hAnsiTheme="majorHAnsi"/>
                <w:sz w:val="24"/>
                <w:szCs w:val="24"/>
              </w:rPr>
              <w:t>a comprehensive</w:t>
            </w:r>
            <w:r w:rsidR="002466CE">
              <w:rPr>
                <w:rFonts w:asciiTheme="majorHAnsi" w:hAnsiTheme="majorHAnsi"/>
                <w:sz w:val="24"/>
                <w:szCs w:val="24"/>
              </w:rPr>
              <w:t xml:space="preserve"> summary</w:t>
            </w:r>
            <w:r>
              <w:rPr>
                <w:rFonts w:asciiTheme="majorHAnsi" w:hAnsiTheme="majorHAnsi"/>
                <w:sz w:val="24"/>
                <w:szCs w:val="24"/>
              </w:rPr>
              <w:t xml:space="preserve"> of all marijuana-related </w:t>
            </w:r>
            <w:r w:rsidR="00CA412A">
              <w:rPr>
                <w:rFonts w:asciiTheme="majorHAnsi" w:hAnsiTheme="majorHAnsi"/>
                <w:sz w:val="24"/>
                <w:szCs w:val="24"/>
              </w:rPr>
              <w:t>related to</w:t>
            </w:r>
            <w:r>
              <w:rPr>
                <w:rFonts w:asciiTheme="majorHAnsi" w:hAnsiTheme="majorHAnsi"/>
                <w:sz w:val="24"/>
                <w:szCs w:val="24"/>
              </w:rPr>
              <w:t xml:space="preserve"> this legislative s</w:t>
            </w:r>
            <w:r w:rsidR="002466CE">
              <w:rPr>
                <w:rFonts w:asciiTheme="majorHAnsi" w:hAnsiTheme="majorHAnsi"/>
                <w:sz w:val="24"/>
                <w:szCs w:val="24"/>
              </w:rPr>
              <w:t xml:space="preserve">ession. </w:t>
            </w:r>
          </w:p>
          <w:p w14:paraId="3DC4DE9B" w14:textId="77777777" w:rsidR="002466CE" w:rsidRDefault="002466CE" w:rsidP="009230DC">
            <w:pPr>
              <w:rPr>
                <w:rFonts w:asciiTheme="majorHAnsi" w:hAnsiTheme="majorHAnsi"/>
                <w:sz w:val="24"/>
                <w:szCs w:val="24"/>
              </w:rPr>
            </w:pPr>
          </w:p>
          <w:p w14:paraId="449CB8CD" w14:textId="1812F151" w:rsidR="002466CE" w:rsidRDefault="002466CE" w:rsidP="009230DC">
            <w:pPr>
              <w:rPr>
                <w:rFonts w:asciiTheme="majorHAnsi" w:hAnsiTheme="majorHAnsi"/>
                <w:sz w:val="24"/>
                <w:szCs w:val="24"/>
              </w:rPr>
            </w:pPr>
            <w:r>
              <w:rPr>
                <w:rFonts w:asciiTheme="majorHAnsi" w:hAnsiTheme="majorHAnsi"/>
                <w:sz w:val="24"/>
                <w:szCs w:val="24"/>
              </w:rPr>
              <w:t>HB 4014</w:t>
            </w:r>
            <w:r w:rsidR="00871798">
              <w:rPr>
                <w:rFonts w:asciiTheme="majorHAnsi" w:hAnsiTheme="majorHAnsi"/>
                <w:sz w:val="24"/>
                <w:szCs w:val="24"/>
              </w:rPr>
              <w:t xml:space="preserve">A </w:t>
            </w:r>
            <w:r>
              <w:rPr>
                <w:rFonts w:asciiTheme="majorHAnsi" w:hAnsiTheme="majorHAnsi"/>
                <w:sz w:val="24"/>
                <w:szCs w:val="24"/>
              </w:rPr>
              <w:t xml:space="preserve">establishes </w:t>
            </w:r>
            <w:r w:rsidR="00871798">
              <w:rPr>
                <w:rFonts w:asciiTheme="majorHAnsi" w:hAnsiTheme="majorHAnsi"/>
                <w:sz w:val="24"/>
                <w:szCs w:val="24"/>
              </w:rPr>
              <w:t>an evidence-</w:t>
            </w:r>
            <w:r>
              <w:rPr>
                <w:rFonts w:asciiTheme="majorHAnsi" w:hAnsiTheme="majorHAnsi"/>
                <w:sz w:val="24"/>
                <w:szCs w:val="24"/>
              </w:rPr>
              <w:t>ba</w:t>
            </w:r>
            <w:r w:rsidR="00871798">
              <w:rPr>
                <w:rFonts w:asciiTheme="majorHAnsi" w:hAnsiTheme="majorHAnsi"/>
                <w:sz w:val="24"/>
                <w:szCs w:val="24"/>
              </w:rPr>
              <w:t>s</w:t>
            </w:r>
            <w:r>
              <w:rPr>
                <w:rFonts w:asciiTheme="majorHAnsi" w:hAnsiTheme="majorHAnsi"/>
                <w:sz w:val="24"/>
                <w:szCs w:val="24"/>
              </w:rPr>
              <w:t>ed pilot project to increa</w:t>
            </w:r>
            <w:r w:rsidR="00871798">
              <w:rPr>
                <w:rFonts w:asciiTheme="majorHAnsi" w:hAnsiTheme="majorHAnsi"/>
                <w:sz w:val="24"/>
                <w:szCs w:val="24"/>
              </w:rPr>
              <w:t>s</w:t>
            </w:r>
            <w:r>
              <w:rPr>
                <w:rFonts w:asciiTheme="majorHAnsi" w:hAnsiTheme="majorHAnsi"/>
                <w:sz w:val="24"/>
                <w:szCs w:val="24"/>
              </w:rPr>
              <w:t xml:space="preserve">e awareness among youth of </w:t>
            </w:r>
            <w:r w:rsidR="00871798">
              <w:rPr>
                <w:rFonts w:asciiTheme="majorHAnsi" w:hAnsiTheme="majorHAnsi"/>
                <w:sz w:val="24"/>
                <w:szCs w:val="24"/>
              </w:rPr>
              <w:t>the effects</w:t>
            </w:r>
            <w:r>
              <w:rPr>
                <w:rFonts w:asciiTheme="majorHAnsi" w:hAnsiTheme="majorHAnsi"/>
                <w:sz w:val="24"/>
                <w:szCs w:val="24"/>
              </w:rPr>
              <w:t xml:space="preserve"> of marijuana</w:t>
            </w:r>
            <w:r w:rsidR="00871798">
              <w:rPr>
                <w:rFonts w:asciiTheme="majorHAnsi" w:hAnsiTheme="majorHAnsi"/>
                <w:sz w:val="24"/>
                <w:szCs w:val="24"/>
              </w:rPr>
              <w:t xml:space="preserve"> through a youth </w:t>
            </w:r>
            <w:r>
              <w:rPr>
                <w:rFonts w:asciiTheme="majorHAnsi" w:hAnsiTheme="majorHAnsi"/>
                <w:sz w:val="24"/>
                <w:szCs w:val="24"/>
              </w:rPr>
              <w:t xml:space="preserve">prevention campaign. </w:t>
            </w:r>
            <w:r w:rsidR="00871798">
              <w:rPr>
                <w:rFonts w:asciiTheme="majorHAnsi" w:hAnsiTheme="majorHAnsi"/>
                <w:sz w:val="24"/>
                <w:szCs w:val="24"/>
              </w:rPr>
              <w:t xml:space="preserve">This </w:t>
            </w:r>
            <w:r w:rsidR="00CA412A">
              <w:rPr>
                <w:rFonts w:asciiTheme="majorHAnsi" w:hAnsiTheme="majorHAnsi"/>
                <w:sz w:val="24"/>
                <w:szCs w:val="24"/>
              </w:rPr>
              <w:t>campaign will be run by</w:t>
            </w:r>
            <w:r>
              <w:rPr>
                <w:rFonts w:asciiTheme="majorHAnsi" w:hAnsiTheme="majorHAnsi"/>
                <w:sz w:val="24"/>
                <w:szCs w:val="24"/>
              </w:rPr>
              <w:t xml:space="preserve"> PH</w:t>
            </w:r>
            <w:r w:rsidR="00871798">
              <w:rPr>
                <w:rFonts w:asciiTheme="majorHAnsi" w:hAnsiTheme="majorHAnsi"/>
                <w:sz w:val="24"/>
                <w:szCs w:val="24"/>
              </w:rPr>
              <w:t>D</w:t>
            </w:r>
            <w:r>
              <w:rPr>
                <w:rFonts w:asciiTheme="majorHAnsi" w:hAnsiTheme="majorHAnsi"/>
                <w:sz w:val="24"/>
                <w:szCs w:val="24"/>
              </w:rPr>
              <w:t xml:space="preserve"> in coordination with </w:t>
            </w:r>
            <w:r w:rsidR="00CA412A">
              <w:rPr>
                <w:rFonts w:asciiTheme="majorHAnsi" w:hAnsiTheme="majorHAnsi"/>
                <w:sz w:val="24"/>
                <w:szCs w:val="24"/>
              </w:rPr>
              <w:t xml:space="preserve">the </w:t>
            </w:r>
            <w:r>
              <w:rPr>
                <w:rFonts w:asciiTheme="majorHAnsi" w:hAnsiTheme="majorHAnsi"/>
                <w:sz w:val="24"/>
                <w:szCs w:val="24"/>
              </w:rPr>
              <w:t>O</w:t>
            </w:r>
            <w:r w:rsidR="00CA412A">
              <w:rPr>
                <w:rFonts w:asciiTheme="majorHAnsi" w:hAnsiTheme="majorHAnsi"/>
                <w:sz w:val="24"/>
                <w:szCs w:val="24"/>
              </w:rPr>
              <w:t xml:space="preserve">regon </w:t>
            </w:r>
            <w:r>
              <w:rPr>
                <w:rFonts w:asciiTheme="majorHAnsi" w:hAnsiTheme="majorHAnsi"/>
                <w:sz w:val="24"/>
                <w:szCs w:val="24"/>
              </w:rPr>
              <w:t>L</w:t>
            </w:r>
            <w:r w:rsidR="00CA412A">
              <w:rPr>
                <w:rFonts w:asciiTheme="majorHAnsi" w:hAnsiTheme="majorHAnsi"/>
                <w:sz w:val="24"/>
                <w:szCs w:val="24"/>
              </w:rPr>
              <w:t xml:space="preserve">iquor </w:t>
            </w:r>
            <w:r>
              <w:rPr>
                <w:rFonts w:asciiTheme="majorHAnsi" w:hAnsiTheme="majorHAnsi"/>
                <w:sz w:val="24"/>
                <w:szCs w:val="24"/>
              </w:rPr>
              <w:t>C</w:t>
            </w:r>
            <w:r w:rsidR="00CA412A">
              <w:rPr>
                <w:rFonts w:asciiTheme="majorHAnsi" w:hAnsiTheme="majorHAnsi"/>
                <w:sz w:val="24"/>
                <w:szCs w:val="24"/>
              </w:rPr>
              <w:t xml:space="preserve">ontrol </w:t>
            </w:r>
            <w:r>
              <w:rPr>
                <w:rFonts w:asciiTheme="majorHAnsi" w:hAnsiTheme="majorHAnsi"/>
                <w:sz w:val="24"/>
                <w:szCs w:val="24"/>
              </w:rPr>
              <w:t>C</w:t>
            </w:r>
            <w:r w:rsidR="00CA412A">
              <w:rPr>
                <w:rFonts w:asciiTheme="majorHAnsi" w:hAnsiTheme="majorHAnsi"/>
                <w:sz w:val="24"/>
                <w:szCs w:val="24"/>
              </w:rPr>
              <w:t>ommission (OLCC). A</w:t>
            </w:r>
            <w:r w:rsidR="00871798">
              <w:rPr>
                <w:rFonts w:asciiTheme="majorHAnsi" w:hAnsiTheme="majorHAnsi"/>
                <w:sz w:val="24"/>
                <w:szCs w:val="24"/>
              </w:rPr>
              <w:t xml:space="preserve"> </w:t>
            </w:r>
            <w:r>
              <w:rPr>
                <w:rFonts w:asciiTheme="majorHAnsi" w:hAnsiTheme="majorHAnsi"/>
                <w:sz w:val="24"/>
                <w:szCs w:val="24"/>
              </w:rPr>
              <w:t>pilot</w:t>
            </w:r>
            <w:r w:rsidR="00CA412A">
              <w:rPr>
                <w:rFonts w:asciiTheme="majorHAnsi" w:hAnsiTheme="majorHAnsi"/>
                <w:sz w:val="24"/>
                <w:szCs w:val="24"/>
              </w:rPr>
              <w:t xml:space="preserve"> will be conducted</w:t>
            </w:r>
            <w:r>
              <w:rPr>
                <w:rFonts w:asciiTheme="majorHAnsi" w:hAnsiTheme="majorHAnsi"/>
                <w:sz w:val="24"/>
                <w:szCs w:val="24"/>
              </w:rPr>
              <w:t xml:space="preserve"> between now and </w:t>
            </w:r>
            <w:r w:rsidR="00871798">
              <w:rPr>
                <w:rFonts w:asciiTheme="majorHAnsi" w:hAnsiTheme="majorHAnsi"/>
                <w:sz w:val="24"/>
                <w:szCs w:val="24"/>
              </w:rPr>
              <w:t xml:space="preserve">the </w:t>
            </w:r>
            <w:r>
              <w:rPr>
                <w:rFonts w:asciiTheme="majorHAnsi" w:hAnsiTheme="majorHAnsi"/>
                <w:sz w:val="24"/>
                <w:szCs w:val="24"/>
              </w:rPr>
              <w:t>next</w:t>
            </w:r>
            <w:r w:rsidR="00871798">
              <w:rPr>
                <w:rFonts w:asciiTheme="majorHAnsi" w:hAnsiTheme="majorHAnsi"/>
                <w:sz w:val="24"/>
                <w:szCs w:val="24"/>
              </w:rPr>
              <w:t xml:space="preserve"> legislative</w:t>
            </w:r>
            <w:r>
              <w:rPr>
                <w:rFonts w:asciiTheme="majorHAnsi" w:hAnsiTheme="majorHAnsi"/>
                <w:sz w:val="24"/>
                <w:szCs w:val="24"/>
              </w:rPr>
              <w:t xml:space="preserve"> session to have </w:t>
            </w:r>
            <w:r w:rsidR="00AF0B95">
              <w:rPr>
                <w:rFonts w:asciiTheme="majorHAnsi" w:hAnsiTheme="majorHAnsi"/>
                <w:sz w:val="24"/>
                <w:szCs w:val="24"/>
              </w:rPr>
              <w:t xml:space="preserve">findings </w:t>
            </w:r>
            <w:r>
              <w:rPr>
                <w:rFonts w:asciiTheme="majorHAnsi" w:hAnsiTheme="majorHAnsi"/>
                <w:sz w:val="24"/>
                <w:szCs w:val="24"/>
              </w:rPr>
              <w:t xml:space="preserve">ready to share for </w:t>
            </w:r>
            <w:r w:rsidR="00871798">
              <w:rPr>
                <w:rFonts w:asciiTheme="majorHAnsi" w:hAnsiTheme="majorHAnsi"/>
                <w:sz w:val="24"/>
                <w:szCs w:val="24"/>
              </w:rPr>
              <w:t xml:space="preserve">the </w:t>
            </w:r>
            <w:r>
              <w:rPr>
                <w:rFonts w:asciiTheme="majorHAnsi" w:hAnsiTheme="majorHAnsi"/>
                <w:sz w:val="24"/>
                <w:szCs w:val="24"/>
              </w:rPr>
              <w:t>2017 legislat</w:t>
            </w:r>
            <w:r w:rsidR="00AF0B95">
              <w:rPr>
                <w:rFonts w:asciiTheme="majorHAnsi" w:hAnsiTheme="majorHAnsi"/>
                <w:sz w:val="24"/>
                <w:szCs w:val="24"/>
              </w:rPr>
              <w:t>ive session.</w:t>
            </w:r>
            <w:r>
              <w:rPr>
                <w:rFonts w:asciiTheme="majorHAnsi" w:hAnsiTheme="majorHAnsi"/>
                <w:sz w:val="24"/>
                <w:szCs w:val="24"/>
              </w:rPr>
              <w:t xml:space="preserve"> </w:t>
            </w:r>
          </w:p>
          <w:p w14:paraId="4B6A57CE" w14:textId="77777777" w:rsidR="00871798" w:rsidRDefault="00871798" w:rsidP="009230DC">
            <w:pPr>
              <w:rPr>
                <w:rFonts w:asciiTheme="majorHAnsi" w:hAnsiTheme="majorHAnsi"/>
                <w:sz w:val="24"/>
                <w:szCs w:val="24"/>
              </w:rPr>
            </w:pPr>
          </w:p>
          <w:p w14:paraId="49B750AD" w14:textId="77777777" w:rsidR="002466CE" w:rsidRDefault="002466CE" w:rsidP="009230DC">
            <w:pPr>
              <w:rPr>
                <w:rFonts w:asciiTheme="majorHAnsi" w:hAnsiTheme="majorHAnsi"/>
                <w:sz w:val="24"/>
                <w:szCs w:val="24"/>
              </w:rPr>
            </w:pPr>
            <w:r>
              <w:rPr>
                <w:rFonts w:asciiTheme="majorHAnsi" w:hAnsiTheme="majorHAnsi"/>
                <w:sz w:val="24"/>
                <w:szCs w:val="24"/>
              </w:rPr>
              <w:t xml:space="preserve">OHA </w:t>
            </w:r>
            <w:r w:rsidR="00871798">
              <w:rPr>
                <w:rFonts w:asciiTheme="majorHAnsi" w:hAnsiTheme="majorHAnsi"/>
                <w:sz w:val="24"/>
                <w:szCs w:val="24"/>
              </w:rPr>
              <w:t>will convene a</w:t>
            </w:r>
            <w:r>
              <w:rPr>
                <w:rFonts w:asciiTheme="majorHAnsi" w:hAnsiTheme="majorHAnsi"/>
                <w:sz w:val="24"/>
                <w:szCs w:val="24"/>
              </w:rPr>
              <w:t xml:space="preserve"> clinical guidelines workgroup related to medical marijuana. </w:t>
            </w:r>
          </w:p>
          <w:p w14:paraId="189EEAB2" w14:textId="77777777" w:rsidR="002466CE" w:rsidRDefault="002466CE" w:rsidP="009230DC">
            <w:pPr>
              <w:rPr>
                <w:rFonts w:asciiTheme="majorHAnsi" w:hAnsiTheme="majorHAnsi"/>
                <w:sz w:val="24"/>
                <w:szCs w:val="24"/>
              </w:rPr>
            </w:pPr>
          </w:p>
          <w:p w14:paraId="239E6D15" w14:textId="29C06208" w:rsidR="002466CE" w:rsidRDefault="002466CE" w:rsidP="009230DC">
            <w:pPr>
              <w:rPr>
                <w:rFonts w:asciiTheme="majorHAnsi" w:hAnsiTheme="majorHAnsi"/>
                <w:sz w:val="24"/>
                <w:szCs w:val="24"/>
              </w:rPr>
            </w:pPr>
            <w:r>
              <w:rPr>
                <w:rFonts w:asciiTheme="majorHAnsi" w:hAnsiTheme="majorHAnsi"/>
                <w:sz w:val="24"/>
                <w:szCs w:val="24"/>
              </w:rPr>
              <w:t xml:space="preserve">Other bills </w:t>
            </w:r>
            <w:r w:rsidR="00871798">
              <w:rPr>
                <w:rFonts w:asciiTheme="majorHAnsi" w:hAnsiTheme="majorHAnsi"/>
                <w:sz w:val="24"/>
                <w:szCs w:val="24"/>
              </w:rPr>
              <w:t>have been</w:t>
            </w:r>
            <w:r>
              <w:rPr>
                <w:rFonts w:asciiTheme="majorHAnsi" w:hAnsiTheme="majorHAnsi"/>
                <w:sz w:val="24"/>
                <w:szCs w:val="24"/>
              </w:rPr>
              <w:t xml:space="preserve"> tracked by </w:t>
            </w:r>
            <w:r w:rsidR="00871798">
              <w:rPr>
                <w:rFonts w:asciiTheme="majorHAnsi" w:hAnsiTheme="majorHAnsi"/>
                <w:sz w:val="24"/>
                <w:szCs w:val="24"/>
              </w:rPr>
              <w:t>the Oregon Medical Marijuana P</w:t>
            </w:r>
            <w:r>
              <w:rPr>
                <w:rFonts w:asciiTheme="majorHAnsi" w:hAnsiTheme="majorHAnsi"/>
                <w:sz w:val="24"/>
                <w:szCs w:val="24"/>
              </w:rPr>
              <w:t xml:space="preserve">rogram. A summary will be prepared and shared at a later </w:t>
            </w:r>
            <w:r w:rsidR="00AF0B95">
              <w:rPr>
                <w:rFonts w:asciiTheme="majorHAnsi" w:hAnsiTheme="majorHAnsi"/>
                <w:sz w:val="24"/>
                <w:szCs w:val="24"/>
              </w:rPr>
              <w:t>meeting</w:t>
            </w:r>
            <w:r>
              <w:rPr>
                <w:rFonts w:asciiTheme="majorHAnsi" w:hAnsiTheme="majorHAnsi"/>
                <w:sz w:val="24"/>
                <w:szCs w:val="24"/>
              </w:rPr>
              <w:t xml:space="preserve">. </w:t>
            </w:r>
          </w:p>
          <w:p w14:paraId="0FCB7DDF" w14:textId="77777777" w:rsidR="002466CE" w:rsidRPr="00C6494F" w:rsidRDefault="002466CE" w:rsidP="009230DC">
            <w:pPr>
              <w:rPr>
                <w:rFonts w:asciiTheme="majorHAnsi" w:hAnsiTheme="majorHAnsi"/>
                <w:sz w:val="24"/>
                <w:szCs w:val="24"/>
              </w:rPr>
            </w:pPr>
          </w:p>
        </w:tc>
        <w:tc>
          <w:tcPr>
            <w:tcW w:w="1548" w:type="dxa"/>
            <w:gridSpan w:val="2"/>
          </w:tcPr>
          <w:p w14:paraId="0CA8932E" w14:textId="77777777" w:rsidR="000F7335" w:rsidRPr="00C6494F" w:rsidRDefault="0057519F" w:rsidP="009230DC">
            <w:pPr>
              <w:rPr>
                <w:rFonts w:asciiTheme="majorHAnsi" w:hAnsiTheme="majorHAnsi"/>
                <w:sz w:val="24"/>
                <w:szCs w:val="24"/>
              </w:rPr>
            </w:pPr>
            <w:r w:rsidRPr="00C6494F">
              <w:rPr>
                <w:rFonts w:asciiTheme="majorHAnsi" w:hAnsiTheme="majorHAnsi"/>
                <w:sz w:val="24"/>
                <w:szCs w:val="24"/>
              </w:rPr>
              <w:t>Karen Girard</w:t>
            </w:r>
          </w:p>
        </w:tc>
      </w:tr>
      <w:tr w:rsidR="00C6494F" w:rsidRPr="00C6494F" w14:paraId="08C1257A" w14:textId="77777777" w:rsidTr="00D76C5E">
        <w:trPr>
          <w:trHeight w:val="692"/>
        </w:trPr>
        <w:tc>
          <w:tcPr>
            <w:tcW w:w="2448" w:type="dxa"/>
            <w:gridSpan w:val="2"/>
          </w:tcPr>
          <w:p w14:paraId="6C59BDF6" w14:textId="77777777" w:rsidR="009230DC" w:rsidRPr="00C6494F" w:rsidRDefault="0057519F" w:rsidP="00AD7C5E">
            <w:pPr>
              <w:rPr>
                <w:rFonts w:asciiTheme="majorHAnsi" w:hAnsiTheme="majorHAnsi"/>
                <w:sz w:val="24"/>
                <w:szCs w:val="24"/>
              </w:rPr>
            </w:pPr>
            <w:r w:rsidRPr="00C6494F">
              <w:rPr>
                <w:rFonts w:asciiTheme="majorHAnsi" w:hAnsiTheme="majorHAnsi"/>
                <w:sz w:val="24"/>
                <w:szCs w:val="24"/>
              </w:rPr>
              <w:t>Legislative session update (10 min)</w:t>
            </w:r>
            <w:r w:rsidR="000B53DC" w:rsidRPr="00C6494F">
              <w:rPr>
                <w:rFonts w:asciiTheme="majorHAnsi" w:hAnsiTheme="majorHAnsi"/>
                <w:sz w:val="24"/>
                <w:szCs w:val="24"/>
              </w:rPr>
              <w:t xml:space="preserve"> 2:00 – 2:10</w:t>
            </w:r>
          </w:p>
        </w:tc>
        <w:tc>
          <w:tcPr>
            <w:tcW w:w="3870" w:type="dxa"/>
          </w:tcPr>
          <w:p w14:paraId="49D968AC" w14:textId="77777777" w:rsidR="00F56719" w:rsidRPr="00C6494F" w:rsidRDefault="00F56719" w:rsidP="00F56719">
            <w:pPr>
              <w:rPr>
                <w:rFonts w:asciiTheme="majorHAnsi" w:hAnsiTheme="majorHAnsi"/>
                <w:sz w:val="24"/>
                <w:szCs w:val="24"/>
              </w:rPr>
            </w:pPr>
            <w:r w:rsidRPr="00C6494F">
              <w:rPr>
                <w:rFonts w:asciiTheme="majorHAnsi" w:hAnsiTheme="majorHAnsi"/>
                <w:b/>
                <w:sz w:val="24"/>
                <w:szCs w:val="24"/>
              </w:rPr>
              <w:t xml:space="preserve">Background: </w:t>
            </w:r>
            <w:r w:rsidRPr="00C6494F">
              <w:rPr>
                <w:rFonts w:asciiTheme="majorHAnsi" w:hAnsiTheme="majorHAnsi"/>
                <w:sz w:val="24"/>
                <w:szCs w:val="24"/>
              </w:rPr>
              <w:t>The 2016 legislative session is drawing to a close. The final day</w:t>
            </w:r>
            <w:r w:rsidR="00FB439A" w:rsidRPr="00C6494F">
              <w:rPr>
                <w:rFonts w:asciiTheme="majorHAnsi" w:hAnsiTheme="majorHAnsi"/>
                <w:sz w:val="24"/>
                <w:szCs w:val="24"/>
              </w:rPr>
              <w:t xml:space="preserve"> of the session</w:t>
            </w:r>
            <w:r w:rsidRPr="00C6494F">
              <w:rPr>
                <w:rFonts w:asciiTheme="majorHAnsi" w:hAnsiTheme="majorHAnsi"/>
                <w:sz w:val="24"/>
                <w:szCs w:val="24"/>
              </w:rPr>
              <w:t xml:space="preserve"> is March 6.</w:t>
            </w:r>
          </w:p>
          <w:p w14:paraId="34917450" w14:textId="77777777" w:rsidR="00F56719" w:rsidRPr="00C6494F" w:rsidRDefault="00F56719" w:rsidP="00F56719">
            <w:pPr>
              <w:rPr>
                <w:rFonts w:asciiTheme="majorHAnsi" w:hAnsiTheme="majorHAnsi"/>
                <w:sz w:val="24"/>
                <w:szCs w:val="24"/>
              </w:rPr>
            </w:pPr>
          </w:p>
          <w:p w14:paraId="4B27F522" w14:textId="77777777" w:rsidR="00E441BB" w:rsidRPr="00C6494F" w:rsidRDefault="00F56719" w:rsidP="00F56719">
            <w:pPr>
              <w:rPr>
                <w:rFonts w:asciiTheme="majorHAnsi" w:hAnsiTheme="majorHAnsi" w:cs="Times"/>
              </w:rPr>
            </w:pPr>
            <w:r w:rsidRPr="00C6494F">
              <w:rPr>
                <w:rFonts w:asciiTheme="majorHAnsi" w:hAnsiTheme="majorHAnsi"/>
                <w:b/>
                <w:sz w:val="24"/>
                <w:szCs w:val="24"/>
              </w:rPr>
              <w:t xml:space="preserve">Objective: </w:t>
            </w:r>
            <w:r w:rsidRPr="00C6494F">
              <w:rPr>
                <w:rFonts w:asciiTheme="majorHAnsi" w:hAnsiTheme="majorHAnsi"/>
                <w:sz w:val="24"/>
                <w:szCs w:val="24"/>
              </w:rPr>
              <w:t>Provide information about the bills HPCDP is tracking. Provide an opportunity for committee members to share bills or topics they are tracking.</w:t>
            </w:r>
          </w:p>
        </w:tc>
        <w:tc>
          <w:tcPr>
            <w:tcW w:w="6750" w:type="dxa"/>
          </w:tcPr>
          <w:p w14:paraId="56F3EB8C" w14:textId="77777777" w:rsidR="00600806" w:rsidRDefault="00FF65F1" w:rsidP="00A61D28">
            <w:pPr>
              <w:rPr>
                <w:rFonts w:asciiTheme="majorHAnsi" w:hAnsiTheme="majorHAnsi"/>
                <w:sz w:val="24"/>
                <w:szCs w:val="24"/>
              </w:rPr>
            </w:pPr>
            <w:r>
              <w:rPr>
                <w:rFonts w:asciiTheme="majorHAnsi" w:hAnsiTheme="majorHAnsi"/>
                <w:sz w:val="24"/>
                <w:szCs w:val="24"/>
              </w:rPr>
              <w:lastRenderedPageBreak/>
              <w:t>Karen Girard provided an overview of three tobacco-related bills from the 2016 legislative session, which a</w:t>
            </w:r>
            <w:r w:rsidR="00871798">
              <w:rPr>
                <w:rFonts w:asciiTheme="majorHAnsi" w:hAnsiTheme="majorHAnsi"/>
                <w:sz w:val="24"/>
                <w:szCs w:val="24"/>
              </w:rPr>
              <w:t xml:space="preserve">djourned today. </w:t>
            </w:r>
            <w:r>
              <w:rPr>
                <w:rFonts w:asciiTheme="majorHAnsi" w:hAnsiTheme="majorHAnsi"/>
                <w:sz w:val="24"/>
                <w:szCs w:val="24"/>
              </w:rPr>
              <w:t xml:space="preserve">None of the three bills passed. </w:t>
            </w:r>
          </w:p>
          <w:p w14:paraId="66A03DA9" w14:textId="77777777" w:rsidR="00871798" w:rsidRDefault="00871798" w:rsidP="00A61D28">
            <w:pPr>
              <w:rPr>
                <w:rFonts w:asciiTheme="majorHAnsi" w:hAnsiTheme="majorHAnsi"/>
                <w:sz w:val="24"/>
                <w:szCs w:val="24"/>
              </w:rPr>
            </w:pPr>
          </w:p>
          <w:p w14:paraId="2C6A7A80" w14:textId="77777777" w:rsidR="002466CE" w:rsidRDefault="002466CE" w:rsidP="00A61D28">
            <w:pPr>
              <w:rPr>
                <w:rFonts w:asciiTheme="majorHAnsi" w:hAnsiTheme="majorHAnsi"/>
                <w:sz w:val="24"/>
                <w:szCs w:val="24"/>
              </w:rPr>
            </w:pPr>
            <w:r>
              <w:rPr>
                <w:rFonts w:asciiTheme="majorHAnsi" w:hAnsiTheme="majorHAnsi"/>
                <w:sz w:val="24"/>
                <w:szCs w:val="24"/>
              </w:rPr>
              <w:t>SB 1559B</w:t>
            </w:r>
            <w:r w:rsidR="00FF65F1">
              <w:rPr>
                <w:rFonts w:asciiTheme="majorHAnsi" w:hAnsiTheme="majorHAnsi"/>
                <w:sz w:val="24"/>
                <w:szCs w:val="24"/>
              </w:rPr>
              <w:t xml:space="preserve">, which would have required tobacco retailers to be licensed, </w:t>
            </w:r>
            <w:r>
              <w:rPr>
                <w:rFonts w:asciiTheme="majorHAnsi" w:hAnsiTheme="majorHAnsi"/>
                <w:sz w:val="24"/>
                <w:szCs w:val="24"/>
              </w:rPr>
              <w:t xml:space="preserve">was amended to preempt restrictions on </w:t>
            </w:r>
            <w:r w:rsidR="00FF65F1">
              <w:rPr>
                <w:rFonts w:asciiTheme="majorHAnsi" w:hAnsiTheme="majorHAnsi"/>
                <w:sz w:val="24"/>
                <w:szCs w:val="24"/>
              </w:rPr>
              <w:t xml:space="preserve">sales of </w:t>
            </w:r>
            <w:r>
              <w:rPr>
                <w:rFonts w:asciiTheme="majorHAnsi" w:hAnsiTheme="majorHAnsi"/>
                <w:sz w:val="24"/>
                <w:szCs w:val="24"/>
              </w:rPr>
              <w:t xml:space="preserve">tobacco in pharmacies </w:t>
            </w:r>
            <w:r w:rsidR="00704D0A">
              <w:rPr>
                <w:rFonts w:asciiTheme="majorHAnsi" w:hAnsiTheme="majorHAnsi"/>
                <w:sz w:val="24"/>
                <w:szCs w:val="24"/>
              </w:rPr>
              <w:t>and</w:t>
            </w:r>
            <w:r w:rsidR="00FF65F1">
              <w:rPr>
                <w:rFonts w:asciiTheme="majorHAnsi" w:hAnsiTheme="majorHAnsi"/>
                <w:sz w:val="24"/>
                <w:szCs w:val="24"/>
              </w:rPr>
              <w:t xml:space="preserve"> location of retailers </w:t>
            </w:r>
            <w:r>
              <w:rPr>
                <w:rFonts w:asciiTheme="majorHAnsi" w:hAnsiTheme="majorHAnsi"/>
                <w:sz w:val="24"/>
                <w:szCs w:val="24"/>
              </w:rPr>
              <w:t>for facilities greater than 5000 sq</w:t>
            </w:r>
            <w:r w:rsidR="00FF65F1">
              <w:rPr>
                <w:rFonts w:asciiTheme="majorHAnsi" w:hAnsiTheme="majorHAnsi"/>
                <w:sz w:val="24"/>
                <w:szCs w:val="24"/>
              </w:rPr>
              <w:t>uare</w:t>
            </w:r>
            <w:r>
              <w:rPr>
                <w:rFonts w:asciiTheme="majorHAnsi" w:hAnsiTheme="majorHAnsi"/>
                <w:sz w:val="24"/>
                <w:szCs w:val="24"/>
              </w:rPr>
              <w:t xml:space="preserve"> feet. </w:t>
            </w:r>
            <w:r w:rsidR="00FF65F1">
              <w:rPr>
                <w:rFonts w:asciiTheme="majorHAnsi" w:hAnsiTheme="majorHAnsi"/>
                <w:sz w:val="24"/>
                <w:szCs w:val="24"/>
              </w:rPr>
              <w:t>SB 1559B w</w:t>
            </w:r>
            <w:r>
              <w:rPr>
                <w:rFonts w:asciiTheme="majorHAnsi" w:hAnsiTheme="majorHAnsi"/>
                <w:sz w:val="24"/>
                <w:szCs w:val="24"/>
              </w:rPr>
              <w:t xml:space="preserve">ould have allowed local ordinances </w:t>
            </w:r>
            <w:r w:rsidR="00FF65F1">
              <w:rPr>
                <w:rFonts w:asciiTheme="majorHAnsi" w:hAnsiTheme="majorHAnsi"/>
                <w:sz w:val="24"/>
                <w:szCs w:val="24"/>
              </w:rPr>
              <w:t xml:space="preserve">to regulate businesses </w:t>
            </w:r>
            <w:r>
              <w:rPr>
                <w:rFonts w:asciiTheme="majorHAnsi" w:hAnsiTheme="majorHAnsi"/>
                <w:sz w:val="24"/>
                <w:szCs w:val="24"/>
              </w:rPr>
              <w:t xml:space="preserve">less than 5000 square feet. </w:t>
            </w:r>
            <w:r w:rsidR="00FF65F1">
              <w:rPr>
                <w:rFonts w:asciiTheme="majorHAnsi" w:hAnsiTheme="majorHAnsi"/>
                <w:sz w:val="24"/>
                <w:szCs w:val="24"/>
              </w:rPr>
              <w:t xml:space="preserve">The bill moved through Ways and Means Committee but was </w:t>
            </w:r>
            <w:r>
              <w:rPr>
                <w:rFonts w:asciiTheme="majorHAnsi" w:hAnsiTheme="majorHAnsi"/>
                <w:sz w:val="24"/>
                <w:szCs w:val="24"/>
              </w:rPr>
              <w:t>not heard on</w:t>
            </w:r>
            <w:r w:rsidR="00FF65F1">
              <w:rPr>
                <w:rFonts w:asciiTheme="majorHAnsi" w:hAnsiTheme="majorHAnsi"/>
                <w:sz w:val="24"/>
                <w:szCs w:val="24"/>
              </w:rPr>
              <w:t xml:space="preserve"> the</w:t>
            </w:r>
            <w:r>
              <w:rPr>
                <w:rFonts w:asciiTheme="majorHAnsi" w:hAnsiTheme="majorHAnsi"/>
                <w:sz w:val="24"/>
                <w:szCs w:val="24"/>
              </w:rPr>
              <w:t xml:space="preserve"> Senate floor.</w:t>
            </w:r>
          </w:p>
          <w:p w14:paraId="0BEA4EE1" w14:textId="77777777" w:rsidR="003C29E9" w:rsidRDefault="003C29E9" w:rsidP="00A61D28">
            <w:pPr>
              <w:rPr>
                <w:rFonts w:asciiTheme="majorHAnsi" w:hAnsiTheme="majorHAnsi"/>
                <w:sz w:val="24"/>
                <w:szCs w:val="24"/>
              </w:rPr>
            </w:pPr>
          </w:p>
          <w:p w14:paraId="36E0C111" w14:textId="77777777" w:rsidR="003C29E9" w:rsidRDefault="003C29E9" w:rsidP="003C29E9">
            <w:pPr>
              <w:rPr>
                <w:rFonts w:asciiTheme="majorHAnsi" w:hAnsiTheme="majorHAnsi"/>
                <w:sz w:val="24"/>
                <w:szCs w:val="24"/>
              </w:rPr>
            </w:pPr>
            <w:r>
              <w:rPr>
                <w:rFonts w:asciiTheme="majorHAnsi" w:hAnsiTheme="majorHAnsi"/>
                <w:sz w:val="24"/>
                <w:szCs w:val="24"/>
              </w:rPr>
              <w:t xml:space="preserve">Local governments can continue to pass tobacco retail licensing ordinances. Multnomah County has passed their tobacco retail licensing ordinance and will start rulemaking tomorrow. </w:t>
            </w:r>
          </w:p>
          <w:p w14:paraId="675B6CE9" w14:textId="77777777" w:rsidR="002466CE" w:rsidRDefault="002466CE" w:rsidP="00A61D28">
            <w:pPr>
              <w:rPr>
                <w:rFonts w:asciiTheme="majorHAnsi" w:hAnsiTheme="majorHAnsi"/>
                <w:sz w:val="24"/>
                <w:szCs w:val="24"/>
              </w:rPr>
            </w:pPr>
          </w:p>
          <w:p w14:paraId="396E0847" w14:textId="77777777" w:rsidR="00FF65F1" w:rsidRDefault="00FF65F1" w:rsidP="00A61D28">
            <w:pPr>
              <w:rPr>
                <w:rFonts w:asciiTheme="majorHAnsi" w:hAnsiTheme="majorHAnsi"/>
                <w:sz w:val="24"/>
                <w:szCs w:val="24"/>
              </w:rPr>
            </w:pPr>
            <w:r>
              <w:rPr>
                <w:rFonts w:asciiTheme="majorHAnsi" w:hAnsiTheme="majorHAnsi"/>
                <w:sz w:val="24"/>
                <w:szCs w:val="24"/>
              </w:rPr>
              <w:t>HB 4062 would have established a tax on retail sales of electronic cigarettes. Committee hearings were held</w:t>
            </w:r>
            <w:r w:rsidR="00AF0B95">
              <w:rPr>
                <w:rFonts w:asciiTheme="majorHAnsi" w:hAnsiTheme="majorHAnsi"/>
                <w:sz w:val="24"/>
                <w:szCs w:val="24"/>
              </w:rPr>
              <w:t>, but the bill did not advance</w:t>
            </w:r>
            <w:r>
              <w:rPr>
                <w:rFonts w:asciiTheme="majorHAnsi" w:hAnsiTheme="majorHAnsi"/>
                <w:sz w:val="24"/>
                <w:szCs w:val="24"/>
              </w:rPr>
              <w:t xml:space="preserve">. </w:t>
            </w:r>
          </w:p>
          <w:p w14:paraId="4D405945" w14:textId="77777777" w:rsidR="00FF65F1" w:rsidRDefault="00FF65F1" w:rsidP="00A61D28">
            <w:pPr>
              <w:rPr>
                <w:rFonts w:asciiTheme="majorHAnsi" w:hAnsiTheme="majorHAnsi"/>
                <w:sz w:val="24"/>
                <w:szCs w:val="24"/>
              </w:rPr>
            </w:pPr>
          </w:p>
          <w:p w14:paraId="38AD7EDD" w14:textId="77777777" w:rsidR="000B2F67" w:rsidRDefault="00FF65F1" w:rsidP="00A61D28">
            <w:pPr>
              <w:rPr>
                <w:rFonts w:asciiTheme="majorHAnsi" w:hAnsiTheme="majorHAnsi"/>
                <w:sz w:val="24"/>
                <w:szCs w:val="24"/>
              </w:rPr>
            </w:pPr>
            <w:r>
              <w:rPr>
                <w:rFonts w:asciiTheme="majorHAnsi" w:hAnsiTheme="majorHAnsi"/>
                <w:sz w:val="24"/>
                <w:szCs w:val="24"/>
              </w:rPr>
              <w:t xml:space="preserve">HB 4103 would have established fees for smoke shop certification. </w:t>
            </w:r>
          </w:p>
          <w:p w14:paraId="72E8B31B" w14:textId="77777777" w:rsidR="000B2F67" w:rsidRDefault="000B2F67" w:rsidP="00A61D28">
            <w:pPr>
              <w:rPr>
                <w:rFonts w:asciiTheme="majorHAnsi" w:hAnsiTheme="majorHAnsi"/>
                <w:sz w:val="24"/>
                <w:szCs w:val="24"/>
              </w:rPr>
            </w:pPr>
          </w:p>
          <w:p w14:paraId="642C164E" w14:textId="77777777" w:rsidR="000B2F67" w:rsidRDefault="00FF65F1" w:rsidP="00A61D28">
            <w:pPr>
              <w:rPr>
                <w:rFonts w:asciiTheme="majorHAnsi" w:hAnsiTheme="majorHAnsi"/>
                <w:sz w:val="24"/>
                <w:szCs w:val="24"/>
              </w:rPr>
            </w:pPr>
            <w:r>
              <w:rPr>
                <w:rFonts w:asciiTheme="majorHAnsi" w:hAnsiTheme="majorHAnsi"/>
                <w:sz w:val="24"/>
                <w:szCs w:val="24"/>
              </w:rPr>
              <w:t xml:space="preserve">Charlie Fautin described the evolution of CLHO’s position on the tobacco retail licensing bill, from initial opposition due to preemption, to a neutral position after the bill was amended. The </w:t>
            </w:r>
            <w:r w:rsidR="003C29E9">
              <w:rPr>
                <w:rFonts w:asciiTheme="majorHAnsi" w:hAnsiTheme="majorHAnsi"/>
                <w:sz w:val="24"/>
                <w:szCs w:val="24"/>
              </w:rPr>
              <w:t xml:space="preserve">compromise </w:t>
            </w:r>
            <w:r w:rsidR="0040154B">
              <w:rPr>
                <w:rFonts w:asciiTheme="majorHAnsi" w:hAnsiTheme="majorHAnsi"/>
                <w:sz w:val="24"/>
                <w:szCs w:val="24"/>
              </w:rPr>
              <w:t xml:space="preserve">in the amended bill </w:t>
            </w:r>
            <w:r w:rsidR="003C29E9">
              <w:rPr>
                <w:rFonts w:asciiTheme="majorHAnsi" w:hAnsiTheme="majorHAnsi"/>
                <w:sz w:val="24"/>
                <w:szCs w:val="24"/>
              </w:rPr>
              <w:t>clarified that preemption applied only to</w:t>
            </w:r>
            <w:r w:rsidR="0040154B">
              <w:rPr>
                <w:rFonts w:asciiTheme="majorHAnsi" w:hAnsiTheme="majorHAnsi"/>
                <w:sz w:val="24"/>
                <w:szCs w:val="24"/>
              </w:rPr>
              <w:t xml:space="preserve"> retail</w:t>
            </w:r>
            <w:r w:rsidR="003C29E9">
              <w:rPr>
                <w:rFonts w:asciiTheme="majorHAnsi" w:hAnsiTheme="majorHAnsi"/>
                <w:sz w:val="24"/>
                <w:szCs w:val="24"/>
              </w:rPr>
              <w:t xml:space="preserve"> licensure, with local governments retaining</w:t>
            </w:r>
            <w:r w:rsidR="000B2F67">
              <w:rPr>
                <w:rFonts w:asciiTheme="majorHAnsi" w:hAnsiTheme="majorHAnsi"/>
                <w:sz w:val="24"/>
                <w:szCs w:val="24"/>
              </w:rPr>
              <w:t xml:space="preserve"> the right to regulate</w:t>
            </w:r>
            <w:r w:rsidR="003C29E9">
              <w:rPr>
                <w:rFonts w:asciiTheme="majorHAnsi" w:hAnsiTheme="majorHAnsi"/>
                <w:sz w:val="24"/>
                <w:szCs w:val="24"/>
              </w:rPr>
              <w:t xml:space="preserve"> the</w:t>
            </w:r>
            <w:r w:rsidR="000B2F67">
              <w:rPr>
                <w:rFonts w:asciiTheme="majorHAnsi" w:hAnsiTheme="majorHAnsi"/>
                <w:sz w:val="24"/>
                <w:szCs w:val="24"/>
              </w:rPr>
              <w:t xml:space="preserve"> location of retailers </w:t>
            </w:r>
            <w:r w:rsidR="003C29E9">
              <w:rPr>
                <w:rFonts w:asciiTheme="majorHAnsi" w:hAnsiTheme="majorHAnsi"/>
                <w:sz w:val="24"/>
                <w:szCs w:val="24"/>
              </w:rPr>
              <w:t>smaller than</w:t>
            </w:r>
            <w:r w:rsidR="000B2F67">
              <w:rPr>
                <w:rFonts w:asciiTheme="majorHAnsi" w:hAnsiTheme="majorHAnsi"/>
                <w:sz w:val="24"/>
                <w:szCs w:val="24"/>
              </w:rPr>
              <w:t xml:space="preserve"> 5,000 sq</w:t>
            </w:r>
            <w:r w:rsidR="003C29E9">
              <w:rPr>
                <w:rFonts w:asciiTheme="majorHAnsi" w:hAnsiTheme="majorHAnsi"/>
                <w:sz w:val="24"/>
                <w:szCs w:val="24"/>
              </w:rPr>
              <w:t>uare</w:t>
            </w:r>
            <w:r w:rsidR="000B2F67">
              <w:rPr>
                <w:rFonts w:asciiTheme="majorHAnsi" w:hAnsiTheme="majorHAnsi"/>
                <w:sz w:val="24"/>
                <w:szCs w:val="24"/>
              </w:rPr>
              <w:t xml:space="preserve"> feet. </w:t>
            </w:r>
          </w:p>
          <w:p w14:paraId="0A60A626" w14:textId="77777777" w:rsidR="000B2F67" w:rsidRPr="00C6494F" w:rsidRDefault="000B2F67" w:rsidP="00A61D28">
            <w:pPr>
              <w:rPr>
                <w:rFonts w:asciiTheme="majorHAnsi" w:hAnsiTheme="majorHAnsi"/>
                <w:sz w:val="24"/>
                <w:szCs w:val="24"/>
              </w:rPr>
            </w:pPr>
          </w:p>
        </w:tc>
        <w:tc>
          <w:tcPr>
            <w:tcW w:w="1548" w:type="dxa"/>
            <w:gridSpan w:val="2"/>
          </w:tcPr>
          <w:p w14:paraId="38D2C44A" w14:textId="77777777" w:rsidR="0057519F" w:rsidRPr="00C6494F" w:rsidRDefault="0057519F" w:rsidP="009247C3">
            <w:pPr>
              <w:rPr>
                <w:rFonts w:asciiTheme="majorHAnsi" w:hAnsiTheme="majorHAnsi"/>
                <w:sz w:val="24"/>
                <w:szCs w:val="24"/>
              </w:rPr>
            </w:pPr>
            <w:r w:rsidRPr="00C6494F">
              <w:rPr>
                <w:rFonts w:asciiTheme="majorHAnsi" w:hAnsiTheme="majorHAnsi"/>
                <w:sz w:val="24"/>
                <w:szCs w:val="24"/>
              </w:rPr>
              <w:lastRenderedPageBreak/>
              <w:t>Karen Girard</w:t>
            </w:r>
          </w:p>
        </w:tc>
      </w:tr>
      <w:tr w:rsidR="00C6494F" w:rsidRPr="00C6494F" w14:paraId="14144843" w14:textId="77777777" w:rsidTr="00D76C5E">
        <w:trPr>
          <w:trHeight w:val="890"/>
        </w:trPr>
        <w:tc>
          <w:tcPr>
            <w:tcW w:w="2448" w:type="dxa"/>
            <w:gridSpan w:val="2"/>
          </w:tcPr>
          <w:p w14:paraId="74C75D95" w14:textId="77777777" w:rsidR="00E441BB" w:rsidRPr="00C6494F" w:rsidRDefault="00605F4F" w:rsidP="009230DC">
            <w:pPr>
              <w:rPr>
                <w:rFonts w:asciiTheme="majorHAnsi" w:hAnsiTheme="majorHAnsi"/>
                <w:sz w:val="24"/>
                <w:szCs w:val="24"/>
              </w:rPr>
            </w:pPr>
            <w:r w:rsidRPr="00C6494F">
              <w:rPr>
                <w:rFonts w:asciiTheme="majorHAnsi" w:hAnsiTheme="majorHAnsi"/>
                <w:sz w:val="24"/>
                <w:szCs w:val="24"/>
              </w:rPr>
              <w:lastRenderedPageBreak/>
              <w:t>Prevention integration update (10 min)</w:t>
            </w:r>
            <w:r w:rsidR="000B53DC" w:rsidRPr="00C6494F">
              <w:rPr>
                <w:rFonts w:asciiTheme="majorHAnsi" w:hAnsiTheme="majorHAnsi"/>
                <w:sz w:val="24"/>
                <w:szCs w:val="24"/>
              </w:rPr>
              <w:t xml:space="preserve"> 2:10 – 2:20 </w:t>
            </w:r>
          </w:p>
        </w:tc>
        <w:tc>
          <w:tcPr>
            <w:tcW w:w="3870" w:type="dxa"/>
          </w:tcPr>
          <w:p w14:paraId="1F5E1A09" w14:textId="77777777" w:rsidR="00F56719" w:rsidRPr="00C6494F" w:rsidRDefault="00F56719" w:rsidP="00F56719">
            <w:pPr>
              <w:rPr>
                <w:rFonts w:asciiTheme="majorHAnsi" w:hAnsiTheme="majorHAnsi" w:cs="Calibri"/>
                <w:sz w:val="24"/>
                <w:szCs w:val="24"/>
              </w:rPr>
            </w:pPr>
            <w:r w:rsidRPr="00C6494F">
              <w:rPr>
                <w:rFonts w:asciiTheme="majorHAnsi" w:hAnsiTheme="majorHAnsi" w:cs="Calibri"/>
                <w:b/>
                <w:bCs/>
                <w:sz w:val="24"/>
                <w:szCs w:val="24"/>
              </w:rPr>
              <w:t xml:space="preserve">Background:  </w:t>
            </w:r>
            <w:r w:rsidRPr="00C6494F">
              <w:rPr>
                <w:rFonts w:asciiTheme="majorHAnsi" w:hAnsiTheme="majorHAnsi" w:cstheme="minorHAns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now reside in the Public Health Division. </w:t>
            </w:r>
          </w:p>
          <w:p w14:paraId="78199D50" w14:textId="77777777" w:rsidR="00F56719" w:rsidRPr="00C6494F" w:rsidRDefault="00F56719" w:rsidP="00F56719">
            <w:pPr>
              <w:ind w:left="720" w:hanging="720"/>
              <w:rPr>
                <w:rFonts w:asciiTheme="majorHAnsi" w:hAnsiTheme="majorHAnsi" w:cs="Calibri"/>
                <w:sz w:val="24"/>
                <w:szCs w:val="24"/>
              </w:rPr>
            </w:pPr>
          </w:p>
          <w:p w14:paraId="09B5024C" w14:textId="77777777" w:rsidR="00F56719" w:rsidRPr="00C6494F" w:rsidRDefault="00F56719" w:rsidP="00F56719">
            <w:pPr>
              <w:rPr>
                <w:rFonts w:asciiTheme="majorHAnsi" w:hAnsiTheme="majorHAnsi" w:cs="Calibri"/>
                <w:sz w:val="24"/>
                <w:szCs w:val="24"/>
              </w:rPr>
            </w:pPr>
            <w:r w:rsidRPr="00C6494F">
              <w:rPr>
                <w:rFonts w:asciiTheme="majorHAnsi" w:hAnsiTheme="majorHAnsi" w:cs="Calibri"/>
                <w:b/>
                <w:bCs/>
                <w:sz w:val="24"/>
                <w:szCs w:val="24"/>
              </w:rPr>
              <w:t xml:space="preserve">Objective: </w:t>
            </w:r>
            <w:r w:rsidRPr="00C6494F">
              <w:rPr>
                <w:rFonts w:asciiTheme="majorHAnsi" w:hAnsiTheme="majorHAnsi" w:cs="Calibri"/>
                <w:bCs/>
                <w:sz w:val="24"/>
                <w:szCs w:val="24"/>
              </w:rPr>
              <w:t xml:space="preserve">Provide an update on ongoing prevention integration efforts. </w:t>
            </w:r>
          </w:p>
          <w:p w14:paraId="0025D762" w14:textId="77777777" w:rsidR="003577F4" w:rsidRPr="00C6494F" w:rsidRDefault="003577F4" w:rsidP="00E441BB">
            <w:pPr>
              <w:rPr>
                <w:rFonts w:asciiTheme="majorHAnsi" w:hAnsiTheme="majorHAnsi"/>
                <w:sz w:val="24"/>
                <w:szCs w:val="24"/>
              </w:rPr>
            </w:pPr>
          </w:p>
        </w:tc>
        <w:tc>
          <w:tcPr>
            <w:tcW w:w="6750" w:type="dxa"/>
          </w:tcPr>
          <w:p w14:paraId="46C47FCD" w14:textId="77777777" w:rsidR="00447382" w:rsidRDefault="003C29E9" w:rsidP="009230DC">
            <w:pPr>
              <w:rPr>
                <w:rFonts w:asciiTheme="majorHAnsi" w:hAnsiTheme="majorHAnsi"/>
                <w:sz w:val="24"/>
                <w:szCs w:val="24"/>
              </w:rPr>
            </w:pPr>
            <w:r>
              <w:rPr>
                <w:rFonts w:asciiTheme="majorHAnsi" w:hAnsiTheme="majorHAnsi"/>
                <w:sz w:val="24"/>
                <w:szCs w:val="24"/>
              </w:rPr>
              <w:lastRenderedPageBreak/>
              <w:t xml:space="preserve">Karen Girard provided an update on prevention integration efforts. Information is being collected from </w:t>
            </w:r>
            <w:r w:rsidR="00447382">
              <w:rPr>
                <w:rFonts w:asciiTheme="majorHAnsi" w:hAnsiTheme="majorHAnsi"/>
                <w:sz w:val="24"/>
                <w:szCs w:val="24"/>
              </w:rPr>
              <w:t>alcohol and su</w:t>
            </w:r>
            <w:r w:rsidR="0040154B">
              <w:rPr>
                <w:rFonts w:asciiTheme="majorHAnsi" w:hAnsiTheme="majorHAnsi"/>
                <w:sz w:val="24"/>
                <w:szCs w:val="24"/>
              </w:rPr>
              <w:t>bstance abuse prevention</w:t>
            </w:r>
            <w:r w:rsidR="00010D2E">
              <w:rPr>
                <w:rFonts w:asciiTheme="majorHAnsi" w:hAnsiTheme="majorHAnsi"/>
                <w:sz w:val="24"/>
                <w:szCs w:val="24"/>
              </w:rPr>
              <w:t xml:space="preserve"> programs</w:t>
            </w:r>
            <w:r w:rsidR="0040154B">
              <w:rPr>
                <w:rFonts w:asciiTheme="majorHAnsi" w:hAnsiTheme="majorHAnsi"/>
                <w:sz w:val="24"/>
                <w:szCs w:val="24"/>
              </w:rPr>
              <w:t xml:space="preserve"> to determine </w:t>
            </w:r>
            <w:r w:rsidR="00447382">
              <w:rPr>
                <w:rFonts w:asciiTheme="majorHAnsi" w:hAnsiTheme="majorHAnsi"/>
                <w:sz w:val="24"/>
                <w:szCs w:val="24"/>
              </w:rPr>
              <w:t>which partners they would like to ha</w:t>
            </w:r>
            <w:r>
              <w:rPr>
                <w:rFonts w:asciiTheme="majorHAnsi" w:hAnsiTheme="majorHAnsi"/>
                <w:sz w:val="24"/>
                <w:szCs w:val="24"/>
              </w:rPr>
              <w:t>v</w:t>
            </w:r>
            <w:r w:rsidR="00447382">
              <w:rPr>
                <w:rFonts w:asciiTheme="majorHAnsi" w:hAnsiTheme="majorHAnsi"/>
                <w:sz w:val="24"/>
                <w:szCs w:val="24"/>
              </w:rPr>
              <w:t xml:space="preserve">e involved in </w:t>
            </w:r>
            <w:r>
              <w:rPr>
                <w:rFonts w:asciiTheme="majorHAnsi" w:hAnsiTheme="majorHAnsi"/>
                <w:sz w:val="24"/>
                <w:szCs w:val="24"/>
              </w:rPr>
              <w:t xml:space="preserve">conversations about integration. </w:t>
            </w:r>
          </w:p>
          <w:p w14:paraId="7B67B3F6" w14:textId="77777777" w:rsidR="00447382" w:rsidRDefault="00447382" w:rsidP="009230DC">
            <w:pPr>
              <w:rPr>
                <w:rFonts w:asciiTheme="majorHAnsi" w:hAnsiTheme="majorHAnsi"/>
                <w:sz w:val="24"/>
                <w:szCs w:val="24"/>
              </w:rPr>
            </w:pPr>
          </w:p>
          <w:p w14:paraId="546FE073" w14:textId="750B1FD5" w:rsidR="00447382" w:rsidRDefault="003C29E9" w:rsidP="009230DC">
            <w:pPr>
              <w:rPr>
                <w:rFonts w:asciiTheme="majorHAnsi" w:hAnsiTheme="majorHAnsi"/>
                <w:sz w:val="24"/>
                <w:szCs w:val="24"/>
              </w:rPr>
            </w:pPr>
            <w:r>
              <w:rPr>
                <w:rFonts w:asciiTheme="majorHAnsi" w:hAnsiTheme="majorHAnsi"/>
                <w:sz w:val="24"/>
                <w:szCs w:val="24"/>
              </w:rPr>
              <w:t>The prevention f</w:t>
            </w:r>
            <w:r w:rsidR="00447382">
              <w:rPr>
                <w:rFonts w:asciiTheme="majorHAnsi" w:hAnsiTheme="majorHAnsi"/>
                <w:sz w:val="24"/>
                <w:szCs w:val="24"/>
              </w:rPr>
              <w:t xml:space="preserve">unding that was </w:t>
            </w:r>
            <w:r>
              <w:rPr>
                <w:rFonts w:asciiTheme="majorHAnsi" w:hAnsiTheme="majorHAnsi"/>
                <w:sz w:val="24"/>
                <w:szCs w:val="24"/>
              </w:rPr>
              <w:t xml:space="preserve">previously with </w:t>
            </w:r>
            <w:r w:rsidR="00AF0B95">
              <w:rPr>
                <w:rFonts w:asciiTheme="majorHAnsi" w:hAnsiTheme="majorHAnsi"/>
                <w:sz w:val="24"/>
                <w:szCs w:val="24"/>
              </w:rPr>
              <w:t xml:space="preserve">the former </w:t>
            </w:r>
            <w:r>
              <w:rPr>
                <w:rFonts w:asciiTheme="majorHAnsi" w:hAnsiTheme="majorHAnsi"/>
                <w:sz w:val="24"/>
                <w:szCs w:val="24"/>
              </w:rPr>
              <w:t xml:space="preserve">Addictions and Mental Health </w:t>
            </w:r>
            <w:r w:rsidR="00AF0B95">
              <w:rPr>
                <w:rFonts w:asciiTheme="majorHAnsi" w:hAnsiTheme="majorHAnsi"/>
                <w:sz w:val="24"/>
                <w:szCs w:val="24"/>
              </w:rPr>
              <w:t>Division has</w:t>
            </w:r>
            <w:r>
              <w:rPr>
                <w:rFonts w:asciiTheme="majorHAnsi" w:hAnsiTheme="majorHAnsi"/>
                <w:sz w:val="24"/>
                <w:szCs w:val="24"/>
              </w:rPr>
              <w:t xml:space="preserve"> now </w:t>
            </w:r>
            <w:r w:rsidR="00AF0B95">
              <w:rPr>
                <w:rFonts w:asciiTheme="majorHAnsi" w:hAnsiTheme="majorHAnsi"/>
                <w:sz w:val="24"/>
                <w:szCs w:val="24"/>
              </w:rPr>
              <w:t xml:space="preserve">transferred to </w:t>
            </w:r>
            <w:r>
              <w:rPr>
                <w:rFonts w:asciiTheme="majorHAnsi" w:hAnsiTheme="majorHAnsi"/>
                <w:sz w:val="24"/>
                <w:szCs w:val="24"/>
              </w:rPr>
              <w:t xml:space="preserve">PHD. This change is </w:t>
            </w:r>
            <w:r w:rsidR="00AF0B95">
              <w:rPr>
                <w:rFonts w:asciiTheme="majorHAnsi" w:hAnsiTheme="majorHAnsi"/>
                <w:sz w:val="24"/>
                <w:szCs w:val="24"/>
              </w:rPr>
              <w:t xml:space="preserve">all </w:t>
            </w:r>
            <w:r>
              <w:rPr>
                <w:rFonts w:asciiTheme="majorHAnsi" w:hAnsiTheme="majorHAnsi"/>
                <w:sz w:val="24"/>
                <w:szCs w:val="24"/>
              </w:rPr>
              <w:t xml:space="preserve">within OHA; nothing </w:t>
            </w:r>
            <w:r w:rsidR="00AF0B95">
              <w:rPr>
                <w:rFonts w:asciiTheme="majorHAnsi" w:hAnsiTheme="majorHAnsi"/>
                <w:sz w:val="24"/>
                <w:szCs w:val="24"/>
              </w:rPr>
              <w:t>is</w:t>
            </w:r>
            <w:r>
              <w:rPr>
                <w:rFonts w:asciiTheme="majorHAnsi" w:hAnsiTheme="majorHAnsi"/>
                <w:sz w:val="24"/>
                <w:szCs w:val="24"/>
              </w:rPr>
              <w:t xml:space="preserve"> chang</w:t>
            </w:r>
            <w:r w:rsidR="00AF0B95">
              <w:rPr>
                <w:rFonts w:asciiTheme="majorHAnsi" w:hAnsiTheme="majorHAnsi"/>
                <w:sz w:val="24"/>
                <w:szCs w:val="24"/>
              </w:rPr>
              <w:t>ing</w:t>
            </w:r>
            <w:r>
              <w:rPr>
                <w:rFonts w:asciiTheme="majorHAnsi" w:hAnsiTheme="majorHAnsi"/>
                <w:sz w:val="24"/>
                <w:szCs w:val="24"/>
              </w:rPr>
              <w:t xml:space="preserve"> in </w:t>
            </w:r>
            <w:r>
              <w:rPr>
                <w:rFonts w:asciiTheme="majorHAnsi" w:hAnsiTheme="majorHAnsi"/>
                <w:sz w:val="24"/>
                <w:szCs w:val="24"/>
              </w:rPr>
              <w:lastRenderedPageBreak/>
              <w:t xml:space="preserve">terms of </w:t>
            </w:r>
            <w:r w:rsidR="00AF0B95">
              <w:rPr>
                <w:rFonts w:asciiTheme="majorHAnsi" w:hAnsiTheme="majorHAnsi"/>
                <w:sz w:val="24"/>
                <w:szCs w:val="24"/>
              </w:rPr>
              <w:t xml:space="preserve">existing </w:t>
            </w:r>
            <w:r>
              <w:rPr>
                <w:rFonts w:asciiTheme="majorHAnsi" w:hAnsiTheme="majorHAnsi"/>
                <w:sz w:val="24"/>
                <w:szCs w:val="24"/>
              </w:rPr>
              <w:t xml:space="preserve">budgets until </w:t>
            </w:r>
            <w:r w:rsidR="00AF0B95">
              <w:rPr>
                <w:rFonts w:asciiTheme="majorHAnsi" w:hAnsiTheme="majorHAnsi"/>
                <w:sz w:val="24"/>
                <w:szCs w:val="24"/>
              </w:rPr>
              <w:t xml:space="preserve">after </w:t>
            </w:r>
            <w:r>
              <w:rPr>
                <w:rFonts w:asciiTheme="majorHAnsi" w:hAnsiTheme="majorHAnsi"/>
                <w:sz w:val="24"/>
                <w:szCs w:val="24"/>
              </w:rPr>
              <w:t xml:space="preserve">future conversations </w:t>
            </w:r>
            <w:r w:rsidR="00AF0B95">
              <w:rPr>
                <w:rFonts w:asciiTheme="majorHAnsi" w:hAnsiTheme="majorHAnsi"/>
                <w:sz w:val="24"/>
                <w:szCs w:val="24"/>
              </w:rPr>
              <w:t xml:space="preserve">about prevention integration </w:t>
            </w:r>
            <w:r w:rsidR="0040154B">
              <w:rPr>
                <w:rFonts w:asciiTheme="majorHAnsi" w:hAnsiTheme="majorHAnsi"/>
                <w:sz w:val="24"/>
                <w:szCs w:val="24"/>
              </w:rPr>
              <w:t xml:space="preserve">(to include CLHO) </w:t>
            </w:r>
            <w:r>
              <w:rPr>
                <w:rFonts w:asciiTheme="majorHAnsi" w:hAnsiTheme="majorHAnsi"/>
                <w:sz w:val="24"/>
                <w:szCs w:val="24"/>
              </w:rPr>
              <w:t>occur.</w:t>
            </w:r>
            <w:r w:rsidR="00447382">
              <w:rPr>
                <w:rFonts w:asciiTheme="majorHAnsi" w:hAnsiTheme="majorHAnsi"/>
                <w:sz w:val="24"/>
                <w:szCs w:val="24"/>
              </w:rPr>
              <w:t xml:space="preserve"> </w:t>
            </w:r>
          </w:p>
          <w:p w14:paraId="63026DD2" w14:textId="77777777" w:rsidR="00447382" w:rsidRDefault="00447382" w:rsidP="009230DC">
            <w:pPr>
              <w:rPr>
                <w:rFonts w:asciiTheme="majorHAnsi" w:hAnsiTheme="majorHAnsi"/>
                <w:sz w:val="24"/>
                <w:szCs w:val="24"/>
              </w:rPr>
            </w:pPr>
          </w:p>
          <w:p w14:paraId="6F3C0D85" w14:textId="3B7C8F7E" w:rsidR="00447382" w:rsidRDefault="003C29E9" w:rsidP="009230DC">
            <w:pPr>
              <w:rPr>
                <w:rFonts w:asciiTheme="majorHAnsi" w:hAnsiTheme="majorHAnsi"/>
                <w:sz w:val="24"/>
                <w:szCs w:val="24"/>
              </w:rPr>
            </w:pPr>
            <w:r>
              <w:rPr>
                <w:rFonts w:asciiTheme="majorHAnsi" w:hAnsiTheme="majorHAnsi"/>
                <w:sz w:val="24"/>
                <w:szCs w:val="24"/>
              </w:rPr>
              <w:t xml:space="preserve">Five percent </w:t>
            </w:r>
            <w:r w:rsidR="00447382">
              <w:rPr>
                <w:rFonts w:asciiTheme="majorHAnsi" w:hAnsiTheme="majorHAnsi"/>
                <w:sz w:val="24"/>
                <w:szCs w:val="24"/>
              </w:rPr>
              <w:t>of</w:t>
            </w:r>
            <w:r>
              <w:rPr>
                <w:rFonts w:asciiTheme="majorHAnsi" w:hAnsiTheme="majorHAnsi"/>
                <w:sz w:val="24"/>
                <w:szCs w:val="24"/>
              </w:rPr>
              <w:t xml:space="preserve"> revenue from</w:t>
            </w:r>
            <w:r w:rsidR="00447382">
              <w:rPr>
                <w:rFonts w:asciiTheme="majorHAnsi" w:hAnsiTheme="majorHAnsi"/>
                <w:sz w:val="24"/>
                <w:szCs w:val="24"/>
              </w:rPr>
              <w:t xml:space="preserve"> </w:t>
            </w:r>
            <w:r>
              <w:rPr>
                <w:rFonts w:asciiTheme="majorHAnsi" w:hAnsiTheme="majorHAnsi"/>
                <w:sz w:val="24"/>
                <w:szCs w:val="24"/>
              </w:rPr>
              <w:t>m</w:t>
            </w:r>
            <w:r w:rsidR="00447382">
              <w:rPr>
                <w:rFonts w:asciiTheme="majorHAnsi" w:hAnsiTheme="majorHAnsi"/>
                <w:sz w:val="24"/>
                <w:szCs w:val="24"/>
              </w:rPr>
              <w:t xml:space="preserve">arijuana </w:t>
            </w:r>
            <w:r>
              <w:rPr>
                <w:rFonts w:asciiTheme="majorHAnsi" w:hAnsiTheme="majorHAnsi"/>
                <w:sz w:val="24"/>
                <w:szCs w:val="24"/>
              </w:rPr>
              <w:t xml:space="preserve">sales </w:t>
            </w:r>
            <w:r w:rsidR="00447382">
              <w:rPr>
                <w:rFonts w:asciiTheme="majorHAnsi" w:hAnsiTheme="majorHAnsi"/>
                <w:sz w:val="24"/>
                <w:szCs w:val="24"/>
              </w:rPr>
              <w:t xml:space="preserve">will </w:t>
            </w:r>
            <w:r w:rsidR="00010D2E">
              <w:rPr>
                <w:rFonts w:asciiTheme="majorHAnsi" w:hAnsiTheme="majorHAnsi"/>
                <w:sz w:val="24"/>
                <w:szCs w:val="24"/>
              </w:rPr>
              <w:t>be dedicated</w:t>
            </w:r>
            <w:r>
              <w:rPr>
                <w:rFonts w:asciiTheme="majorHAnsi" w:hAnsiTheme="majorHAnsi"/>
                <w:sz w:val="24"/>
                <w:szCs w:val="24"/>
              </w:rPr>
              <w:t xml:space="preserve"> to</w:t>
            </w:r>
            <w:r w:rsidR="00447382">
              <w:rPr>
                <w:rFonts w:asciiTheme="majorHAnsi" w:hAnsiTheme="majorHAnsi"/>
                <w:sz w:val="24"/>
                <w:szCs w:val="24"/>
              </w:rPr>
              <w:t xml:space="preserve"> prevention. </w:t>
            </w:r>
            <w:r>
              <w:rPr>
                <w:rFonts w:asciiTheme="majorHAnsi" w:hAnsiTheme="majorHAnsi"/>
                <w:sz w:val="24"/>
                <w:szCs w:val="24"/>
              </w:rPr>
              <w:t xml:space="preserve">These funds will not be </w:t>
            </w:r>
            <w:r w:rsidR="00447382">
              <w:rPr>
                <w:rFonts w:asciiTheme="majorHAnsi" w:hAnsiTheme="majorHAnsi"/>
                <w:sz w:val="24"/>
                <w:szCs w:val="24"/>
              </w:rPr>
              <w:t>disbursed to PH</w:t>
            </w:r>
            <w:r>
              <w:rPr>
                <w:rFonts w:asciiTheme="majorHAnsi" w:hAnsiTheme="majorHAnsi"/>
                <w:sz w:val="24"/>
                <w:szCs w:val="24"/>
              </w:rPr>
              <w:t>D</w:t>
            </w:r>
            <w:r w:rsidR="0040154B">
              <w:rPr>
                <w:rFonts w:asciiTheme="majorHAnsi" w:hAnsiTheme="majorHAnsi"/>
                <w:sz w:val="24"/>
                <w:szCs w:val="24"/>
              </w:rPr>
              <w:t xml:space="preserve"> until</w:t>
            </w:r>
            <w:r w:rsidR="00447382">
              <w:rPr>
                <w:rFonts w:asciiTheme="majorHAnsi" w:hAnsiTheme="majorHAnsi"/>
                <w:sz w:val="24"/>
                <w:szCs w:val="24"/>
              </w:rPr>
              <w:t xml:space="preserve"> Sept. 2017 </w:t>
            </w:r>
            <w:r w:rsidR="0040154B">
              <w:rPr>
                <w:rFonts w:asciiTheme="majorHAnsi" w:hAnsiTheme="majorHAnsi"/>
                <w:sz w:val="24"/>
                <w:szCs w:val="24"/>
              </w:rPr>
              <w:t xml:space="preserve">(estimated) </w:t>
            </w:r>
            <w:r w:rsidR="00447382">
              <w:rPr>
                <w:rFonts w:asciiTheme="majorHAnsi" w:hAnsiTheme="majorHAnsi"/>
                <w:sz w:val="24"/>
                <w:szCs w:val="24"/>
              </w:rPr>
              <w:t xml:space="preserve">because </w:t>
            </w:r>
            <w:r w:rsidR="009D0455">
              <w:rPr>
                <w:rFonts w:asciiTheme="majorHAnsi" w:hAnsiTheme="majorHAnsi"/>
                <w:sz w:val="24"/>
                <w:szCs w:val="24"/>
              </w:rPr>
              <w:t xml:space="preserve">the initial payment of taxes will need to cover expenses that the </w:t>
            </w:r>
            <w:r w:rsidR="00447382">
              <w:rPr>
                <w:rFonts w:asciiTheme="majorHAnsi" w:hAnsiTheme="majorHAnsi"/>
                <w:sz w:val="24"/>
                <w:szCs w:val="24"/>
              </w:rPr>
              <w:t xml:space="preserve">OLCC </w:t>
            </w:r>
            <w:r w:rsidR="009D0455">
              <w:rPr>
                <w:rFonts w:asciiTheme="majorHAnsi" w:hAnsiTheme="majorHAnsi"/>
                <w:sz w:val="24"/>
                <w:szCs w:val="24"/>
              </w:rPr>
              <w:t xml:space="preserve">has incurred. </w:t>
            </w:r>
            <w:r w:rsidR="00AF0B95">
              <w:rPr>
                <w:rFonts w:asciiTheme="majorHAnsi" w:hAnsiTheme="majorHAnsi"/>
                <w:sz w:val="24"/>
                <w:szCs w:val="24"/>
              </w:rPr>
              <w:t>H</w:t>
            </w:r>
            <w:r w:rsidR="009D0455">
              <w:rPr>
                <w:rFonts w:asciiTheme="majorHAnsi" w:hAnsiTheme="majorHAnsi"/>
                <w:sz w:val="24"/>
                <w:szCs w:val="24"/>
              </w:rPr>
              <w:t xml:space="preserve">ow those funds will be used is to be determined. </w:t>
            </w:r>
          </w:p>
          <w:p w14:paraId="6DDF874C" w14:textId="77777777" w:rsidR="00447382" w:rsidRPr="00C6494F" w:rsidRDefault="00447382" w:rsidP="009230DC">
            <w:pPr>
              <w:rPr>
                <w:rFonts w:asciiTheme="majorHAnsi" w:hAnsiTheme="majorHAnsi"/>
                <w:sz w:val="24"/>
                <w:szCs w:val="24"/>
              </w:rPr>
            </w:pPr>
          </w:p>
        </w:tc>
        <w:tc>
          <w:tcPr>
            <w:tcW w:w="1548" w:type="dxa"/>
            <w:gridSpan w:val="2"/>
          </w:tcPr>
          <w:p w14:paraId="335662AD" w14:textId="77777777" w:rsidR="009230DC" w:rsidRPr="00C6494F" w:rsidRDefault="00605F4F" w:rsidP="009230DC">
            <w:pPr>
              <w:rPr>
                <w:rFonts w:asciiTheme="majorHAnsi" w:hAnsiTheme="majorHAnsi"/>
                <w:sz w:val="24"/>
                <w:szCs w:val="24"/>
              </w:rPr>
            </w:pPr>
            <w:r w:rsidRPr="00C6494F">
              <w:rPr>
                <w:rFonts w:asciiTheme="majorHAnsi" w:hAnsiTheme="majorHAnsi"/>
                <w:sz w:val="24"/>
                <w:szCs w:val="24"/>
              </w:rPr>
              <w:lastRenderedPageBreak/>
              <w:t>Karen Girard</w:t>
            </w:r>
          </w:p>
        </w:tc>
      </w:tr>
      <w:tr w:rsidR="00C6494F" w:rsidRPr="00C6494F" w14:paraId="20A18472" w14:textId="77777777" w:rsidTr="00D76C5E">
        <w:trPr>
          <w:trHeight w:val="890"/>
        </w:trPr>
        <w:tc>
          <w:tcPr>
            <w:tcW w:w="2448" w:type="dxa"/>
            <w:gridSpan w:val="2"/>
          </w:tcPr>
          <w:p w14:paraId="6924FBC4" w14:textId="77777777" w:rsidR="00C6494F" w:rsidRPr="00C6494F" w:rsidRDefault="00C6494F" w:rsidP="00190507">
            <w:pPr>
              <w:rPr>
                <w:rFonts w:asciiTheme="majorHAnsi" w:hAnsiTheme="majorHAnsi"/>
                <w:sz w:val="24"/>
                <w:szCs w:val="24"/>
              </w:rPr>
            </w:pPr>
            <w:r>
              <w:rPr>
                <w:rFonts w:asciiTheme="majorHAnsi" w:hAnsiTheme="majorHAnsi"/>
                <w:sz w:val="24"/>
                <w:szCs w:val="24"/>
              </w:rPr>
              <w:lastRenderedPageBreak/>
              <w:t>Stretch Break (5 min) 2:20 – 2:25</w:t>
            </w:r>
          </w:p>
        </w:tc>
        <w:tc>
          <w:tcPr>
            <w:tcW w:w="3870" w:type="dxa"/>
          </w:tcPr>
          <w:p w14:paraId="4ADB8EB4" w14:textId="77777777" w:rsidR="00C6494F" w:rsidRPr="00C6494F" w:rsidRDefault="00C6494F" w:rsidP="000B53DC">
            <w:pPr>
              <w:pStyle w:val="NormalWeb"/>
              <w:spacing w:before="0" w:beforeAutospacing="0" w:after="0" w:afterAutospacing="0"/>
              <w:rPr>
                <w:rFonts w:asciiTheme="majorHAnsi" w:hAnsiTheme="majorHAnsi" w:cs="Calibri"/>
                <w:b/>
              </w:rPr>
            </w:pPr>
          </w:p>
        </w:tc>
        <w:tc>
          <w:tcPr>
            <w:tcW w:w="6750" w:type="dxa"/>
          </w:tcPr>
          <w:p w14:paraId="63FE7CEF" w14:textId="77777777" w:rsidR="00C6494F" w:rsidRPr="00C6494F" w:rsidRDefault="00C6494F" w:rsidP="009230DC">
            <w:pPr>
              <w:rPr>
                <w:rFonts w:asciiTheme="majorHAnsi" w:hAnsiTheme="majorHAnsi"/>
                <w:sz w:val="24"/>
                <w:szCs w:val="24"/>
              </w:rPr>
            </w:pPr>
          </w:p>
        </w:tc>
        <w:tc>
          <w:tcPr>
            <w:tcW w:w="1548" w:type="dxa"/>
            <w:gridSpan w:val="2"/>
          </w:tcPr>
          <w:p w14:paraId="350BCC18" w14:textId="77777777" w:rsidR="00C6494F" w:rsidRPr="00C6494F" w:rsidRDefault="00C6494F" w:rsidP="009230DC">
            <w:pPr>
              <w:rPr>
                <w:rFonts w:asciiTheme="majorHAnsi" w:hAnsiTheme="majorHAnsi"/>
                <w:sz w:val="24"/>
                <w:szCs w:val="24"/>
              </w:rPr>
            </w:pPr>
            <w:r>
              <w:rPr>
                <w:rFonts w:asciiTheme="majorHAnsi" w:hAnsiTheme="majorHAnsi"/>
                <w:sz w:val="24"/>
                <w:szCs w:val="24"/>
              </w:rPr>
              <w:t>All</w:t>
            </w:r>
          </w:p>
        </w:tc>
      </w:tr>
      <w:tr w:rsidR="00C6494F" w:rsidRPr="00C6494F" w14:paraId="58B27C8C" w14:textId="77777777" w:rsidTr="00D76C5E">
        <w:trPr>
          <w:trHeight w:val="890"/>
        </w:trPr>
        <w:tc>
          <w:tcPr>
            <w:tcW w:w="2448" w:type="dxa"/>
            <w:gridSpan w:val="2"/>
          </w:tcPr>
          <w:p w14:paraId="6F62C714" w14:textId="77777777" w:rsidR="009230DC" w:rsidRPr="00C6494F" w:rsidRDefault="00C6494F" w:rsidP="00C6494F">
            <w:pPr>
              <w:rPr>
                <w:rFonts w:asciiTheme="majorHAnsi" w:hAnsiTheme="majorHAnsi"/>
                <w:sz w:val="24"/>
                <w:szCs w:val="24"/>
              </w:rPr>
            </w:pPr>
            <w:r>
              <w:rPr>
                <w:rFonts w:asciiTheme="majorHAnsi" w:hAnsiTheme="majorHAnsi"/>
                <w:sz w:val="24"/>
                <w:szCs w:val="24"/>
              </w:rPr>
              <w:t>HPCDP grants update (20</w:t>
            </w:r>
            <w:r w:rsidR="00002B81" w:rsidRPr="00C6494F">
              <w:rPr>
                <w:rFonts w:asciiTheme="majorHAnsi" w:hAnsiTheme="majorHAnsi"/>
                <w:sz w:val="24"/>
                <w:szCs w:val="24"/>
              </w:rPr>
              <w:t xml:space="preserve"> min)</w:t>
            </w:r>
            <w:r w:rsidR="00BB3AED" w:rsidRPr="00C6494F">
              <w:rPr>
                <w:rFonts w:asciiTheme="majorHAnsi" w:hAnsiTheme="majorHAnsi"/>
                <w:sz w:val="24"/>
                <w:szCs w:val="24"/>
              </w:rPr>
              <w:t xml:space="preserve"> 2:2</w:t>
            </w:r>
            <w:r>
              <w:rPr>
                <w:rFonts w:asciiTheme="majorHAnsi" w:hAnsiTheme="majorHAnsi"/>
                <w:sz w:val="24"/>
                <w:szCs w:val="24"/>
              </w:rPr>
              <w:t>5 – 2:45</w:t>
            </w:r>
          </w:p>
        </w:tc>
        <w:tc>
          <w:tcPr>
            <w:tcW w:w="3870" w:type="dxa"/>
          </w:tcPr>
          <w:p w14:paraId="3B7C36EA" w14:textId="77777777" w:rsidR="00002B81" w:rsidRPr="00C6494F" w:rsidRDefault="00724511" w:rsidP="000B53DC">
            <w:pPr>
              <w:pStyle w:val="NormalWeb"/>
              <w:spacing w:before="0" w:beforeAutospacing="0" w:after="0" w:afterAutospacing="0"/>
              <w:rPr>
                <w:rFonts w:asciiTheme="majorHAnsi" w:hAnsiTheme="majorHAnsi" w:cs="Calibri"/>
              </w:rPr>
            </w:pPr>
            <w:r w:rsidRPr="00C6494F">
              <w:rPr>
                <w:rFonts w:asciiTheme="majorHAnsi" w:hAnsiTheme="majorHAnsi" w:cs="Calibri"/>
                <w:b/>
              </w:rPr>
              <w:t xml:space="preserve">Background: </w:t>
            </w:r>
            <w:r w:rsidR="00002B81" w:rsidRPr="00C6494F">
              <w:rPr>
                <w:rFonts w:asciiTheme="majorHAnsi" w:hAnsiTheme="majorHAnsi" w:cs="Calibri"/>
              </w:rPr>
              <w:t xml:space="preserve">HPCDP has released and will be releasing a number of grant opportunities: </w:t>
            </w:r>
          </w:p>
          <w:p w14:paraId="2753712C" w14:textId="77777777" w:rsidR="00002B81" w:rsidRPr="00C6494F" w:rsidRDefault="00002B81" w:rsidP="000B53DC">
            <w:pPr>
              <w:pStyle w:val="NormalWeb"/>
              <w:numPr>
                <w:ilvl w:val="0"/>
                <w:numId w:val="36"/>
              </w:numPr>
              <w:spacing w:before="0" w:beforeAutospacing="0"/>
              <w:rPr>
                <w:rFonts w:asciiTheme="majorHAnsi" w:hAnsiTheme="majorHAnsi" w:cs="Calibri"/>
              </w:rPr>
            </w:pPr>
            <w:r w:rsidRPr="00C6494F">
              <w:rPr>
                <w:rFonts w:asciiTheme="majorHAnsi" w:hAnsiTheme="majorHAnsi" w:cs="Calibri"/>
              </w:rPr>
              <w:t>Strategies for Policy and environmental Change, Tobacco-free (SPArC)</w:t>
            </w:r>
            <w:r w:rsidR="00FB439A" w:rsidRPr="00C6494F">
              <w:rPr>
                <w:rFonts w:asciiTheme="majorHAnsi" w:hAnsiTheme="majorHAnsi" w:cs="Calibri"/>
              </w:rPr>
              <w:t xml:space="preserve"> (Released and closed)</w:t>
            </w:r>
          </w:p>
          <w:p w14:paraId="4729675F" w14:textId="77777777" w:rsidR="00002B81" w:rsidRPr="00C6494F" w:rsidRDefault="00002B81" w:rsidP="00002B81">
            <w:pPr>
              <w:pStyle w:val="NormalWeb"/>
              <w:numPr>
                <w:ilvl w:val="0"/>
                <w:numId w:val="36"/>
              </w:numPr>
              <w:rPr>
                <w:rFonts w:asciiTheme="majorHAnsi" w:hAnsiTheme="majorHAnsi" w:cs="Calibri"/>
              </w:rPr>
            </w:pPr>
            <w:r w:rsidRPr="00C6494F">
              <w:rPr>
                <w:rFonts w:asciiTheme="majorHAnsi" w:hAnsiTheme="majorHAnsi" w:cs="Calibri"/>
              </w:rPr>
              <w:t xml:space="preserve">Tobacco Prevention and Education Program (TPEP) </w:t>
            </w:r>
            <w:r w:rsidR="00FB439A" w:rsidRPr="00C6494F">
              <w:rPr>
                <w:rFonts w:asciiTheme="majorHAnsi" w:hAnsiTheme="majorHAnsi" w:cs="Calibri"/>
              </w:rPr>
              <w:t>(Released January 29. Due March 25 at 3:00 PM)</w:t>
            </w:r>
          </w:p>
          <w:p w14:paraId="1A6F7ECE" w14:textId="77777777" w:rsidR="000B53DC" w:rsidRPr="00C6494F" w:rsidRDefault="000B53DC" w:rsidP="000B53DC">
            <w:pPr>
              <w:pStyle w:val="NormalWeb"/>
              <w:numPr>
                <w:ilvl w:val="0"/>
                <w:numId w:val="36"/>
              </w:numPr>
              <w:spacing w:before="0" w:beforeAutospacing="0" w:after="0" w:afterAutospacing="0"/>
              <w:rPr>
                <w:rFonts w:asciiTheme="majorHAnsi" w:hAnsiTheme="majorHAnsi" w:cs="Calibri"/>
              </w:rPr>
            </w:pPr>
            <w:r w:rsidRPr="00C6494F">
              <w:rPr>
                <w:rFonts w:asciiTheme="majorHAnsi" w:hAnsiTheme="majorHAnsi" w:cs="Calibri"/>
              </w:rPr>
              <w:t>Sustainable Relationships for Community Health (SRCH)</w:t>
            </w:r>
            <w:r w:rsidR="00FB439A" w:rsidRPr="00C6494F">
              <w:rPr>
                <w:rFonts w:asciiTheme="majorHAnsi" w:hAnsiTheme="majorHAnsi" w:cs="Calibri"/>
              </w:rPr>
              <w:t xml:space="preserve"> (To be released in early March) </w:t>
            </w:r>
          </w:p>
          <w:p w14:paraId="42606FC4" w14:textId="77777777" w:rsidR="00002B81" w:rsidRPr="00C6494F" w:rsidRDefault="00002B81" w:rsidP="00002B81">
            <w:pPr>
              <w:pStyle w:val="NormalWeb"/>
              <w:numPr>
                <w:ilvl w:val="0"/>
                <w:numId w:val="36"/>
              </w:numPr>
              <w:rPr>
                <w:rFonts w:asciiTheme="majorHAnsi" w:hAnsiTheme="majorHAnsi" w:cs="Calibri"/>
              </w:rPr>
            </w:pPr>
            <w:r w:rsidRPr="00C6494F">
              <w:rPr>
                <w:rFonts w:asciiTheme="majorHAnsi" w:hAnsiTheme="majorHAnsi" w:cs="Calibri"/>
              </w:rPr>
              <w:t>Healthy Communities</w:t>
            </w:r>
            <w:r w:rsidR="00FB439A" w:rsidRPr="00C6494F">
              <w:rPr>
                <w:rFonts w:asciiTheme="majorHAnsi" w:hAnsiTheme="majorHAnsi" w:cs="Calibri"/>
              </w:rPr>
              <w:t xml:space="preserve"> (Anticipated release in April)</w:t>
            </w:r>
          </w:p>
          <w:p w14:paraId="08AC7E42" w14:textId="77777777" w:rsidR="003A19B0" w:rsidRPr="004D345D" w:rsidRDefault="003A19B0" w:rsidP="004D345D">
            <w:pPr>
              <w:rPr>
                <w:rFonts w:asciiTheme="majorHAnsi" w:hAnsiTheme="majorHAnsi" w:cs="Calibri"/>
                <w:sz w:val="24"/>
                <w:szCs w:val="24"/>
              </w:rPr>
            </w:pPr>
            <w:r w:rsidRPr="00C6494F">
              <w:rPr>
                <w:rFonts w:asciiTheme="majorHAnsi" w:hAnsiTheme="majorHAnsi" w:cs="Calibri"/>
                <w:b/>
                <w:bCs/>
                <w:sz w:val="24"/>
                <w:szCs w:val="24"/>
              </w:rPr>
              <w:t xml:space="preserve">Objective: </w:t>
            </w:r>
            <w:r w:rsidR="00002B81" w:rsidRPr="00C6494F">
              <w:rPr>
                <w:rFonts w:asciiTheme="majorHAnsi" w:hAnsiTheme="majorHAnsi" w:cs="Calibri"/>
                <w:bCs/>
                <w:sz w:val="24"/>
                <w:szCs w:val="24"/>
              </w:rPr>
              <w:t xml:space="preserve">Provide an update on the status of each HPCDP grant opportunity. </w:t>
            </w:r>
          </w:p>
        </w:tc>
        <w:tc>
          <w:tcPr>
            <w:tcW w:w="6750" w:type="dxa"/>
          </w:tcPr>
          <w:p w14:paraId="5C746B76" w14:textId="77777777" w:rsidR="009D0455" w:rsidRDefault="009D0455" w:rsidP="00447382">
            <w:pPr>
              <w:pStyle w:val="NormalWeb"/>
              <w:spacing w:before="0" w:beforeAutospacing="0"/>
              <w:rPr>
                <w:rFonts w:asciiTheme="majorHAnsi" w:hAnsiTheme="majorHAnsi" w:cs="Calibri"/>
              </w:rPr>
            </w:pPr>
            <w:r>
              <w:rPr>
                <w:rFonts w:asciiTheme="majorHAnsi" w:hAnsiTheme="majorHAnsi" w:cs="Calibri"/>
              </w:rPr>
              <w:t>Sabrina Freewyn</w:t>
            </w:r>
            <w:r w:rsidR="00010D2E">
              <w:rPr>
                <w:rFonts w:asciiTheme="majorHAnsi" w:hAnsiTheme="majorHAnsi" w:cs="Calibri"/>
              </w:rPr>
              <w:t>n</w:t>
            </w:r>
            <w:r>
              <w:rPr>
                <w:rFonts w:asciiTheme="majorHAnsi" w:hAnsiTheme="majorHAnsi" w:cs="Calibri"/>
              </w:rPr>
              <w:t xml:space="preserve"> provided an overview of HPCDP grant opportunities. </w:t>
            </w:r>
          </w:p>
          <w:p w14:paraId="794B84A0" w14:textId="700B8126" w:rsidR="00447382" w:rsidRPr="00C6494F" w:rsidRDefault="00447382" w:rsidP="00447382">
            <w:pPr>
              <w:pStyle w:val="NormalWeb"/>
              <w:spacing w:before="0" w:beforeAutospacing="0"/>
              <w:rPr>
                <w:rFonts w:asciiTheme="majorHAnsi" w:hAnsiTheme="majorHAnsi" w:cs="Calibri"/>
              </w:rPr>
            </w:pPr>
            <w:r w:rsidRPr="00C6494F">
              <w:rPr>
                <w:rFonts w:asciiTheme="majorHAnsi" w:hAnsiTheme="majorHAnsi" w:cs="Calibri"/>
              </w:rPr>
              <w:t xml:space="preserve">Strategies for Policy and environmental Change, Tobacco-free (SPArC) </w:t>
            </w:r>
            <w:r w:rsidR="009D0455">
              <w:rPr>
                <w:rFonts w:asciiTheme="majorHAnsi" w:hAnsiTheme="majorHAnsi" w:cs="Calibri"/>
              </w:rPr>
              <w:t>grants have</w:t>
            </w:r>
            <w:r>
              <w:rPr>
                <w:rFonts w:asciiTheme="majorHAnsi" w:hAnsiTheme="majorHAnsi" w:cs="Calibri"/>
              </w:rPr>
              <w:t xml:space="preserve"> been awarded. </w:t>
            </w:r>
            <w:r w:rsidR="009D0455">
              <w:rPr>
                <w:rFonts w:asciiTheme="majorHAnsi" w:hAnsiTheme="majorHAnsi" w:cs="Calibri"/>
              </w:rPr>
              <w:t xml:space="preserve">There were nine applicants. </w:t>
            </w:r>
            <w:r w:rsidR="00010D2E">
              <w:rPr>
                <w:rFonts w:asciiTheme="majorHAnsi" w:hAnsiTheme="majorHAnsi" w:cs="Calibri"/>
              </w:rPr>
              <w:t xml:space="preserve">The </w:t>
            </w:r>
            <w:r w:rsidR="009D0455">
              <w:rPr>
                <w:rFonts w:asciiTheme="majorHAnsi" w:hAnsiTheme="majorHAnsi" w:cs="Calibri"/>
              </w:rPr>
              <w:t>seven</w:t>
            </w:r>
            <w:r>
              <w:rPr>
                <w:rFonts w:asciiTheme="majorHAnsi" w:hAnsiTheme="majorHAnsi" w:cs="Calibri"/>
              </w:rPr>
              <w:t xml:space="preserve"> award</w:t>
            </w:r>
            <w:r w:rsidR="009D0455">
              <w:rPr>
                <w:rFonts w:asciiTheme="majorHAnsi" w:hAnsiTheme="majorHAnsi" w:cs="Calibri"/>
              </w:rPr>
              <w:t>ees</w:t>
            </w:r>
            <w:r w:rsidR="00010D2E">
              <w:rPr>
                <w:rFonts w:asciiTheme="majorHAnsi" w:hAnsiTheme="majorHAnsi" w:cs="Calibri"/>
              </w:rPr>
              <w:t xml:space="preserve"> are</w:t>
            </w:r>
            <w:r w:rsidR="009D0455">
              <w:rPr>
                <w:rFonts w:asciiTheme="majorHAnsi" w:hAnsiTheme="majorHAnsi" w:cs="Calibri"/>
              </w:rPr>
              <w:t xml:space="preserve"> Crook, Deschutes, Klamath, Lane, Marion, Multnomah, and Uma</w:t>
            </w:r>
            <w:r>
              <w:rPr>
                <w:rFonts w:asciiTheme="majorHAnsi" w:hAnsiTheme="majorHAnsi" w:cs="Calibri"/>
              </w:rPr>
              <w:t>till</w:t>
            </w:r>
            <w:r w:rsidR="009D0455">
              <w:rPr>
                <w:rFonts w:asciiTheme="majorHAnsi" w:hAnsiTheme="majorHAnsi" w:cs="Calibri"/>
              </w:rPr>
              <w:t xml:space="preserve">a counties. </w:t>
            </w:r>
            <w:r w:rsidR="00B21F36">
              <w:rPr>
                <w:rFonts w:asciiTheme="majorHAnsi" w:hAnsiTheme="majorHAnsi" w:cs="Calibri"/>
              </w:rPr>
              <w:t>Multnomah County will be pursuing their SPArC objectives</w:t>
            </w:r>
            <w:r w:rsidR="0040154B">
              <w:rPr>
                <w:rFonts w:asciiTheme="majorHAnsi" w:hAnsiTheme="majorHAnsi" w:cs="Calibri"/>
              </w:rPr>
              <w:t xml:space="preserve"> in </w:t>
            </w:r>
            <w:r w:rsidR="00B21F36">
              <w:rPr>
                <w:rFonts w:asciiTheme="majorHAnsi" w:hAnsiTheme="majorHAnsi" w:cs="Calibri"/>
              </w:rPr>
              <w:t xml:space="preserve">coordination with the Oregon Health Equity Coalition, their </w:t>
            </w:r>
            <w:r w:rsidR="0040154B">
              <w:rPr>
                <w:rFonts w:asciiTheme="majorHAnsi" w:hAnsiTheme="majorHAnsi" w:cs="Calibri"/>
              </w:rPr>
              <w:t>Regional Health Equity C</w:t>
            </w:r>
            <w:r>
              <w:rPr>
                <w:rFonts w:asciiTheme="majorHAnsi" w:hAnsiTheme="majorHAnsi" w:cs="Calibri"/>
              </w:rPr>
              <w:t xml:space="preserve">oalitions. </w:t>
            </w:r>
            <w:r w:rsidR="00AF0B95">
              <w:rPr>
                <w:rFonts w:asciiTheme="majorHAnsi" w:hAnsiTheme="majorHAnsi" w:cs="Calibri"/>
              </w:rPr>
              <w:t>The g</w:t>
            </w:r>
            <w:r w:rsidR="009D0455">
              <w:rPr>
                <w:rFonts w:asciiTheme="majorHAnsi" w:hAnsiTheme="majorHAnsi" w:cs="Calibri"/>
              </w:rPr>
              <w:t>rant</w:t>
            </w:r>
            <w:r w:rsidR="00B21F36">
              <w:rPr>
                <w:rFonts w:asciiTheme="majorHAnsi" w:hAnsiTheme="majorHAnsi" w:cs="Calibri"/>
              </w:rPr>
              <w:t xml:space="preserve"> period is January 2016 through</w:t>
            </w:r>
            <w:r w:rsidR="009D0455">
              <w:rPr>
                <w:rFonts w:asciiTheme="majorHAnsi" w:hAnsiTheme="majorHAnsi" w:cs="Calibri"/>
              </w:rPr>
              <w:t xml:space="preserve"> </w:t>
            </w:r>
            <w:r>
              <w:rPr>
                <w:rFonts w:asciiTheme="majorHAnsi" w:hAnsiTheme="majorHAnsi" w:cs="Calibri"/>
              </w:rPr>
              <w:t>June 2017. Multnoma</w:t>
            </w:r>
            <w:r w:rsidR="009D0455">
              <w:rPr>
                <w:rFonts w:asciiTheme="majorHAnsi" w:hAnsiTheme="majorHAnsi" w:cs="Calibri"/>
              </w:rPr>
              <w:t>h, Klamath and L</w:t>
            </w:r>
            <w:r>
              <w:rPr>
                <w:rFonts w:asciiTheme="majorHAnsi" w:hAnsiTheme="majorHAnsi" w:cs="Calibri"/>
              </w:rPr>
              <w:t xml:space="preserve">ane were </w:t>
            </w:r>
            <w:r w:rsidR="009D0455">
              <w:rPr>
                <w:rFonts w:asciiTheme="majorHAnsi" w:hAnsiTheme="majorHAnsi" w:cs="Calibri"/>
              </w:rPr>
              <w:t xml:space="preserve">also funded under the previous round of SPArC grants. </w:t>
            </w:r>
          </w:p>
          <w:p w14:paraId="612BEA81" w14:textId="6E3774CD" w:rsidR="00447382" w:rsidRPr="00C6494F" w:rsidRDefault="00447382" w:rsidP="00447382">
            <w:pPr>
              <w:pStyle w:val="NormalWeb"/>
              <w:rPr>
                <w:rFonts w:asciiTheme="majorHAnsi" w:hAnsiTheme="majorHAnsi" w:cs="Calibri"/>
              </w:rPr>
            </w:pPr>
            <w:r w:rsidRPr="00C6494F">
              <w:rPr>
                <w:rFonts w:asciiTheme="majorHAnsi" w:hAnsiTheme="majorHAnsi" w:cs="Calibri"/>
              </w:rPr>
              <w:t xml:space="preserve">Tobacco Prevention and Education Program (TPEP) </w:t>
            </w:r>
            <w:r w:rsidR="0030151E">
              <w:rPr>
                <w:rFonts w:asciiTheme="majorHAnsi" w:hAnsiTheme="majorHAnsi" w:cs="Calibri"/>
              </w:rPr>
              <w:t xml:space="preserve">– </w:t>
            </w:r>
            <w:r w:rsidR="009D0455">
              <w:rPr>
                <w:rFonts w:asciiTheme="majorHAnsi" w:hAnsiTheme="majorHAnsi" w:cs="Calibri"/>
              </w:rPr>
              <w:t>This is the n</w:t>
            </w:r>
            <w:r w:rsidR="0030151E">
              <w:rPr>
                <w:rFonts w:asciiTheme="majorHAnsi" w:hAnsiTheme="majorHAnsi" w:cs="Calibri"/>
              </w:rPr>
              <w:t xml:space="preserve">on-competitive core </w:t>
            </w:r>
            <w:r w:rsidR="009D0455">
              <w:rPr>
                <w:rFonts w:asciiTheme="majorHAnsi" w:hAnsiTheme="majorHAnsi" w:cs="Calibri"/>
              </w:rPr>
              <w:t xml:space="preserve">TPEP </w:t>
            </w:r>
            <w:r w:rsidR="0030151E">
              <w:rPr>
                <w:rFonts w:asciiTheme="majorHAnsi" w:hAnsiTheme="majorHAnsi" w:cs="Calibri"/>
              </w:rPr>
              <w:t>grant</w:t>
            </w:r>
            <w:r w:rsidR="009D0455">
              <w:rPr>
                <w:rFonts w:asciiTheme="majorHAnsi" w:hAnsiTheme="majorHAnsi" w:cs="Calibri"/>
              </w:rPr>
              <w:t>. The Request for Applications was</w:t>
            </w:r>
            <w:r w:rsidR="0030151E">
              <w:rPr>
                <w:rFonts w:asciiTheme="majorHAnsi" w:hAnsiTheme="majorHAnsi" w:cs="Calibri"/>
              </w:rPr>
              <w:t xml:space="preserve"> </w:t>
            </w:r>
            <w:r w:rsidR="009D0455">
              <w:rPr>
                <w:rFonts w:asciiTheme="majorHAnsi" w:hAnsiTheme="majorHAnsi" w:cs="Calibri"/>
              </w:rPr>
              <w:t>released January 29</w:t>
            </w:r>
            <w:r w:rsidR="0040154B">
              <w:rPr>
                <w:rFonts w:asciiTheme="majorHAnsi" w:hAnsiTheme="majorHAnsi" w:cs="Calibri"/>
              </w:rPr>
              <w:t>. A</w:t>
            </w:r>
            <w:r w:rsidR="009D0455">
              <w:rPr>
                <w:rFonts w:asciiTheme="majorHAnsi" w:hAnsiTheme="majorHAnsi" w:cs="Calibri"/>
              </w:rPr>
              <w:t>pplications are due to HPCDP</w:t>
            </w:r>
            <w:r w:rsidRPr="00C6494F">
              <w:rPr>
                <w:rFonts w:asciiTheme="majorHAnsi" w:hAnsiTheme="majorHAnsi" w:cs="Calibri"/>
              </w:rPr>
              <w:t xml:space="preserve"> March 25 </w:t>
            </w:r>
            <w:r w:rsidR="00AF0B95">
              <w:rPr>
                <w:rFonts w:asciiTheme="majorHAnsi" w:hAnsiTheme="majorHAnsi" w:cs="Calibri"/>
              </w:rPr>
              <w:t>by</w:t>
            </w:r>
            <w:r w:rsidRPr="00C6494F">
              <w:rPr>
                <w:rFonts w:asciiTheme="majorHAnsi" w:hAnsiTheme="majorHAnsi" w:cs="Calibri"/>
              </w:rPr>
              <w:t xml:space="preserve"> 3:00</w:t>
            </w:r>
            <w:r w:rsidR="0030151E">
              <w:rPr>
                <w:rFonts w:asciiTheme="majorHAnsi" w:hAnsiTheme="majorHAnsi" w:cs="Calibri"/>
              </w:rPr>
              <w:t xml:space="preserve"> PM.</w:t>
            </w:r>
            <w:r w:rsidR="009D0455">
              <w:rPr>
                <w:rFonts w:asciiTheme="majorHAnsi" w:hAnsiTheme="majorHAnsi" w:cs="Calibri"/>
              </w:rPr>
              <w:t xml:space="preserve"> Questions about th</w:t>
            </w:r>
            <w:r w:rsidR="00AF0B95">
              <w:rPr>
                <w:rFonts w:asciiTheme="majorHAnsi" w:hAnsiTheme="majorHAnsi" w:cs="Calibri"/>
              </w:rPr>
              <w:t>e</w:t>
            </w:r>
            <w:r w:rsidR="009D0455">
              <w:rPr>
                <w:rFonts w:asciiTheme="majorHAnsi" w:hAnsiTheme="majorHAnsi" w:cs="Calibri"/>
              </w:rPr>
              <w:t xml:space="preserve">se grants </w:t>
            </w:r>
            <w:r w:rsidR="00AF0B95">
              <w:rPr>
                <w:rFonts w:asciiTheme="majorHAnsi" w:hAnsiTheme="majorHAnsi" w:cs="Calibri"/>
              </w:rPr>
              <w:t xml:space="preserve">can be directed </w:t>
            </w:r>
            <w:r w:rsidR="009D0455">
              <w:rPr>
                <w:rFonts w:asciiTheme="majorHAnsi" w:hAnsiTheme="majorHAnsi" w:cs="Calibri"/>
              </w:rPr>
              <w:t xml:space="preserve">to HPCDP liaisons. </w:t>
            </w:r>
            <w:r w:rsidR="0030151E">
              <w:rPr>
                <w:rFonts w:asciiTheme="majorHAnsi" w:hAnsiTheme="majorHAnsi" w:cs="Calibri"/>
              </w:rPr>
              <w:t xml:space="preserve"> </w:t>
            </w:r>
          </w:p>
          <w:p w14:paraId="6CD044C8" w14:textId="77777777" w:rsidR="00447382" w:rsidRPr="00C6494F" w:rsidRDefault="00447382" w:rsidP="0030151E">
            <w:pPr>
              <w:pStyle w:val="NormalWeb"/>
              <w:spacing w:before="0" w:beforeAutospacing="0" w:after="0" w:afterAutospacing="0"/>
              <w:rPr>
                <w:rFonts w:asciiTheme="majorHAnsi" w:hAnsiTheme="majorHAnsi" w:cs="Calibri"/>
              </w:rPr>
            </w:pPr>
            <w:r w:rsidRPr="00C6494F">
              <w:rPr>
                <w:rFonts w:asciiTheme="majorHAnsi" w:hAnsiTheme="majorHAnsi" w:cs="Calibri"/>
              </w:rPr>
              <w:t>Sustainable Relationships for Community Health (SRCH)</w:t>
            </w:r>
            <w:r w:rsidR="0030151E">
              <w:rPr>
                <w:rFonts w:asciiTheme="majorHAnsi" w:hAnsiTheme="majorHAnsi" w:cs="Calibri"/>
              </w:rPr>
              <w:t xml:space="preserve"> - </w:t>
            </w:r>
            <w:r w:rsidR="009D0455">
              <w:rPr>
                <w:rFonts w:asciiTheme="majorHAnsi" w:hAnsiTheme="majorHAnsi" w:cs="Calibri"/>
              </w:rPr>
              <w:t>This competitive grant opportunity will be released in early March. It will be</w:t>
            </w:r>
            <w:r w:rsidR="0030151E">
              <w:rPr>
                <w:rFonts w:asciiTheme="majorHAnsi" w:hAnsiTheme="majorHAnsi" w:cs="Calibri"/>
              </w:rPr>
              <w:t xml:space="preserve"> posted to ORPIN, </w:t>
            </w:r>
            <w:r w:rsidR="009D0455">
              <w:rPr>
                <w:rFonts w:asciiTheme="majorHAnsi" w:hAnsiTheme="majorHAnsi" w:cs="Calibri"/>
              </w:rPr>
              <w:t>with grant number 4170, and an a</w:t>
            </w:r>
            <w:r w:rsidR="0030151E">
              <w:rPr>
                <w:rFonts w:asciiTheme="majorHAnsi" w:hAnsiTheme="majorHAnsi" w:cs="Calibri"/>
              </w:rPr>
              <w:t xml:space="preserve">nnouncement will be sent </w:t>
            </w:r>
            <w:r w:rsidR="009D0455">
              <w:rPr>
                <w:rFonts w:asciiTheme="majorHAnsi" w:hAnsiTheme="majorHAnsi" w:cs="Calibri"/>
              </w:rPr>
              <w:t xml:space="preserve">to administrators </w:t>
            </w:r>
            <w:r w:rsidR="0030151E">
              <w:rPr>
                <w:rFonts w:asciiTheme="majorHAnsi" w:hAnsiTheme="majorHAnsi" w:cs="Calibri"/>
              </w:rPr>
              <w:t xml:space="preserve">through </w:t>
            </w:r>
            <w:r w:rsidR="009D0455">
              <w:rPr>
                <w:rFonts w:asciiTheme="majorHAnsi" w:hAnsiTheme="majorHAnsi" w:cs="Calibri"/>
              </w:rPr>
              <w:t xml:space="preserve">the PHD Director’s Office, to HPCDP grantees through grantee listservs, and to CCOs. </w:t>
            </w:r>
          </w:p>
          <w:p w14:paraId="0CEB9868" w14:textId="6BF9835F" w:rsidR="00447382" w:rsidRDefault="00447382" w:rsidP="0030151E">
            <w:pPr>
              <w:pStyle w:val="NormalWeb"/>
              <w:rPr>
                <w:rFonts w:asciiTheme="majorHAnsi" w:hAnsiTheme="majorHAnsi" w:cs="Calibri"/>
              </w:rPr>
            </w:pPr>
            <w:r w:rsidRPr="00C6494F">
              <w:rPr>
                <w:rFonts w:asciiTheme="majorHAnsi" w:hAnsiTheme="majorHAnsi" w:cs="Calibri"/>
              </w:rPr>
              <w:lastRenderedPageBreak/>
              <w:t>Healthy Communities (Anticipated release in April)</w:t>
            </w:r>
            <w:r w:rsidR="0030151E">
              <w:rPr>
                <w:rFonts w:asciiTheme="majorHAnsi" w:hAnsiTheme="majorHAnsi" w:cs="Calibri"/>
              </w:rPr>
              <w:t xml:space="preserve"> –</w:t>
            </w:r>
            <w:r w:rsidR="00B21F36">
              <w:rPr>
                <w:rFonts w:asciiTheme="majorHAnsi" w:hAnsiTheme="majorHAnsi" w:cs="Calibri"/>
              </w:rPr>
              <w:t xml:space="preserve"> </w:t>
            </w:r>
            <w:r w:rsidR="00646AE7">
              <w:rPr>
                <w:rFonts w:asciiTheme="majorHAnsi" w:hAnsiTheme="majorHAnsi" w:cs="Calibri"/>
              </w:rPr>
              <w:t xml:space="preserve">The question of whether to open the grant only to the current cohort was discussed at last month’s CLHO Healthy Communities meeting and at the full CLHO meeting, where there was feedback </w:t>
            </w:r>
            <w:r w:rsidR="00BF38A7">
              <w:rPr>
                <w:rFonts w:asciiTheme="majorHAnsi" w:hAnsiTheme="majorHAnsi" w:cs="Calibri"/>
              </w:rPr>
              <w:t xml:space="preserve">asking </w:t>
            </w:r>
            <w:r w:rsidR="00010D2E">
              <w:rPr>
                <w:rFonts w:asciiTheme="majorHAnsi" w:hAnsiTheme="majorHAnsi" w:cs="Calibri"/>
              </w:rPr>
              <w:t xml:space="preserve">that </w:t>
            </w:r>
            <w:r w:rsidR="00646AE7">
              <w:rPr>
                <w:rFonts w:asciiTheme="majorHAnsi" w:hAnsiTheme="majorHAnsi" w:cs="Calibri"/>
              </w:rPr>
              <w:t>the grant</w:t>
            </w:r>
            <w:r w:rsidR="0040154B">
              <w:rPr>
                <w:rFonts w:asciiTheme="majorHAnsi" w:hAnsiTheme="majorHAnsi" w:cs="Calibri"/>
              </w:rPr>
              <w:t xml:space="preserve"> be opened</w:t>
            </w:r>
            <w:r w:rsidR="00646AE7">
              <w:rPr>
                <w:rFonts w:asciiTheme="majorHAnsi" w:hAnsiTheme="majorHAnsi" w:cs="Calibri"/>
              </w:rPr>
              <w:t xml:space="preserve"> to other</w:t>
            </w:r>
            <w:r w:rsidR="00BF38A7">
              <w:rPr>
                <w:rFonts w:asciiTheme="majorHAnsi" w:hAnsiTheme="majorHAnsi" w:cs="Calibri"/>
              </w:rPr>
              <w:t xml:space="preserve"> local public health authorities</w:t>
            </w:r>
            <w:r w:rsidR="00646AE7">
              <w:rPr>
                <w:rFonts w:asciiTheme="majorHAnsi" w:hAnsiTheme="majorHAnsi" w:cs="Calibri"/>
              </w:rPr>
              <w:t xml:space="preserve"> to apply. </w:t>
            </w:r>
          </w:p>
          <w:p w14:paraId="4542890D" w14:textId="5E31D0A4" w:rsidR="00BF38A7" w:rsidRDefault="00704D0A" w:rsidP="0030151E">
            <w:pPr>
              <w:pStyle w:val="NormalWeb"/>
              <w:rPr>
                <w:rFonts w:asciiTheme="majorHAnsi" w:hAnsiTheme="majorHAnsi" w:cs="Calibri"/>
              </w:rPr>
            </w:pPr>
            <w:r>
              <w:rPr>
                <w:rFonts w:asciiTheme="majorHAnsi" w:hAnsiTheme="majorHAnsi" w:cs="Calibri"/>
              </w:rPr>
              <w:t>The one-</w:t>
            </w:r>
            <w:r w:rsidR="00646AE7">
              <w:rPr>
                <w:rFonts w:asciiTheme="majorHAnsi" w:hAnsiTheme="majorHAnsi" w:cs="Calibri"/>
              </w:rPr>
              <w:t xml:space="preserve">year Healthy Communities grant will focus on </w:t>
            </w:r>
            <w:r w:rsidR="0030151E">
              <w:rPr>
                <w:rFonts w:asciiTheme="majorHAnsi" w:hAnsiTheme="majorHAnsi" w:cs="Calibri"/>
              </w:rPr>
              <w:t>strengthening and maintainin</w:t>
            </w:r>
            <w:r w:rsidR="00646AE7">
              <w:rPr>
                <w:rFonts w:asciiTheme="majorHAnsi" w:hAnsiTheme="majorHAnsi" w:cs="Calibri"/>
              </w:rPr>
              <w:t>g relationships between local public health and partners. The current cohort of nine</w:t>
            </w:r>
            <w:r w:rsidR="0030151E">
              <w:rPr>
                <w:rFonts w:asciiTheme="majorHAnsi" w:hAnsiTheme="majorHAnsi" w:cs="Calibri"/>
              </w:rPr>
              <w:t xml:space="preserve"> grantees are currently involved in evaluation </w:t>
            </w:r>
            <w:r w:rsidR="00BF38A7">
              <w:rPr>
                <w:rFonts w:asciiTheme="majorHAnsi" w:hAnsiTheme="majorHAnsi" w:cs="Calibri"/>
              </w:rPr>
              <w:t xml:space="preserve">to describe </w:t>
            </w:r>
            <w:r w:rsidR="00010D2E">
              <w:rPr>
                <w:rFonts w:asciiTheme="majorHAnsi" w:hAnsiTheme="majorHAnsi" w:cs="Calibri"/>
              </w:rPr>
              <w:t>achievements</w:t>
            </w:r>
            <w:r w:rsidR="00BF38A7">
              <w:rPr>
                <w:rFonts w:asciiTheme="majorHAnsi" w:hAnsiTheme="majorHAnsi" w:cs="Calibri"/>
              </w:rPr>
              <w:t xml:space="preserve">. </w:t>
            </w:r>
            <w:r w:rsidR="0030151E">
              <w:rPr>
                <w:rFonts w:asciiTheme="majorHAnsi" w:hAnsiTheme="majorHAnsi" w:cs="Calibri"/>
              </w:rPr>
              <w:t xml:space="preserve"> </w:t>
            </w:r>
            <w:r w:rsidR="00646AE7">
              <w:rPr>
                <w:rFonts w:asciiTheme="majorHAnsi" w:hAnsiTheme="majorHAnsi" w:cs="Calibri"/>
              </w:rPr>
              <w:t>The e</w:t>
            </w:r>
            <w:r w:rsidR="0030151E">
              <w:rPr>
                <w:rFonts w:asciiTheme="majorHAnsi" w:hAnsiTheme="majorHAnsi" w:cs="Calibri"/>
              </w:rPr>
              <w:t>valuation will be completed by June</w:t>
            </w:r>
            <w:r w:rsidR="00646AE7">
              <w:rPr>
                <w:rFonts w:asciiTheme="majorHAnsi" w:hAnsiTheme="majorHAnsi" w:cs="Calibri"/>
              </w:rPr>
              <w:t xml:space="preserve"> 2016</w:t>
            </w:r>
            <w:r w:rsidR="0030151E">
              <w:rPr>
                <w:rFonts w:asciiTheme="majorHAnsi" w:hAnsiTheme="majorHAnsi" w:cs="Calibri"/>
              </w:rPr>
              <w:t>. Next year, results from the evaluation will be shared.</w:t>
            </w:r>
            <w:r w:rsidR="00646AE7">
              <w:rPr>
                <w:rFonts w:asciiTheme="majorHAnsi" w:hAnsiTheme="majorHAnsi" w:cs="Calibri"/>
              </w:rPr>
              <w:t xml:space="preserve"> The </w:t>
            </w:r>
            <w:r w:rsidR="0030151E">
              <w:rPr>
                <w:rFonts w:asciiTheme="majorHAnsi" w:hAnsiTheme="majorHAnsi" w:cs="Calibri"/>
              </w:rPr>
              <w:t xml:space="preserve">Healthy Communities grant has </w:t>
            </w:r>
            <w:r w:rsidR="00BF38A7">
              <w:rPr>
                <w:rFonts w:asciiTheme="majorHAnsi" w:hAnsiTheme="majorHAnsi" w:cs="Calibri"/>
              </w:rPr>
              <w:t xml:space="preserve">the following </w:t>
            </w:r>
            <w:r w:rsidR="0030151E">
              <w:rPr>
                <w:rFonts w:asciiTheme="majorHAnsi" w:hAnsiTheme="majorHAnsi" w:cs="Calibri"/>
              </w:rPr>
              <w:t>specific focus areas</w:t>
            </w:r>
            <w:r w:rsidR="00646AE7">
              <w:rPr>
                <w:rFonts w:asciiTheme="majorHAnsi" w:hAnsiTheme="majorHAnsi" w:cs="Calibri"/>
              </w:rPr>
              <w:t>:</w:t>
            </w:r>
            <w:r w:rsidR="0030151E">
              <w:rPr>
                <w:rFonts w:asciiTheme="majorHAnsi" w:hAnsiTheme="majorHAnsi" w:cs="Calibri"/>
              </w:rPr>
              <w:t xml:space="preserve"> </w:t>
            </w:r>
          </w:p>
          <w:p w14:paraId="24908533" w14:textId="78E6DD24" w:rsidR="00BF38A7" w:rsidRDefault="0030151E" w:rsidP="00B21F36">
            <w:pPr>
              <w:pStyle w:val="NormalWeb"/>
              <w:numPr>
                <w:ilvl w:val="0"/>
                <w:numId w:val="38"/>
              </w:numPr>
              <w:rPr>
                <w:rFonts w:asciiTheme="majorHAnsi" w:hAnsiTheme="majorHAnsi" w:cs="Calibri"/>
              </w:rPr>
            </w:pPr>
            <w:r>
              <w:rPr>
                <w:rFonts w:asciiTheme="majorHAnsi" w:hAnsiTheme="majorHAnsi" w:cs="Calibri"/>
              </w:rPr>
              <w:t>n</w:t>
            </w:r>
            <w:r w:rsidR="00704D0A">
              <w:rPr>
                <w:rFonts w:asciiTheme="majorHAnsi" w:hAnsiTheme="majorHAnsi" w:cs="Calibri"/>
              </w:rPr>
              <w:t>utrition standards in hospitals</w:t>
            </w:r>
            <w:r w:rsidR="00BF38A7">
              <w:rPr>
                <w:rFonts w:asciiTheme="majorHAnsi" w:hAnsiTheme="majorHAnsi" w:cs="Calibri"/>
              </w:rPr>
              <w:t>,</w:t>
            </w:r>
            <w:r w:rsidR="00704D0A">
              <w:rPr>
                <w:rFonts w:asciiTheme="majorHAnsi" w:hAnsiTheme="majorHAnsi" w:cs="Calibri"/>
              </w:rPr>
              <w:t xml:space="preserve"> </w:t>
            </w:r>
          </w:p>
          <w:p w14:paraId="5752C852" w14:textId="6AD24D1D" w:rsidR="00BF38A7" w:rsidRDefault="00704D0A" w:rsidP="00B21F36">
            <w:pPr>
              <w:pStyle w:val="NormalWeb"/>
              <w:numPr>
                <w:ilvl w:val="0"/>
                <w:numId w:val="38"/>
              </w:numPr>
              <w:rPr>
                <w:rFonts w:asciiTheme="majorHAnsi" w:hAnsiTheme="majorHAnsi" w:cs="Calibri"/>
              </w:rPr>
            </w:pPr>
            <w:r>
              <w:rPr>
                <w:rFonts w:asciiTheme="majorHAnsi" w:hAnsiTheme="majorHAnsi" w:cs="Calibri"/>
              </w:rPr>
              <w:t>healthy worksites policies</w:t>
            </w:r>
            <w:r w:rsidR="00BF38A7">
              <w:rPr>
                <w:rFonts w:asciiTheme="majorHAnsi" w:hAnsiTheme="majorHAnsi" w:cs="Calibri"/>
              </w:rPr>
              <w:t>,</w:t>
            </w:r>
          </w:p>
          <w:p w14:paraId="1DDBE6FB" w14:textId="20E5447A" w:rsidR="00BF38A7" w:rsidRDefault="00646AE7" w:rsidP="00B21F36">
            <w:pPr>
              <w:pStyle w:val="NormalWeb"/>
              <w:numPr>
                <w:ilvl w:val="0"/>
                <w:numId w:val="38"/>
              </w:numPr>
              <w:rPr>
                <w:rFonts w:asciiTheme="majorHAnsi" w:hAnsiTheme="majorHAnsi" w:cs="Calibri"/>
              </w:rPr>
            </w:pPr>
            <w:r>
              <w:rPr>
                <w:rFonts w:asciiTheme="majorHAnsi" w:hAnsiTheme="majorHAnsi" w:cs="Calibri"/>
              </w:rPr>
              <w:t>policy work in community and school settings to increase healt</w:t>
            </w:r>
            <w:r w:rsidR="00704D0A">
              <w:rPr>
                <w:rFonts w:asciiTheme="majorHAnsi" w:hAnsiTheme="majorHAnsi" w:cs="Calibri"/>
              </w:rPr>
              <w:t>hy eating and physical activity</w:t>
            </w:r>
            <w:r w:rsidR="00BF38A7">
              <w:rPr>
                <w:rFonts w:asciiTheme="majorHAnsi" w:hAnsiTheme="majorHAnsi" w:cs="Calibri"/>
              </w:rPr>
              <w:t>,</w:t>
            </w:r>
            <w:r>
              <w:rPr>
                <w:rFonts w:asciiTheme="majorHAnsi" w:hAnsiTheme="majorHAnsi" w:cs="Calibri"/>
              </w:rPr>
              <w:t xml:space="preserve"> </w:t>
            </w:r>
          </w:p>
          <w:p w14:paraId="1838E1F5" w14:textId="6593CC5C" w:rsidR="00BF38A7" w:rsidRDefault="0030151E" w:rsidP="00B21F36">
            <w:pPr>
              <w:pStyle w:val="NormalWeb"/>
              <w:numPr>
                <w:ilvl w:val="0"/>
                <w:numId w:val="38"/>
              </w:numPr>
              <w:rPr>
                <w:rFonts w:asciiTheme="majorHAnsi" w:hAnsiTheme="majorHAnsi" w:cs="Calibri"/>
              </w:rPr>
            </w:pPr>
            <w:r>
              <w:rPr>
                <w:rFonts w:asciiTheme="majorHAnsi" w:hAnsiTheme="majorHAnsi" w:cs="Calibri"/>
              </w:rPr>
              <w:t>sustainable referral and pay</w:t>
            </w:r>
            <w:r w:rsidR="00646AE7">
              <w:rPr>
                <w:rFonts w:asciiTheme="majorHAnsi" w:hAnsiTheme="majorHAnsi" w:cs="Calibri"/>
              </w:rPr>
              <w:t>ment systems for self-management</w:t>
            </w:r>
            <w:r>
              <w:rPr>
                <w:rFonts w:asciiTheme="majorHAnsi" w:hAnsiTheme="majorHAnsi" w:cs="Calibri"/>
              </w:rPr>
              <w:t xml:space="preserve"> programs</w:t>
            </w:r>
            <w:r w:rsidR="00BF38A7">
              <w:rPr>
                <w:rFonts w:asciiTheme="majorHAnsi" w:hAnsiTheme="majorHAnsi" w:cs="Calibri"/>
              </w:rPr>
              <w:t>, and</w:t>
            </w:r>
          </w:p>
          <w:p w14:paraId="59414560" w14:textId="7EF2CD17" w:rsidR="0030151E" w:rsidRDefault="0030151E" w:rsidP="00B21F36">
            <w:pPr>
              <w:pStyle w:val="NormalWeb"/>
              <w:numPr>
                <w:ilvl w:val="0"/>
                <w:numId w:val="38"/>
              </w:numPr>
              <w:rPr>
                <w:rFonts w:asciiTheme="majorHAnsi" w:hAnsiTheme="majorHAnsi" w:cs="Calibri"/>
              </w:rPr>
            </w:pPr>
            <w:r>
              <w:rPr>
                <w:rFonts w:asciiTheme="majorHAnsi" w:hAnsiTheme="majorHAnsi" w:cs="Calibri"/>
              </w:rPr>
              <w:t xml:space="preserve">colorectal cancer screening. </w:t>
            </w:r>
          </w:p>
          <w:p w14:paraId="380F57C1" w14:textId="0466EA75" w:rsidR="0030151E" w:rsidRDefault="00646AE7" w:rsidP="0030151E">
            <w:pPr>
              <w:pStyle w:val="NormalWeb"/>
              <w:rPr>
                <w:rFonts w:asciiTheme="majorHAnsi" w:hAnsiTheme="majorHAnsi" w:cs="Calibri"/>
              </w:rPr>
            </w:pPr>
            <w:r>
              <w:rPr>
                <w:rFonts w:asciiTheme="majorHAnsi" w:hAnsiTheme="majorHAnsi" w:cs="Calibri"/>
              </w:rPr>
              <w:t>HPCDP</w:t>
            </w:r>
            <w:r w:rsidR="0030151E">
              <w:rPr>
                <w:rFonts w:asciiTheme="majorHAnsi" w:hAnsiTheme="majorHAnsi" w:cs="Calibri"/>
              </w:rPr>
              <w:t xml:space="preserve"> will provide a </w:t>
            </w:r>
            <w:r w:rsidR="00010D2E">
              <w:rPr>
                <w:rFonts w:asciiTheme="majorHAnsi" w:hAnsiTheme="majorHAnsi" w:cs="Calibri"/>
              </w:rPr>
              <w:t xml:space="preserve">funding </w:t>
            </w:r>
            <w:r w:rsidR="0030151E">
              <w:rPr>
                <w:rFonts w:asciiTheme="majorHAnsi" w:hAnsiTheme="majorHAnsi" w:cs="Calibri"/>
              </w:rPr>
              <w:t xml:space="preserve">range and ask applicants to </w:t>
            </w:r>
            <w:r>
              <w:rPr>
                <w:rFonts w:asciiTheme="majorHAnsi" w:hAnsiTheme="majorHAnsi" w:cs="Calibri"/>
              </w:rPr>
              <w:t>s</w:t>
            </w:r>
            <w:r w:rsidR="00BF38A7">
              <w:rPr>
                <w:rFonts w:asciiTheme="majorHAnsi" w:hAnsiTheme="majorHAnsi" w:cs="Calibri"/>
              </w:rPr>
              <w:t>ubmit a proposed budget</w:t>
            </w:r>
            <w:r w:rsidR="0030151E">
              <w:rPr>
                <w:rFonts w:asciiTheme="majorHAnsi" w:hAnsiTheme="majorHAnsi" w:cs="Calibri"/>
              </w:rPr>
              <w:t xml:space="preserve">. </w:t>
            </w:r>
            <w:r w:rsidR="00704D0A">
              <w:rPr>
                <w:rFonts w:asciiTheme="majorHAnsi" w:hAnsiTheme="majorHAnsi" w:cs="Calibri"/>
              </w:rPr>
              <w:t>T</w:t>
            </w:r>
            <w:r w:rsidR="0030151E">
              <w:rPr>
                <w:rFonts w:asciiTheme="majorHAnsi" w:hAnsiTheme="majorHAnsi" w:cs="Calibri"/>
              </w:rPr>
              <w:t xml:space="preserve">he number </w:t>
            </w:r>
            <w:r>
              <w:rPr>
                <w:rFonts w:asciiTheme="majorHAnsi" w:hAnsiTheme="majorHAnsi" w:cs="Calibri"/>
              </w:rPr>
              <w:t xml:space="preserve">of grants awarded </w:t>
            </w:r>
            <w:r w:rsidR="0030151E">
              <w:rPr>
                <w:rFonts w:asciiTheme="majorHAnsi" w:hAnsiTheme="majorHAnsi" w:cs="Calibri"/>
              </w:rPr>
              <w:t>will dep</w:t>
            </w:r>
            <w:r>
              <w:rPr>
                <w:rFonts w:asciiTheme="majorHAnsi" w:hAnsiTheme="majorHAnsi" w:cs="Calibri"/>
              </w:rPr>
              <w:t xml:space="preserve">end on </w:t>
            </w:r>
            <w:r w:rsidR="00BF38A7">
              <w:rPr>
                <w:rFonts w:asciiTheme="majorHAnsi" w:hAnsiTheme="majorHAnsi" w:cs="Calibri"/>
              </w:rPr>
              <w:t xml:space="preserve">the funding level that applicants </w:t>
            </w:r>
            <w:r>
              <w:rPr>
                <w:rFonts w:asciiTheme="majorHAnsi" w:hAnsiTheme="majorHAnsi" w:cs="Calibri"/>
              </w:rPr>
              <w:t>request</w:t>
            </w:r>
            <w:r w:rsidR="00BF38A7">
              <w:rPr>
                <w:rFonts w:asciiTheme="majorHAnsi" w:hAnsiTheme="majorHAnsi" w:cs="Calibri"/>
              </w:rPr>
              <w:t>.</w:t>
            </w:r>
            <w:r>
              <w:rPr>
                <w:rFonts w:asciiTheme="majorHAnsi" w:hAnsiTheme="majorHAnsi" w:cs="Calibri"/>
              </w:rPr>
              <w:t xml:space="preserve"> </w:t>
            </w:r>
          </w:p>
          <w:p w14:paraId="3FA665D3" w14:textId="77777777" w:rsidR="00704D0A" w:rsidRDefault="00704D0A" w:rsidP="0030151E">
            <w:pPr>
              <w:pStyle w:val="NormalWeb"/>
              <w:rPr>
                <w:rFonts w:asciiTheme="majorHAnsi" w:hAnsiTheme="majorHAnsi" w:cs="Calibri"/>
              </w:rPr>
            </w:pPr>
            <w:r>
              <w:rPr>
                <w:rFonts w:asciiTheme="majorHAnsi" w:hAnsiTheme="majorHAnsi" w:cs="Calibri"/>
              </w:rPr>
              <w:t xml:space="preserve">Discussion: </w:t>
            </w:r>
          </w:p>
          <w:p w14:paraId="6D9D19E7" w14:textId="457C9058" w:rsidR="0030151E" w:rsidRDefault="00704D0A" w:rsidP="00704D0A">
            <w:pPr>
              <w:pStyle w:val="NormalWeb"/>
              <w:numPr>
                <w:ilvl w:val="0"/>
                <w:numId w:val="37"/>
              </w:numPr>
              <w:rPr>
                <w:rFonts w:asciiTheme="majorHAnsi" w:hAnsiTheme="majorHAnsi" w:cs="Calibri"/>
              </w:rPr>
            </w:pPr>
            <w:r>
              <w:rPr>
                <w:rFonts w:asciiTheme="majorHAnsi" w:hAnsiTheme="majorHAnsi" w:cs="Calibri"/>
              </w:rPr>
              <w:t>M</w:t>
            </w:r>
            <w:r w:rsidR="0030151E">
              <w:rPr>
                <w:rFonts w:asciiTheme="majorHAnsi" w:hAnsiTheme="majorHAnsi" w:cs="Calibri"/>
              </w:rPr>
              <w:t xml:space="preserve">ake </w:t>
            </w:r>
            <w:r>
              <w:rPr>
                <w:rFonts w:asciiTheme="majorHAnsi" w:hAnsiTheme="majorHAnsi" w:cs="Calibri"/>
              </w:rPr>
              <w:t>the evaluation criteria (including whether there will be any weighting based on experience doing Healthy Communities) and grant funding range clear in the call for applications. Based on that information, LHDs</w:t>
            </w:r>
            <w:r w:rsidR="004D527F">
              <w:rPr>
                <w:rFonts w:asciiTheme="majorHAnsi" w:hAnsiTheme="majorHAnsi" w:cs="Calibri"/>
              </w:rPr>
              <w:t xml:space="preserve"> can determine if it’s appropriate to apply. </w:t>
            </w:r>
          </w:p>
          <w:p w14:paraId="3EF7B358" w14:textId="77777777" w:rsidR="00704D0A" w:rsidRDefault="00704D0A" w:rsidP="00D027F8">
            <w:pPr>
              <w:pStyle w:val="NormalWeb"/>
              <w:numPr>
                <w:ilvl w:val="0"/>
                <w:numId w:val="37"/>
              </w:numPr>
              <w:rPr>
                <w:rFonts w:asciiTheme="majorHAnsi" w:hAnsiTheme="majorHAnsi" w:cs="Calibri"/>
              </w:rPr>
            </w:pPr>
            <w:r w:rsidRPr="00704D0A">
              <w:rPr>
                <w:rFonts w:asciiTheme="majorHAnsi" w:hAnsiTheme="majorHAnsi" w:cs="Calibri"/>
              </w:rPr>
              <w:t xml:space="preserve">If </w:t>
            </w:r>
            <w:r w:rsidR="004D527F" w:rsidRPr="00704D0A">
              <w:rPr>
                <w:rFonts w:asciiTheme="majorHAnsi" w:hAnsiTheme="majorHAnsi" w:cs="Calibri"/>
              </w:rPr>
              <w:t>requirements and expectations</w:t>
            </w:r>
            <w:r w:rsidRPr="00704D0A">
              <w:rPr>
                <w:rFonts w:asciiTheme="majorHAnsi" w:hAnsiTheme="majorHAnsi" w:cs="Calibri"/>
              </w:rPr>
              <w:t xml:space="preserve"> are explicitly stated</w:t>
            </w:r>
            <w:r w:rsidR="004D527F" w:rsidRPr="00704D0A">
              <w:rPr>
                <w:rFonts w:asciiTheme="majorHAnsi" w:hAnsiTheme="majorHAnsi" w:cs="Calibri"/>
              </w:rPr>
              <w:t xml:space="preserve"> in the RFA, then it makes sense to open it up for everyone.</w:t>
            </w:r>
          </w:p>
          <w:p w14:paraId="11F2B799" w14:textId="5BF1B26E" w:rsidR="009230DC" w:rsidRDefault="00B21F36" w:rsidP="0040154B">
            <w:pPr>
              <w:pStyle w:val="NormalWeb"/>
              <w:rPr>
                <w:rFonts w:asciiTheme="majorHAnsi" w:hAnsiTheme="majorHAnsi" w:cs="Calibri"/>
              </w:rPr>
            </w:pPr>
            <w:r>
              <w:rPr>
                <w:rFonts w:asciiTheme="majorHAnsi" w:hAnsiTheme="majorHAnsi" w:cs="Calibri"/>
              </w:rPr>
              <w:lastRenderedPageBreak/>
              <w:t>When the RFP is released, an announcement will be sent by OHA to all health department administrators and Tribal health administrators</w:t>
            </w:r>
            <w:r w:rsidR="004D527F">
              <w:rPr>
                <w:rFonts w:asciiTheme="majorHAnsi" w:hAnsiTheme="majorHAnsi" w:cs="Calibri"/>
              </w:rPr>
              <w:t xml:space="preserve">. </w:t>
            </w:r>
            <w:bookmarkStart w:id="0" w:name="_GoBack"/>
            <w:bookmarkEnd w:id="0"/>
          </w:p>
          <w:p w14:paraId="277A2A85" w14:textId="77777777" w:rsidR="0040154B" w:rsidRPr="00C6494F" w:rsidRDefault="0040154B" w:rsidP="0040154B">
            <w:pPr>
              <w:pStyle w:val="NormalWeb"/>
              <w:rPr>
                <w:rFonts w:asciiTheme="majorHAnsi" w:hAnsiTheme="majorHAnsi"/>
              </w:rPr>
            </w:pPr>
          </w:p>
        </w:tc>
        <w:tc>
          <w:tcPr>
            <w:tcW w:w="1548" w:type="dxa"/>
            <w:gridSpan w:val="2"/>
          </w:tcPr>
          <w:p w14:paraId="14BE042A" w14:textId="77777777" w:rsidR="009230DC" w:rsidRPr="00C6494F" w:rsidRDefault="00002B81" w:rsidP="009230DC">
            <w:pPr>
              <w:rPr>
                <w:rFonts w:asciiTheme="majorHAnsi" w:hAnsiTheme="majorHAnsi"/>
                <w:sz w:val="24"/>
                <w:szCs w:val="24"/>
              </w:rPr>
            </w:pPr>
            <w:r w:rsidRPr="00C6494F">
              <w:rPr>
                <w:rFonts w:asciiTheme="majorHAnsi" w:hAnsiTheme="majorHAnsi"/>
                <w:sz w:val="24"/>
                <w:szCs w:val="24"/>
              </w:rPr>
              <w:lastRenderedPageBreak/>
              <w:t>Sabrina Freewynn</w:t>
            </w:r>
          </w:p>
        </w:tc>
      </w:tr>
      <w:tr w:rsidR="00C6494F" w:rsidRPr="00C6494F" w14:paraId="6C99FB8A" w14:textId="77777777" w:rsidTr="00D76C5E">
        <w:trPr>
          <w:trHeight w:val="278"/>
        </w:trPr>
        <w:tc>
          <w:tcPr>
            <w:tcW w:w="2448" w:type="dxa"/>
            <w:gridSpan w:val="2"/>
          </w:tcPr>
          <w:p w14:paraId="5260F707" w14:textId="77777777" w:rsidR="00663EBC" w:rsidRPr="00C6494F" w:rsidRDefault="00264C03" w:rsidP="00724511">
            <w:pPr>
              <w:rPr>
                <w:rFonts w:asciiTheme="majorHAnsi" w:hAnsiTheme="majorHAnsi"/>
                <w:sz w:val="24"/>
                <w:szCs w:val="24"/>
              </w:rPr>
            </w:pPr>
            <w:r w:rsidRPr="00C6494F">
              <w:rPr>
                <w:rFonts w:asciiTheme="majorHAnsi" w:hAnsiTheme="majorHAnsi"/>
                <w:sz w:val="24"/>
                <w:szCs w:val="24"/>
              </w:rPr>
              <w:lastRenderedPageBreak/>
              <w:t>Updates &amp; Announcements (10 min)</w:t>
            </w:r>
            <w:r w:rsidR="00724511" w:rsidRPr="00C6494F">
              <w:rPr>
                <w:rFonts w:asciiTheme="majorHAnsi" w:hAnsiTheme="majorHAnsi"/>
                <w:sz w:val="24"/>
                <w:szCs w:val="24"/>
              </w:rPr>
              <w:t xml:space="preserve"> </w:t>
            </w:r>
            <w:r w:rsidR="00BB3AED" w:rsidRPr="00C6494F">
              <w:rPr>
                <w:rFonts w:asciiTheme="majorHAnsi" w:hAnsiTheme="majorHAnsi"/>
                <w:sz w:val="24"/>
                <w:szCs w:val="24"/>
              </w:rPr>
              <w:t>2:45 – 2:5</w:t>
            </w:r>
            <w:r w:rsidR="000B53DC" w:rsidRPr="00C6494F">
              <w:rPr>
                <w:rFonts w:asciiTheme="majorHAnsi" w:hAnsiTheme="majorHAnsi"/>
                <w:sz w:val="24"/>
                <w:szCs w:val="24"/>
              </w:rPr>
              <w:t>5</w:t>
            </w:r>
          </w:p>
        </w:tc>
        <w:tc>
          <w:tcPr>
            <w:tcW w:w="3870" w:type="dxa"/>
          </w:tcPr>
          <w:p w14:paraId="6CF19E28" w14:textId="77777777" w:rsidR="00663EBC" w:rsidRPr="00C6494F" w:rsidRDefault="00663EBC" w:rsidP="0001214E">
            <w:pPr>
              <w:rPr>
                <w:rFonts w:asciiTheme="majorHAnsi" w:hAnsiTheme="majorHAnsi"/>
                <w:sz w:val="24"/>
                <w:szCs w:val="24"/>
              </w:rPr>
            </w:pPr>
          </w:p>
        </w:tc>
        <w:tc>
          <w:tcPr>
            <w:tcW w:w="6750" w:type="dxa"/>
          </w:tcPr>
          <w:p w14:paraId="0C4D63D7" w14:textId="77777777" w:rsidR="00237E1A" w:rsidRPr="00704D0A" w:rsidRDefault="00237E1A" w:rsidP="00237E1A">
            <w:pPr>
              <w:rPr>
                <w:rFonts w:asciiTheme="majorHAnsi" w:eastAsiaTheme="minorHAnsi" w:hAnsiTheme="majorHAnsi" w:cs="Calibri"/>
                <w:sz w:val="24"/>
                <w:szCs w:val="24"/>
              </w:rPr>
            </w:pPr>
            <w:r w:rsidRPr="00704D0A">
              <w:rPr>
                <w:rFonts w:asciiTheme="majorHAnsi" w:eastAsiaTheme="minorHAnsi" w:hAnsiTheme="majorHAnsi" w:cs="Calibri"/>
                <w:sz w:val="24"/>
                <w:szCs w:val="24"/>
              </w:rPr>
              <w:t xml:space="preserve">Please see the announcement listed at the bottom of the agenda. </w:t>
            </w:r>
          </w:p>
          <w:p w14:paraId="0FFBD399" w14:textId="77777777" w:rsidR="00237E1A" w:rsidRDefault="00237E1A" w:rsidP="00237E1A">
            <w:pPr>
              <w:rPr>
                <w:rFonts w:ascii="Times New Roman" w:hAnsi="Times New Roman"/>
                <w:sz w:val="24"/>
                <w:szCs w:val="24"/>
              </w:rPr>
            </w:pPr>
          </w:p>
          <w:p w14:paraId="4AF159AA" w14:textId="77777777" w:rsidR="004D527F" w:rsidRPr="00000513" w:rsidRDefault="004D527F" w:rsidP="00237E1A">
            <w:pPr>
              <w:rPr>
                <w:rFonts w:ascii="Times New Roman" w:hAnsi="Times New Roman"/>
                <w:sz w:val="24"/>
                <w:szCs w:val="24"/>
              </w:rPr>
            </w:pPr>
          </w:p>
          <w:p w14:paraId="2809BABB" w14:textId="77777777" w:rsidR="00663EBC" w:rsidRPr="00C6494F" w:rsidRDefault="00663EBC" w:rsidP="0001214E">
            <w:pPr>
              <w:rPr>
                <w:rFonts w:asciiTheme="majorHAnsi" w:hAnsiTheme="majorHAnsi"/>
                <w:sz w:val="24"/>
                <w:szCs w:val="24"/>
              </w:rPr>
            </w:pPr>
          </w:p>
        </w:tc>
        <w:tc>
          <w:tcPr>
            <w:tcW w:w="1548" w:type="dxa"/>
            <w:gridSpan w:val="2"/>
          </w:tcPr>
          <w:p w14:paraId="184D67F6" w14:textId="77777777" w:rsidR="00663EBC" w:rsidRPr="00C6494F" w:rsidRDefault="000B53DC" w:rsidP="0001214E">
            <w:pPr>
              <w:rPr>
                <w:rFonts w:asciiTheme="majorHAnsi" w:hAnsiTheme="majorHAnsi"/>
                <w:sz w:val="24"/>
                <w:szCs w:val="24"/>
              </w:rPr>
            </w:pPr>
            <w:r w:rsidRPr="00C6494F">
              <w:rPr>
                <w:rFonts w:asciiTheme="majorHAnsi" w:hAnsiTheme="majorHAnsi"/>
                <w:sz w:val="24"/>
                <w:szCs w:val="24"/>
              </w:rPr>
              <w:t>all</w:t>
            </w:r>
          </w:p>
        </w:tc>
      </w:tr>
      <w:tr w:rsidR="004D345D" w:rsidRPr="00C6494F" w14:paraId="66AC50C0" w14:textId="77777777" w:rsidTr="00D76C5E">
        <w:trPr>
          <w:trHeight w:val="278"/>
        </w:trPr>
        <w:tc>
          <w:tcPr>
            <w:tcW w:w="2448" w:type="dxa"/>
            <w:gridSpan w:val="2"/>
          </w:tcPr>
          <w:p w14:paraId="6A53DFA8" w14:textId="77777777" w:rsidR="00264C03" w:rsidRPr="00C6494F" w:rsidRDefault="00264C03" w:rsidP="0001214E">
            <w:pPr>
              <w:rPr>
                <w:rFonts w:asciiTheme="majorHAnsi" w:hAnsiTheme="majorHAnsi"/>
                <w:sz w:val="24"/>
                <w:szCs w:val="24"/>
              </w:rPr>
            </w:pPr>
            <w:r w:rsidRPr="00C6494F">
              <w:rPr>
                <w:rFonts w:asciiTheme="majorHAnsi" w:hAnsiTheme="majorHAnsi"/>
                <w:sz w:val="24"/>
                <w:szCs w:val="24"/>
              </w:rPr>
              <w:t>Adjourn</w:t>
            </w:r>
          </w:p>
        </w:tc>
        <w:tc>
          <w:tcPr>
            <w:tcW w:w="3870" w:type="dxa"/>
          </w:tcPr>
          <w:p w14:paraId="2EB81A0E" w14:textId="77777777" w:rsidR="00264C03" w:rsidRPr="00C6494F" w:rsidRDefault="00264C03" w:rsidP="0001214E">
            <w:pPr>
              <w:rPr>
                <w:rFonts w:asciiTheme="majorHAnsi" w:hAnsiTheme="majorHAnsi"/>
                <w:sz w:val="24"/>
                <w:szCs w:val="24"/>
              </w:rPr>
            </w:pPr>
          </w:p>
        </w:tc>
        <w:tc>
          <w:tcPr>
            <w:tcW w:w="6750" w:type="dxa"/>
          </w:tcPr>
          <w:p w14:paraId="67CC65BF" w14:textId="77777777" w:rsidR="00264C03" w:rsidRPr="00C6494F" w:rsidRDefault="00264C03" w:rsidP="0001214E">
            <w:pPr>
              <w:rPr>
                <w:rFonts w:asciiTheme="majorHAnsi" w:hAnsiTheme="majorHAnsi"/>
                <w:sz w:val="24"/>
                <w:szCs w:val="24"/>
              </w:rPr>
            </w:pPr>
          </w:p>
        </w:tc>
        <w:tc>
          <w:tcPr>
            <w:tcW w:w="1548" w:type="dxa"/>
            <w:gridSpan w:val="2"/>
          </w:tcPr>
          <w:p w14:paraId="27684859" w14:textId="77777777" w:rsidR="00264C03" w:rsidRPr="00C6494F" w:rsidRDefault="00264C03" w:rsidP="0001214E">
            <w:pPr>
              <w:rPr>
                <w:rFonts w:asciiTheme="majorHAnsi" w:hAnsiTheme="majorHAnsi"/>
                <w:sz w:val="24"/>
                <w:szCs w:val="24"/>
              </w:rPr>
            </w:pPr>
          </w:p>
        </w:tc>
      </w:tr>
    </w:tbl>
    <w:p w14:paraId="7BA2CE75" w14:textId="77777777" w:rsidR="009B1451" w:rsidRPr="00C6494F" w:rsidRDefault="009B1451" w:rsidP="00E36A8C">
      <w:pPr>
        <w:rPr>
          <w:rFonts w:asciiTheme="majorHAnsi" w:hAnsiTheme="majorHAnsi"/>
          <w:sz w:val="24"/>
          <w:szCs w:val="24"/>
          <w:u w:val="single"/>
        </w:rPr>
      </w:pPr>
    </w:p>
    <w:p w14:paraId="2FD7503F" w14:textId="77777777" w:rsidR="00663EBC" w:rsidRPr="00C6494F" w:rsidRDefault="00BD7097" w:rsidP="00E36A8C">
      <w:pPr>
        <w:rPr>
          <w:rFonts w:asciiTheme="majorHAnsi" w:hAnsiTheme="majorHAnsi"/>
          <w:sz w:val="24"/>
          <w:szCs w:val="24"/>
          <w:u w:val="single"/>
        </w:rPr>
      </w:pPr>
      <w:r w:rsidRPr="00C6494F">
        <w:rPr>
          <w:rFonts w:asciiTheme="majorHAnsi" w:hAnsiTheme="majorHAnsi"/>
          <w:sz w:val="24"/>
          <w:szCs w:val="24"/>
          <w:u w:val="single"/>
        </w:rPr>
        <w:t>Future</w:t>
      </w:r>
      <w:r w:rsidR="00D0653B" w:rsidRPr="00C6494F">
        <w:rPr>
          <w:rFonts w:asciiTheme="majorHAnsi" w:hAnsiTheme="majorHAnsi"/>
          <w:sz w:val="24"/>
          <w:szCs w:val="24"/>
          <w:u w:val="single"/>
        </w:rPr>
        <w:t xml:space="preserve"> Topics: </w:t>
      </w:r>
    </w:p>
    <w:p w14:paraId="722E5088" w14:textId="77777777" w:rsidR="00225301" w:rsidRPr="00C6494F" w:rsidRDefault="00225301" w:rsidP="00225301">
      <w:pPr>
        <w:rPr>
          <w:rFonts w:asciiTheme="majorHAnsi" w:hAnsiTheme="majorHAnsi"/>
          <w:sz w:val="24"/>
          <w:szCs w:val="24"/>
          <w:u w:val="single"/>
        </w:rPr>
      </w:pPr>
    </w:p>
    <w:p w14:paraId="75D474D4" w14:textId="77777777" w:rsidR="00225301" w:rsidRPr="00C6494F" w:rsidRDefault="00225301" w:rsidP="00225301">
      <w:pPr>
        <w:rPr>
          <w:rFonts w:asciiTheme="majorHAnsi" w:hAnsiTheme="majorHAnsi"/>
          <w:sz w:val="24"/>
          <w:szCs w:val="24"/>
          <w:u w:val="single"/>
        </w:rPr>
      </w:pPr>
    </w:p>
    <w:p w14:paraId="7292D9EE" w14:textId="77777777" w:rsidR="007D301E" w:rsidRPr="00237E1A" w:rsidRDefault="00E36A8C" w:rsidP="00690827">
      <w:pPr>
        <w:rPr>
          <w:rFonts w:ascii="Times New Roman" w:hAnsi="Times New Roman"/>
          <w:sz w:val="24"/>
          <w:szCs w:val="24"/>
        </w:rPr>
      </w:pPr>
      <w:r w:rsidRPr="00237E1A">
        <w:rPr>
          <w:rFonts w:ascii="Times New Roman" w:hAnsi="Times New Roman"/>
          <w:sz w:val="24"/>
          <w:szCs w:val="24"/>
          <w:u w:val="single"/>
        </w:rPr>
        <w:t>Announcements:</w:t>
      </w:r>
    </w:p>
    <w:p w14:paraId="06BF757A" w14:textId="77777777" w:rsidR="00A54470" w:rsidRPr="00237E1A" w:rsidRDefault="007D301E" w:rsidP="00711296">
      <w:pPr>
        <w:pStyle w:val="ListParagraph"/>
        <w:numPr>
          <w:ilvl w:val="0"/>
          <w:numId w:val="35"/>
        </w:numPr>
        <w:rPr>
          <w:rFonts w:ascii="Times New Roman" w:hAnsi="Times New Roman"/>
          <w:sz w:val="24"/>
          <w:szCs w:val="24"/>
        </w:rPr>
      </w:pPr>
      <w:r w:rsidRPr="00237E1A">
        <w:rPr>
          <w:rFonts w:ascii="Times New Roman" w:hAnsi="Times New Roman"/>
          <w:sz w:val="24"/>
          <w:szCs w:val="24"/>
        </w:rPr>
        <w:t>The Oregon Public Health Division’s Health Promotion Chronic Disease Prevention Section (HPCDP), Multnomah County Health Department and LGBT Health Link</w:t>
      </w:r>
      <w:r w:rsidR="00FA605B" w:rsidRPr="00237E1A">
        <w:rPr>
          <w:rFonts w:ascii="Times New Roman" w:hAnsi="Times New Roman"/>
          <w:sz w:val="24"/>
          <w:szCs w:val="24"/>
        </w:rPr>
        <w:t xml:space="preserve"> (a national organization that has a CDC contract to support tobacco and cancer coordination with LGBT stakeholders)</w:t>
      </w:r>
      <w:r w:rsidRPr="00237E1A">
        <w:rPr>
          <w:rFonts w:ascii="Times New Roman" w:hAnsi="Times New Roman"/>
          <w:sz w:val="24"/>
          <w:szCs w:val="24"/>
        </w:rPr>
        <w:t xml:space="preserve"> were invited to jointly present at the upcoming LGBTQ Meaningful Care Conference in Portland on March 25</w:t>
      </w:r>
      <w:r w:rsidRPr="00237E1A">
        <w:rPr>
          <w:rFonts w:ascii="Times New Roman" w:hAnsi="Times New Roman"/>
          <w:sz w:val="24"/>
          <w:szCs w:val="24"/>
          <w:vertAlign w:val="superscript"/>
        </w:rPr>
        <w:t>th</w:t>
      </w:r>
      <w:r w:rsidRPr="00237E1A">
        <w:rPr>
          <w:rFonts w:ascii="Times New Roman" w:hAnsi="Times New Roman"/>
          <w:sz w:val="24"/>
          <w:szCs w:val="24"/>
        </w:rPr>
        <w:t xml:space="preserve">. Presentation topics include addressing chronic disease prevention in Oregon’s LGBTQ communities and outlining promising practices for LGBTQ communities throughout the cancer continuum.  Following the conference on March 28-30, LGBT Health Link may be interested in meeting with county partners and other related organizations to: 1) explore what local efforts are taking place around promoting LGBTQ cultural competency in health care and social services; 2) share current practices in LGBTQ cultural competency in health care; 3) and support building diverse networks of LGBTQ culturally competent providers. If you would like more information, have interest in participating and/or have suggestions for potential site visits, please contact Beth Sanders, Health Equity Systems Coordinator: </w:t>
      </w:r>
      <w:hyperlink r:id="rId8" w:history="1">
        <w:r w:rsidRPr="00237E1A">
          <w:rPr>
            <w:rStyle w:val="Hyperlink"/>
            <w:rFonts w:ascii="Times New Roman" w:hAnsi="Times New Roman"/>
            <w:color w:val="auto"/>
            <w:sz w:val="24"/>
            <w:szCs w:val="24"/>
          </w:rPr>
          <w:t>elizabeth.c.sanders@state.or.us</w:t>
        </w:r>
      </w:hyperlink>
      <w:r w:rsidRPr="00237E1A">
        <w:rPr>
          <w:rFonts w:ascii="Times New Roman" w:hAnsi="Times New Roman"/>
          <w:sz w:val="24"/>
          <w:szCs w:val="24"/>
        </w:rPr>
        <w:t xml:space="preserve"> or 971-673-0563. </w:t>
      </w:r>
    </w:p>
    <w:sectPr w:rsidR="00A54470" w:rsidRPr="00237E1A"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5CE74" w14:textId="77777777" w:rsidR="00911CE2" w:rsidRDefault="00911CE2" w:rsidP="003C38D2">
      <w:r>
        <w:separator/>
      </w:r>
    </w:p>
  </w:endnote>
  <w:endnote w:type="continuationSeparator" w:id="0">
    <w:p w14:paraId="7BE507AD" w14:textId="77777777" w:rsidR="00911CE2" w:rsidRDefault="00911CE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37A6A" w14:textId="77777777" w:rsidR="00911CE2" w:rsidRDefault="00911CE2" w:rsidP="003C38D2">
      <w:r>
        <w:separator/>
      </w:r>
    </w:p>
  </w:footnote>
  <w:footnote w:type="continuationSeparator" w:id="0">
    <w:p w14:paraId="0037A375" w14:textId="77777777" w:rsidR="00911CE2" w:rsidRDefault="00911CE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E37C3"/>
    <w:multiLevelType w:val="hybridMultilevel"/>
    <w:tmpl w:val="7ABC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977B2"/>
    <w:multiLevelType w:val="hybridMultilevel"/>
    <w:tmpl w:val="616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94DB1"/>
    <w:multiLevelType w:val="hybridMultilevel"/>
    <w:tmpl w:val="7F6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83919"/>
    <w:multiLevelType w:val="hybridMultilevel"/>
    <w:tmpl w:val="65A601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9"/>
  </w:num>
  <w:num w:numId="4">
    <w:abstractNumId w:val="36"/>
  </w:num>
  <w:num w:numId="5">
    <w:abstractNumId w:val="37"/>
  </w:num>
  <w:num w:numId="6">
    <w:abstractNumId w:val="6"/>
  </w:num>
  <w:num w:numId="7">
    <w:abstractNumId w:val="33"/>
  </w:num>
  <w:num w:numId="8">
    <w:abstractNumId w:val="14"/>
  </w:num>
  <w:num w:numId="9">
    <w:abstractNumId w:val="5"/>
  </w:num>
  <w:num w:numId="10">
    <w:abstractNumId w:val="0"/>
  </w:num>
  <w:num w:numId="11">
    <w:abstractNumId w:val="24"/>
  </w:num>
  <w:num w:numId="12">
    <w:abstractNumId w:val="28"/>
  </w:num>
  <w:num w:numId="13">
    <w:abstractNumId w:val="25"/>
  </w:num>
  <w:num w:numId="14">
    <w:abstractNumId w:val="7"/>
  </w:num>
  <w:num w:numId="15">
    <w:abstractNumId w:val="29"/>
  </w:num>
  <w:num w:numId="16">
    <w:abstractNumId w:val="11"/>
  </w:num>
  <w:num w:numId="17">
    <w:abstractNumId w:val="35"/>
  </w:num>
  <w:num w:numId="18">
    <w:abstractNumId w:val="13"/>
  </w:num>
  <w:num w:numId="19">
    <w:abstractNumId w:val="34"/>
  </w:num>
  <w:num w:numId="20">
    <w:abstractNumId w:val="19"/>
  </w:num>
  <w:num w:numId="21">
    <w:abstractNumId w:val="23"/>
  </w:num>
  <w:num w:numId="22">
    <w:abstractNumId w:val="26"/>
  </w:num>
  <w:num w:numId="23">
    <w:abstractNumId w:val="3"/>
  </w:num>
  <w:num w:numId="24">
    <w:abstractNumId w:val="20"/>
  </w:num>
  <w:num w:numId="25">
    <w:abstractNumId w:val="30"/>
  </w:num>
  <w:num w:numId="26">
    <w:abstractNumId w:val="18"/>
  </w:num>
  <w:num w:numId="27">
    <w:abstractNumId w:val="31"/>
  </w:num>
  <w:num w:numId="28">
    <w:abstractNumId w:val="8"/>
  </w:num>
  <w:num w:numId="29">
    <w:abstractNumId w:val="17"/>
  </w:num>
  <w:num w:numId="30">
    <w:abstractNumId w:val="32"/>
  </w:num>
  <w:num w:numId="31">
    <w:abstractNumId w:val="12"/>
  </w:num>
  <w:num w:numId="32">
    <w:abstractNumId w:val="1"/>
  </w:num>
  <w:num w:numId="33">
    <w:abstractNumId w:val="22"/>
  </w:num>
  <w:num w:numId="34">
    <w:abstractNumId w:val="16"/>
  </w:num>
  <w:num w:numId="35">
    <w:abstractNumId w:val="27"/>
  </w:num>
  <w:num w:numId="36">
    <w:abstractNumId w:val="4"/>
  </w:num>
  <w:num w:numId="37">
    <w:abstractNumId w:val="2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2B81"/>
    <w:rsid w:val="000041AE"/>
    <w:rsid w:val="00004A22"/>
    <w:rsid w:val="00006ED1"/>
    <w:rsid w:val="000103C8"/>
    <w:rsid w:val="00010D2E"/>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2F67"/>
    <w:rsid w:val="000B49F2"/>
    <w:rsid w:val="000B53DC"/>
    <w:rsid w:val="000B7365"/>
    <w:rsid w:val="000C0573"/>
    <w:rsid w:val="000C1D14"/>
    <w:rsid w:val="000C589D"/>
    <w:rsid w:val="000D23E6"/>
    <w:rsid w:val="000D4BDA"/>
    <w:rsid w:val="000D660A"/>
    <w:rsid w:val="000E27D1"/>
    <w:rsid w:val="000E2EEC"/>
    <w:rsid w:val="000E47EF"/>
    <w:rsid w:val="000E69CF"/>
    <w:rsid w:val="000E7A30"/>
    <w:rsid w:val="000F02DE"/>
    <w:rsid w:val="000F1305"/>
    <w:rsid w:val="000F4511"/>
    <w:rsid w:val="000F7335"/>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243C"/>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2F08"/>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37E1A"/>
    <w:rsid w:val="00244DC7"/>
    <w:rsid w:val="00245DF8"/>
    <w:rsid w:val="002461C1"/>
    <w:rsid w:val="002465E3"/>
    <w:rsid w:val="002466CE"/>
    <w:rsid w:val="00247146"/>
    <w:rsid w:val="00247844"/>
    <w:rsid w:val="00247B3E"/>
    <w:rsid w:val="00250E59"/>
    <w:rsid w:val="00253015"/>
    <w:rsid w:val="002621F7"/>
    <w:rsid w:val="00264C03"/>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51E"/>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3AA"/>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19B0"/>
    <w:rsid w:val="003A3DDF"/>
    <w:rsid w:val="003A695A"/>
    <w:rsid w:val="003B2B16"/>
    <w:rsid w:val="003B31B4"/>
    <w:rsid w:val="003C29E9"/>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0154B"/>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47382"/>
    <w:rsid w:val="00447CB3"/>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D345D"/>
    <w:rsid w:val="004D527F"/>
    <w:rsid w:val="004E3069"/>
    <w:rsid w:val="004E51E3"/>
    <w:rsid w:val="004F1C10"/>
    <w:rsid w:val="004F3A9B"/>
    <w:rsid w:val="00500483"/>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519F"/>
    <w:rsid w:val="00576B63"/>
    <w:rsid w:val="00576C4D"/>
    <w:rsid w:val="005776BD"/>
    <w:rsid w:val="00582B10"/>
    <w:rsid w:val="00583DB0"/>
    <w:rsid w:val="0058491F"/>
    <w:rsid w:val="00585424"/>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ED1"/>
    <w:rsid w:val="005E70FE"/>
    <w:rsid w:val="005E7ECC"/>
    <w:rsid w:val="005F0F5C"/>
    <w:rsid w:val="005F7616"/>
    <w:rsid w:val="0060035B"/>
    <w:rsid w:val="00600806"/>
    <w:rsid w:val="00600E33"/>
    <w:rsid w:val="00601576"/>
    <w:rsid w:val="006050B5"/>
    <w:rsid w:val="00605591"/>
    <w:rsid w:val="00605B22"/>
    <w:rsid w:val="00605F4F"/>
    <w:rsid w:val="00606594"/>
    <w:rsid w:val="00610223"/>
    <w:rsid w:val="00610C2D"/>
    <w:rsid w:val="00613CA2"/>
    <w:rsid w:val="0061492C"/>
    <w:rsid w:val="00625759"/>
    <w:rsid w:val="0063184B"/>
    <w:rsid w:val="006345A0"/>
    <w:rsid w:val="00636B69"/>
    <w:rsid w:val="006409C7"/>
    <w:rsid w:val="006414C7"/>
    <w:rsid w:val="00646A4C"/>
    <w:rsid w:val="00646AE7"/>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D0A"/>
    <w:rsid w:val="00704E41"/>
    <w:rsid w:val="00705746"/>
    <w:rsid w:val="00705ACF"/>
    <w:rsid w:val="00707B00"/>
    <w:rsid w:val="00711296"/>
    <w:rsid w:val="00714FC1"/>
    <w:rsid w:val="00717571"/>
    <w:rsid w:val="00721955"/>
    <w:rsid w:val="00724511"/>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C7453"/>
    <w:rsid w:val="007D1113"/>
    <w:rsid w:val="007D301E"/>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0E3D"/>
    <w:rsid w:val="0084241C"/>
    <w:rsid w:val="008459E4"/>
    <w:rsid w:val="0085184E"/>
    <w:rsid w:val="00861FE8"/>
    <w:rsid w:val="00862FB5"/>
    <w:rsid w:val="008653C8"/>
    <w:rsid w:val="00866FF1"/>
    <w:rsid w:val="00867B51"/>
    <w:rsid w:val="00871798"/>
    <w:rsid w:val="008747BF"/>
    <w:rsid w:val="008768DA"/>
    <w:rsid w:val="00876DE1"/>
    <w:rsid w:val="008807C4"/>
    <w:rsid w:val="00883446"/>
    <w:rsid w:val="00884F6E"/>
    <w:rsid w:val="008858D4"/>
    <w:rsid w:val="00893FAC"/>
    <w:rsid w:val="00897458"/>
    <w:rsid w:val="00897A99"/>
    <w:rsid w:val="008A0F67"/>
    <w:rsid w:val="008A1156"/>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455"/>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4470"/>
    <w:rsid w:val="00A5520D"/>
    <w:rsid w:val="00A55CDA"/>
    <w:rsid w:val="00A5693B"/>
    <w:rsid w:val="00A61D28"/>
    <w:rsid w:val="00A62912"/>
    <w:rsid w:val="00A6388E"/>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9F9"/>
    <w:rsid w:val="00AE6BB8"/>
    <w:rsid w:val="00AF0B95"/>
    <w:rsid w:val="00AF7613"/>
    <w:rsid w:val="00B045FD"/>
    <w:rsid w:val="00B05EF7"/>
    <w:rsid w:val="00B060B7"/>
    <w:rsid w:val="00B12572"/>
    <w:rsid w:val="00B13CF0"/>
    <w:rsid w:val="00B210FD"/>
    <w:rsid w:val="00B21F36"/>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3AED"/>
    <w:rsid w:val="00BB4717"/>
    <w:rsid w:val="00BC435C"/>
    <w:rsid w:val="00BD083A"/>
    <w:rsid w:val="00BD0DE3"/>
    <w:rsid w:val="00BD1448"/>
    <w:rsid w:val="00BD5BA4"/>
    <w:rsid w:val="00BD7097"/>
    <w:rsid w:val="00BD7F91"/>
    <w:rsid w:val="00BE1D27"/>
    <w:rsid w:val="00BE3AF6"/>
    <w:rsid w:val="00BE3DFC"/>
    <w:rsid w:val="00BE4DDB"/>
    <w:rsid w:val="00BE67C1"/>
    <w:rsid w:val="00BF18DF"/>
    <w:rsid w:val="00BF36DB"/>
    <w:rsid w:val="00BF38A7"/>
    <w:rsid w:val="00BF6A82"/>
    <w:rsid w:val="00BF6B5E"/>
    <w:rsid w:val="00C01BE7"/>
    <w:rsid w:val="00C02340"/>
    <w:rsid w:val="00C04CB7"/>
    <w:rsid w:val="00C0682B"/>
    <w:rsid w:val="00C11F06"/>
    <w:rsid w:val="00C12EE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494F"/>
    <w:rsid w:val="00C662A4"/>
    <w:rsid w:val="00C671D1"/>
    <w:rsid w:val="00C67AC5"/>
    <w:rsid w:val="00C72A6E"/>
    <w:rsid w:val="00C81DAB"/>
    <w:rsid w:val="00C85920"/>
    <w:rsid w:val="00C862DC"/>
    <w:rsid w:val="00C91559"/>
    <w:rsid w:val="00C946AE"/>
    <w:rsid w:val="00C96F0F"/>
    <w:rsid w:val="00CA2C80"/>
    <w:rsid w:val="00CA412A"/>
    <w:rsid w:val="00CB02F7"/>
    <w:rsid w:val="00CC350A"/>
    <w:rsid w:val="00CD1505"/>
    <w:rsid w:val="00CD348F"/>
    <w:rsid w:val="00CD43AF"/>
    <w:rsid w:val="00CD4B99"/>
    <w:rsid w:val="00CD63F4"/>
    <w:rsid w:val="00CD68F2"/>
    <w:rsid w:val="00CD74F5"/>
    <w:rsid w:val="00CE03D7"/>
    <w:rsid w:val="00CE094D"/>
    <w:rsid w:val="00CE1782"/>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57B7"/>
    <w:rsid w:val="00D17D44"/>
    <w:rsid w:val="00D20442"/>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5E"/>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0578"/>
    <w:rsid w:val="00F34504"/>
    <w:rsid w:val="00F41EE5"/>
    <w:rsid w:val="00F4497D"/>
    <w:rsid w:val="00F502B8"/>
    <w:rsid w:val="00F50625"/>
    <w:rsid w:val="00F522D8"/>
    <w:rsid w:val="00F53500"/>
    <w:rsid w:val="00F540EE"/>
    <w:rsid w:val="00F56719"/>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3FA0"/>
    <w:rsid w:val="00FA605B"/>
    <w:rsid w:val="00FA73F0"/>
    <w:rsid w:val="00FB439A"/>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4D01"/>
    <w:rsid w:val="00FF5C8B"/>
    <w:rsid w:val="00FF60C2"/>
    <w:rsid w:val="00FF6566"/>
    <w:rsid w:val="00FF657F"/>
    <w:rsid w:val="00FF65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8D0CC"/>
  <w15:docId w15:val="{88D982AD-CB79-4507-B3EA-13DB0F9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31869023">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c.sanders@state.or.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A56DE-B0E5-49F3-BAD0-179DDA7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Freewynn Sabrina L</cp:lastModifiedBy>
  <cp:revision>3</cp:revision>
  <cp:lastPrinted>2016-03-08T22:14:00Z</cp:lastPrinted>
  <dcterms:created xsi:type="dcterms:W3CDTF">2016-03-14T23:22:00Z</dcterms:created>
  <dcterms:modified xsi:type="dcterms:W3CDTF">2016-03-17T20:48:00Z</dcterms:modified>
</cp:coreProperties>
</file>