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A7" w:rsidRPr="00C6494F" w:rsidRDefault="00DC4E04" w:rsidP="00544ACA">
      <w:pPr>
        <w:jc w:val="center"/>
        <w:rPr>
          <w:rFonts w:asciiTheme="majorHAnsi" w:hAnsiTheme="majorHAnsi"/>
          <w:sz w:val="24"/>
          <w:szCs w:val="24"/>
        </w:rPr>
      </w:pPr>
      <w:r w:rsidRPr="00C6494F">
        <w:rPr>
          <w:rFonts w:asciiTheme="majorHAnsi" w:hAnsiTheme="majorHAnsi"/>
          <w:sz w:val="24"/>
          <w:szCs w:val="24"/>
        </w:rPr>
        <w:t xml:space="preserve">CLHO </w:t>
      </w:r>
      <w:r w:rsidR="00ED2BFA" w:rsidRPr="00C6494F">
        <w:rPr>
          <w:rFonts w:asciiTheme="majorHAnsi" w:hAnsiTheme="majorHAnsi"/>
          <w:sz w:val="24"/>
          <w:szCs w:val="24"/>
        </w:rPr>
        <w:t xml:space="preserve">Healthy Communities </w:t>
      </w:r>
      <w:r w:rsidRPr="00C6494F">
        <w:rPr>
          <w:rFonts w:asciiTheme="majorHAnsi" w:hAnsiTheme="majorHAnsi"/>
          <w:sz w:val="24"/>
          <w:szCs w:val="24"/>
        </w:rPr>
        <w:t xml:space="preserve">Committee Meeting </w:t>
      </w:r>
    </w:p>
    <w:p w:rsidR="009B54A7" w:rsidRPr="00C6494F" w:rsidRDefault="00DC4E04" w:rsidP="00A764F2">
      <w:pPr>
        <w:jc w:val="center"/>
        <w:rPr>
          <w:rFonts w:asciiTheme="majorHAnsi" w:hAnsiTheme="majorHAnsi"/>
          <w:sz w:val="24"/>
          <w:szCs w:val="24"/>
        </w:rPr>
      </w:pPr>
      <w:r w:rsidRPr="00C6494F">
        <w:rPr>
          <w:rFonts w:asciiTheme="majorHAnsi" w:hAnsiTheme="majorHAnsi"/>
          <w:sz w:val="24"/>
          <w:szCs w:val="24"/>
        </w:rPr>
        <w:t>Date</w:t>
      </w:r>
      <w:r w:rsidR="00ED2BFA" w:rsidRPr="00C6494F">
        <w:rPr>
          <w:rFonts w:asciiTheme="majorHAnsi" w:hAnsiTheme="majorHAnsi"/>
          <w:sz w:val="24"/>
          <w:szCs w:val="24"/>
        </w:rPr>
        <w:t xml:space="preserve">:  Thursday, </w:t>
      </w:r>
      <w:r w:rsidR="0057519F" w:rsidRPr="00C6494F">
        <w:rPr>
          <w:rFonts w:asciiTheme="majorHAnsi" w:hAnsiTheme="majorHAnsi"/>
          <w:sz w:val="24"/>
          <w:szCs w:val="24"/>
        </w:rPr>
        <w:t>March 3</w:t>
      </w:r>
      <w:r w:rsidR="000F7335" w:rsidRPr="00C6494F">
        <w:rPr>
          <w:rFonts w:asciiTheme="majorHAnsi" w:hAnsiTheme="majorHAnsi"/>
          <w:sz w:val="24"/>
          <w:szCs w:val="24"/>
        </w:rPr>
        <w:t>, 2015</w:t>
      </w:r>
    </w:p>
    <w:p w:rsidR="00ED2BFA" w:rsidRPr="00C6494F" w:rsidRDefault="00D157B7" w:rsidP="00A764F2">
      <w:pPr>
        <w:jc w:val="center"/>
        <w:rPr>
          <w:rFonts w:asciiTheme="majorHAnsi" w:hAnsiTheme="majorHAnsi"/>
          <w:sz w:val="24"/>
          <w:szCs w:val="24"/>
        </w:rPr>
      </w:pPr>
      <w:r w:rsidRPr="00C6494F">
        <w:rPr>
          <w:rFonts w:asciiTheme="majorHAnsi" w:hAnsiTheme="majorHAnsi"/>
          <w:sz w:val="24"/>
          <w:szCs w:val="24"/>
        </w:rPr>
        <w:t>1:30 – 3:3</w:t>
      </w:r>
      <w:r w:rsidR="00ED2BFA" w:rsidRPr="00C6494F">
        <w:rPr>
          <w:rFonts w:asciiTheme="majorHAnsi" w:hAnsiTheme="majorHAnsi"/>
          <w:sz w:val="24"/>
          <w:szCs w:val="24"/>
        </w:rPr>
        <w:t>0 pm</w:t>
      </w:r>
    </w:p>
    <w:p w:rsidR="00576C4D" w:rsidRPr="00C6494F" w:rsidRDefault="00576C4D" w:rsidP="00A764F2">
      <w:pPr>
        <w:jc w:val="center"/>
        <w:rPr>
          <w:rFonts w:asciiTheme="majorHAnsi" w:hAnsiTheme="majorHAnsi"/>
          <w:sz w:val="24"/>
          <w:szCs w:val="24"/>
        </w:rPr>
      </w:pPr>
      <w:r w:rsidRPr="00C6494F">
        <w:rPr>
          <w:rFonts w:asciiTheme="majorHAnsi" w:hAnsiTheme="majorHAnsi"/>
          <w:sz w:val="24"/>
          <w:szCs w:val="24"/>
        </w:rPr>
        <w:t xml:space="preserve">PSOB Room </w:t>
      </w:r>
      <w:r w:rsidR="000F7335" w:rsidRPr="00C6494F">
        <w:rPr>
          <w:rFonts w:asciiTheme="majorHAnsi" w:hAnsiTheme="majorHAnsi"/>
          <w:sz w:val="24"/>
          <w:szCs w:val="24"/>
        </w:rPr>
        <w:t>705-C</w:t>
      </w:r>
      <w:r w:rsidRPr="00C6494F">
        <w:rPr>
          <w:rFonts w:asciiTheme="majorHAnsi" w:hAnsiTheme="majorHAnsi"/>
          <w:sz w:val="24"/>
          <w:szCs w:val="24"/>
        </w:rPr>
        <w:t xml:space="preserve"> or </w:t>
      </w:r>
      <w:r w:rsidR="00923DB2" w:rsidRPr="00C6494F">
        <w:rPr>
          <w:rFonts w:asciiTheme="majorHAnsi" w:hAnsiTheme="majorHAnsi"/>
          <w:sz w:val="24"/>
          <w:szCs w:val="24"/>
        </w:rPr>
        <w:t>by</w:t>
      </w:r>
    </w:p>
    <w:p w:rsidR="008B441B" w:rsidRPr="00C6494F" w:rsidRDefault="00923DB2" w:rsidP="00576C4D">
      <w:pPr>
        <w:jc w:val="center"/>
        <w:rPr>
          <w:rFonts w:asciiTheme="majorHAnsi" w:hAnsiTheme="majorHAnsi" w:cstheme="minorHAnsi"/>
          <w:sz w:val="24"/>
          <w:szCs w:val="24"/>
        </w:rPr>
      </w:pPr>
      <w:r w:rsidRPr="00C6494F">
        <w:rPr>
          <w:rFonts w:asciiTheme="majorHAnsi" w:hAnsiTheme="majorHAnsi" w:cstheme="minorHAnsi"/>
          <w:sz w:val="24"/>
          <w:szCs w:val="24"/>
        </w:rPr>
        <w:t>Conference call number:</w:t>
      </w:r>
    </w:p>
    <w:p w:rsidR="00576C4D" w:rsidRPr="00C6494F" w:rsidRDefault="008B441B" w:rsidP="00576C4D">
      <w:pPr>
        <w:jc w:val="center"/>
        <w:rPr>
          <w:rFonts w:asciiTheme="majorHAnsi" w:hAnsiTheme="majorHAnsi" w:cstheme="minorHAnsi"/>
          <w:sz w:val="24"/>
          <w:szCs w:val="24"/>
        </w:rPr>
      </w:pPr>
      <w:r w:rsidRPr="00C6494F">
        <w:rPr>
          <w:rFonts w:asciiTheme="majorHAnsi" w:hAnsiTheme="majorHAnsi" w:cstheme="minorHAnsi"/>
          <w:sz w:val="24"/>
          <w:szCs w:val="24"/>
        </w:rPr>
        <w:t>Dial: (888) 363-4735</w:t>
      </w:r>
    </w:p>
    <w:p w:rsidR="00576C4D" w:rsidRPr="00C6494F" w:rsidRDefault="008B441B" w:rsidP="00576C4D">
      <w:pPr>
        <w:jc w:val="center"/>
        <w:rPr>
          <w:rFonts w:asciiTheme="majorHAnsi" w:hAnsiTheme="majorHAnsi" w:cstheme="minorHAnsi"/>
          <w:sz w:val="24"/>
          <w:szCs w:val="24"/>
        </w:rPr>
      </w:pPr>
      <w:r w:rsidRPr="00C6494F">
        <w:rPr>
          <w:rFonts w:asciiTheme="majorHAnsi" w:hAnsiTheme="majorHAnsi" w:cstheme="minorHAnsi"/>
          <w:sz w:val="24"/>
          <w:szCs w:val="24"/>
        </w:rPr>
        <w:t>Participant: 868346</w:t>
      </w:r>
    </w:p>
    <w:p w:rsidR="00B12572" w:rsidRPr="00C6494F" w:rsidRDefault="008B441B" w:rsidP="00B12572">
      <w:pPr>
        <w:jc w:val="center"/>
        <w:rPr>
          <w:rFonts w:asciiTheme="majorHAnsi" w:hAnsiTheme="majorHAnsi" w:cstheme="minorHAnsi"/>
          <w:sz w:val="24"/>
          <w:szCs w:val="24"/>
        </w:rPr>
      </w:pPr>
      <w:r w:rsidRPr="00C6494F">
        <w:rPr>
          <w:rFonts w:asciiTheme="majorHAnsi" w:hAnsiTheme="majorHAnsi" w:cstheme="minorHAnsi"/>
          <w:sz w:val="24"/>
          <w:szCs w:val="24"/>
        </w:rPr>
        <w:t>Host: (Portland): 862516</w:t>
      </w:r>
    </w:p>
    <w:p w:rsidR="009B54A7" w:rsidRPr="00C6494F" w:rsidRDefault="009B54A7" w:rsidP="00A764F2">
      <w:pPr>
        <w:jc w:val="center"/>
        <w:rPr>
          <w:rFonts w:asciiTheme="majorHAnsi" w:hAnsiTheme="majorHAnsi"/>
          <w:sz w:val="24"/>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
        <w:gridCol w:w="2430"/>
        <w:gridCol w:w="9630"/>
        <w:gridCol w:w="990"/>
        <w:gridCol w:w="1530"/>
        <w:gridCol w:w="18"/>
      </w:tblGrid>
      <w:tr w:rsidR="00C6494F" w:rsidRPr="00C6494F" w:rsidTr="0057519F">
        <w:tc>
          <w:tcPr>
            <w:tcW w:w="14616" w:type="dxa"/>
            <w:gridSpan w:val="6"/>
          </w:tcPr>
          <w:p w:rsidR="009B54A7" w:rsidRPr="00C6494F" w:rsidRDefault="00752C74" w:rsidP="00BD7F91">
            <w:pPr>
              <w:jc w:val="center"/>
              <w:rPr>
                <w:rFonts w:asciiTheme="majorHAnsi" w:hAnsiTheme="majorHAnsi"/>
                <w:sz w:val="24"/>
                <w:szCs w:val="24"/>
              </w:rPr>
            </w:pPr>
            <w:r w:rsidRPr="00C6494F">
              <w:rPr>
                <w:rFonts w:asciiTheme="majorHAnsi" w:hAnsiTheme="majorHAnsi"/>
                <w:sz w:val="24"/>
                <w:szCs w:val="24"/>
              </w:rPr>
              <w:t>Agenda</w:t>
            </w:r>
          </w:p>
        </w:tc>
      </w:tr>
      <w:tr w:rsidR="00C6494F" w:rsidRPr="00C6494F" w:rsidTr="001D2F08">
        <w:trPr>
          <w:trHeight w:val="170"/>
        </w:trPr>
        <w:tc>
          <w:tcPr>
            <w:tcW w:w="2448" w:type="dxa"/>
            <w:gridSpan w:val="2"/>
          </w:tcPr>
          <w:p w:rsidR="009B54A7" w:rsidRPr="00C6494F" w:rsidRDefault="009B54A7" w:rsidP="00BD7F91">
            <w:pPr>
              <w:jc w:val="center"/>
              <w:rPr>
                <w:rFonts w:asciiTheme="majorHAnsi" w:hAnsiTheme="majorHAnsi"/>
                <w:sz w:val="24"/>
                <w:szCs w:val="24"/>
              </w:rPr>
            </w:pPr>
            <w:r w:rsidRPr="00C6494F">
              <w:rPr>
                <w:rFonts w:asciiTheme="majorHAnsi" w:hAnsiTheme="majorHAnsi"/>
                <w:sz w:val="24"/>
                <w:szCs w:val="24"/>
              </w:rPr>
              <w:t>Agenda Item</w:t>
            </w:r>
          </w:p>
        </w:tc>
        <w:tc>
          <w:tcPr>
            <w:tcW w:w="9630" w:type="dxa"/>
          </w:tcPr>
          <w:p w:rsidR="009B54A7" w:rsidRPr="00C6494F" w:rsidRDefault="009B54A7" w:rsidP="00BD7F91">
            <w:pPr>
              <w:jc w:val="center"/>
              <w:rPr>
                <w:rFonts w:asciiTheme="majorHAnsi" w:hAnsiTheme="majorHAnsi"/>
                <w:sz w:val="24"/>
                <w:szCs w:val="24"/>
              </w:rPr>
            </w:pPr>
            <w:r w:rsidRPr="00C6494F">
              <w:rPr>
                <w:rFonts w:asciiTheme="majorHAnsi" w:hAnsiTheme="majorHAnsi"/>
                <w:sz w:val="24"/>
                <w:szCs w:val="24"/>
              </w:rPr>
              <w:t>Detail</w:t>
            </w:r>
          </w:p>
        </w:tc>
        <w:tc>
          <w:tcPr>
            <w:tcW w:w="990" w:type="dxa"/>
          </w:tcPr>
          <w:p w:rsidR="009B54A7" w:rsidRPr="00C6494F" w:rsidRDefault="009B54A7" w:rsidP="00BD7F91">
            <w:pPr>
              <w:jc w:val="center"/>
              <w:rPr>
                <w:rFonts w:asciiTheme="majorHAnsi" w:hAnsiTheme="majorHAnsi"/>
                <w:sz w:val="24"/>
                <w:szCs w:val="24"/>
              </w:rPr>
            </w:pPr>
            <w:r w:rsidRPr="00C6494F">
              <w:rPr>
                <w:rFonts w:asciiTheme="majorHAnsi" w:hAnsiTheme="majorHAnsi"/>
                <w:sz w:val="24"/>
                <w:szCs w:val="24"/>
              </w:rPr>
              <w:t>Action Item</w:t>
            </w:r>
          </w:p>
        </w:tc>
        <w:tc>
          <w:tcPr>
            <w:tcW w:w="1548" w:type="dxa"/>
            <w:gridSpan w:val="2"/>
          </w:tcPr>
          <w:p w:rsidR="009B54A7" w:rsidRPr="00C6494F" w:rsidRDefault="009B54A7" w:rsidP="00BD7F91">
            <w:pPr>
              <w:jc w:val="center"/>
              <w:rPr>
                <w:rFonts w:asciiTheme="majorHAnsi" w:hAnsiTheme="majorHAnsi"/>
                <w:sz w:val="24"/>
                <w:szCs w:val="24"/>
              </w:rPr>
            </w:pPr>
            <w:r w:rsidRPr="00C6494F">
              <w:rPr>
                <w:rFonts w:asciiTheme="majorHAnsi" w:hAnsiTheme="majorHAnsi"/>
                <w:sz w:val="24"/>
                <w:szCs w:val="24"/>
              </w:rPr>
              <w:t>Responsible Party</w:t>
            </w:r>
          </w:p>
        </w:tc>
      </w:tr>
      <w:tr w:rsidR="00C6494F" w:rsidRPr="00C6494F" w:rsidTr="001D2F08">
        <w:trPr>
          <w:trHeight w:val="692"/>
        </w:trPr>
        <w:tc>
          <w:tcPr>
            <w:tcW w:w="2448" w:type="dxa"/>
            <w:gridSpan w:val="2"/>
          </w:tcPr>
          <w:p w:rsidR="00DF5CDF" w:rsidRPr="00C6494F" w:rsidRDefault="00783ABB" w:rsidP="00783ABB">
            <w:pPr>
              <w:rPr>
                <w:rFonts w:asciiTheme="majorHAnsi" w:hAnsiTheme="majorHAnsi"/>
                <w:sz w:val="24"/>
                <w:szCs w:val="24"/>
              </w:rPr>
            </w:pPr>
            <w:r w:rsidRPr="00C6494F">
              <w:rPr>
                <w:rFonts w:asciiTheme="majorHAnsi" w:hAnsiTheme="majorHAnsi"/>
                <w:sz w:val="24"/>
                <w:szCs w:val="24"/>
              </w:rPr>
              <w:t xml:space="preserve">Welcome &amp; Introductions </w:t>
            </w:r>
            <w:r w:rsidR="00BD7097" w:rsidRPr="00C6494F">
              <w:rPr>
                <w:rFonts w:asciiTheme="majorHAnsi" w:hAnsiTheme="majorHAnsi"/>
                <w:sz w:val="24"/>
                <w:szCs w:val="24"/>
              </w:rPr>
              <w:t>(5 min</w:t>
            </w:r>
            <w:r w:rsidR="00D157B7" w:rsidRPr="00C6494F">
              <w:rPr>
                <w:rFonts w:asciiTheme="majorHAnsi" w:hAnsiTheme="majorHAnsi"/>
                <w:sz w:val="24"/>
                <w:szCs w:val="24"/>
              </w:rPr>
              <w:t>) 1:30 – 1:3</w:t>
            </w:r>
            <w:r w:rsidR="00F540EE" w:rsidRPr="00C6494F">
              <w:rPr>
                <w:rFonts w:asciiTheme="majorHAnsi" w:hAnsiTheme="majorHAnsi"/>
                <w:sz w:val="24"/>
                <w:szCs w:val="24"/>
              </w:rPr>
              <w:t>5</w:t>
            </w:r>
          </w:p>
        </w:tc>
        <w:tc>
          <w:tcPr>
            <w:tcW w:w="9630" w:type="dxa"/>
          </w:tcPr>
          <w:p w:rsidR="00DF5CDF" w:rsidRPr="00C6494F" w:rsidRDefault="00783ABB" w:rsidP="00E6249B">
            <w:pPr>
              <w:rPr>
                <w:rFonts w:asciiTheme="majorHAnsi" w:hAnsiTheme="majorHAnsi"/>
                <w:sz w:val="24"/>
                <w:szCs w:val="24"/>
              </w:rPr>
            </w:pPr>
            <w:r w:rsidRPr="00C6494F">
              <w:rPr>
                <w:rFonts w:asciiTheme="majorHAnsi" w:hAnsiTheme="majorHAnsi"/>
                <w:sz w:val="24"/>
                <w:szCs w:val="24"/>
              </w:rPr>
              <w:t>Attendance</w:t>
            </w:r>
          </w:p>
        </w:tc>
        <w:tc>
          <w:tcPr>
            <w:tcW w:w="990" w:type="dxa"/>
          </w:tcPr>
          <w:p w:rsidR="00E30E9E" w:rsidRPr="00C6494F" w:rsidRDefault="00E30E9E" w:rsidP="00E30E9E">
            <w:pPr>
              <w:rPr>
                <w:rFonts w:asciiTheme="majorHAnsi" w:hAnsiTheme="majorHAnsi"/>
                <w:sz w:val="24"/>
                <w:szCs w:val="24"/>
              </w:rPr>
            </w:pPr>
          </w:p>
        </w:tc>
        <w:tc>
          <w:tcPr>
            <w:tcW w:w="1548" w:type="dxa"/>
            <w:gridSpan w:val="2"/>
          </w:tcPr>
          <w:p w:rsidR="00DF5CDF" w:rsidRPr="00C6494F" w:rsidRDefault="009230DC" w:rsidP="003E0C0E">
            <w:pPr>
              <w:rPr>
                <w:rFonts w:asciiTheme="majorHAnsi" w:hAnsiTheme="majorHAnsi"/>
                <w:sz w:val="24"/>
                <w:szCs w:val="24"/>
              </w:rPr>
            </w:pPr>
            <w:r w:rsidRPr="00C6494F">
              <w:rPr>
                <w:rFonts w:asciiTheme="majorHAnsi" w:hAnsiTheme="majorHAnsi"/>
                <w:sz w:val="24"/>
                <w:szCs w:val="24"/>
              </w:rPr>
              <w:t>Tanya Phillips</w:t>
            </w:r>
          </w:p>
          <w:p w:rsidR="003A19B0" w:rsidRPr="00C6494F" w:rsidRDefault="003A19B0" w:rsidP="003E0C0E">
            <w:pPr>
              <w:rPr>
                <w:rFonts w:asciiTheme="majorHAnsi" w:hAnsiTheme="majorHAnsi"/>
                <w:sz w:val="24"/>
                <w:szCs w:val="24"/>
              </w:rPr>
            </w:pPr>
            <w:r w:rsidRPr="00C6494F">
              <w:rPr>
                <w:rFonts w:asciiTheme="majorHAnsi" w:hAnsiTheme="majorHAnsi"/>
                <w:sz w:val="24"/>
                <w:szCs w:val="24"/>
              </w:rPr>
              <w:t>Jocelyn Warren</w:t>
            </w:r>
          </w:p>
        </w:tc>
      </w:tr>
      <w:tr w:rsidR="00C6494F" w:rsidRPr="00C6494F" w:rsidTr="001D2F08">
        <w:trPr>
          <w:trHeight w:val="863"/>
        </w:trPr>
        <w:tc>
          <w:tcPr>
            <w:tcW w:w="2448" w:type="dxa"/>
            <w:gridSpan w:val="2"/>
          </w:tcPr>
          <w:p w:rsidR="009230DC" w:rsidRPr="00C6494F" w:rsidRDefault="00783ABB" w:rsidP="00783ABB">
            <w:pPr>
              <w:rPr>
                <w:rFonts w:asciiTheme="majorHAnsi" w:hAnsiTheme="majorHAnsi"/>
                <w:sz w:val="24"/>
                <w:szCs w:val="24"/>
              </w:rPr>
            </w:pPr>
            <w:r w:rsidRPr="00C6494F">
              <w:rPr>
                <w:rFonts w:asciiTheme="majorHAnsi" w:hAnsiTheme="majorHAnsi"/>
                <w:sz w:val="24"/>
                <w:szCs w:val="24"/>
              </w:rPr>
              <w:t>Review of Prior Month’s Minutes</w:t>
            </w:r>
            <w:r w:rsidR="00DF5CDF" w:rsidRPr="00C6494F">
              <w:rPr>
                <w:rFonts w:asciiTheme="majorHAnsi" w:hAnsiTheme="majorHAnsi"/>
                <w:sz w:val="24"/>
                <w:szCs w:val="24"/>
              </w:rPr>
              <w:t xml:space="preserve"> </w:t>
            </w:r>
            <w:r w:rsidRPr="00C6494F">
              <w:rPr>
                <w:rFonts w:asciiTheme="majorHAnsi" w:hAnsiTheme="majorHAnsi"/>
                <w:sz w:val="24"/>
                <w:szCs w:val="24"/>
              </w:rPr>
              <w:t>(5</w:t>
            </w:r>
            <w:r w:rsidR="00BD7097" w:rsidRPr="00C6494F">
              <w:rPr>
                <w:rFonts w:asciiTheme="majorHAnsi" w:hAnsiTheme="majorHAnsi"/>
                <w:sz w:val="24"/>
                <w:szCs w:val="24"/>
              </w:rPr>
              <w:t xml:space="preserve"> min</w:t>
            </w:r>
            <w:r w:rsidR="00DF5CDF" w:rsidRPr="00C6494F">
              <w:rPr>
                <w:rFonts w:asciiTheme="majorHAnsi" w:hAnsiTheme="majorHAnsi"/>
                <w:sz w:val="24"/>
                <w:szCs w:val="24"/>
              </w:rPr>
              <w:t>)</w:t>
            </w:r>
            <w:r w:rsidR="00F540EE" w:rsidRPr="00C6494F">
              <w:rPr>
                <w:rFonts w:asciiTheme="majorHAnsi" w:hAnsiTheme="majorHAnsi"/>
                <w:sz w:val="24"/>
                <w:szCs w:val="24"/>
              </w:rPr>
              <w:t xml:space="preserve"> </w:t>
            </w:r>
          </w:p>
          <w:p w:rsidR="00DF5CDF" w:rsidRPr="00C6494F" w:rsidRDefault="00F540EE" w:rsidP="00783ABB">
            <w:pPr>
              <w:rPr>
                <w:rFonts w:asciiTheme="majorHAnsi" w:hAnsiTheme="majorHAnsi"/>
                <w:sz w:val="24"/>
                <w:szCs w:val="24"/>
              </w:rPr>
            </w:pPr>
            <w:r w:rsidRPr="00C6494F">
              <w:rPr>
                <w:rFonts w:asciiTheme="majorHAnsi" w:hAnsiTheme="majorHAnsi"/>
                <w:sz w:val="24"/>
                <w:szCs w:val="24"/>
              </w:rPr>
              <w:t>1:</w:t>
            </w:r>
            <w:r w:rsidR="00D157B7" w:rsidRPr="00C6494F">
              <w:rPr>
                <w:rFonts w:asciiTheme="majorHAnsi" w:hAnsiTheme="majorHAnsi"/>
                <w:sz w:val="24"/>
                <w:szCs w:val="24"/>
              </w:rPr>
              <w:t>35 – 1:40</w:t>
            </w:r>
          </w:p>
        </w:tc>
        <w:tc>
          <w:tcPr>
            <w:tcW w:w="9630" w:type="dxa"/>
          </w:tcPr>
          <w:p w:rsidR="00DF5CDF" w:rsidRPr="00C6494F" w:rsidRDefault="00561B6A" w:rsidP="005C6C0E">
            <w:pPr>
              <w:rPr>
                <w:rFonts w:asciiTheme="majorHAnsi" w:hAnsiTheme="majorHAnsi"/>
                <w:sz w:val="24"/>
                <w:szCs w:val="24"/>
              </w:rPr>
            </w:pPr>
            <w:r w:rsidRPr="00C6494F">
              <w:rPr>
                <w:rFonts w:asciiTheme="majorHAnsi" w:hAnsiTheme="majorHAnsi"/>
                <w:sz w:val="24"/>
                <w:szCs w:val="24"/>
              </w:rPr>
              <w:t xml:space="preserve">The Committee will have an opportunity to </w:t>
            </w:r>
            <w:r w:rsidR="00A61D28" w:rsidRPr="00C6494F">
              <w:rPr>
                <w:rFonts w:asciiTheme="majorHAnsi" w:hAnsiTheme="majorHAnsi"/>
                <w:sz w:val="24"/>
                <w:szCs w:val="24"/>
              </w:rPr>
              <w:t xml:space="preserve">review </w:t>
            </w:r>
            <w:r w:rsidR="00AD7C5E" w:rsidRPr="00C6494F">
              <w:rPr>
                <w:rFonts w:asciiTheme="majorHAnsi" w:hAnsiTheme="majorHAnsi"/>
                <w:sz w:val="24"/>
                <w:szCs w:val="24"/>
              </w:rPr>
              <w:t xml:space="preserve">minutes from the </w:t>
            </w:r>
            <w:r w:rsidR="005C6C0E" w:rsidRPr="00C6494F">
              <w:rPr>
                <w:rFonts w:asciiTheme="majorHAnsi" w:hAnsiTheme="majorHAnsi"/>
                <w:sz w:val="24"/>
                <w:szCs w:val="24"/>
              </w:rPr>
              <w:t>past meeting</w:t>
            </w:r>
            <w:r w:rsidR="00AD7C5E" w:rsidRPr="00C6494F">
              <w:rPr>
                <w:rFonts w:asciiTheme="majorHAnsi" w:hAnsiTheme="majorHAnsi"/>
                <w:sz w:val="24"/>
                <w:szCs w:val="24"/>
              </w:rPr>
              <w:t>,</w:t>
            </w:r>
            <w:r w:rsidRPr="00C6494F">
              <w:rPr>
                <w:rFonts w:asciiTheme="majorHAnsi" w:hAnsiTheme="majorHAnsi"/>
                <w:sz w:val="24"/>
                <w:szCs w:val="24"/>
              </w:rPr>
              <w:t xml:space="preserve"> make changes and/or adopt the minutes.</w:t>
            </w:r>
          </w:p>
        </w:tc>
        <w:tc>
          <w:tcPr>
            <w:tcW w:w="990" w:type="dxa"/>
          </w:tcPr>
          <w:p w:rsidR="00E30E9E" w:rsidRPr="00C6494F" w:rsidRDefault="00E30E9E" w:rsidP="00FF6566">
            <w:pPr>
              <w:rPr>
                <w:rFonts w:asciiTheme="majorHAnsi" w:hAnsiTheme="majorHAnsi"/>
                <w:sz w:val="24"/>
                <w:szCs w:val="24"/>
              </w:rPr>
            </w:pPr>
          </w:p>
        </w:tc>
        <w:tc>
          <w:tcPr>
            <w:tcW w:w="1548" w:type="dxa"/>
            <w:gridSpan w:val="2"/>
          </w:tcPr>
          <w:p w:rsidR="00DF5CDF" w:rsidRPr="00C6494F" w:rsidRDefault="009230DC" w:rsidP="00354A29">
            <w:pPr>
              <w:rPr>
                <w:rFonts w:asciiTheme="majorHAnsi" w:hAnsiTheme="majorHAnsi"/>
                <w:sz w:val="24"/>
                <w:szCs w:val="24"/>
              </w:rPr>
            </w:pPr>
            <w:r w:rsidRPr="00C6494F">
              <w:rPr>
                <w:rFonts w:asciiTheme="majorHAnsi" w:hAnsiTheme="majorHAnsi"/>
                <w:sz w:val="24"/>
                <w:szCs w:val="24"/>
              </w:rPr>
              <w:t>Tanya Phillips</w:t>
            </w:r>
          </w:p>
          <w:p w:rsidR="003A19B0" w:rsidRPr="00C6494F" w:rsidRDefault="003A19B0" w:rsidP="00354A29">
            <w:pPr>
              <w:rPr>
                <w:rFonts w:asciiTheme="majorHAnsi" w:hAnsiTheme="majorHAnsi"/>
                <w:sz w:val="24"/>
                <w:szCs w:val="24"/>
              </w:rPr>
            </w:pPr>
            <w:r w:rsidRPr="00C6494F">
              <w:rPr>
                <w:rFonts w:asciiTheme="majorHAnsi" w:hAnsiTheme="majorHAnsi"/>
                <w:sz w:val="24"/>
                <w:szCs w:val="24"/>
              </w:rPr>
              <w:t>Jocelyn Warren</w:t>
            </w:r>
          </w:p>
        </w:tc>
      </w:tr>
      <w:tr w:rsidR="00C6494F" w:rsidRPr="00C6494F" w:rsidTr="001D2F08">
        <w:trPr>
          <w:gridBefore w:val="1"/>
          <w:gridAfter w:val="1"/>
          <w:wBefore w:w="18" w:type="dxa"/>
          <w:wAfter w:w="18" w:type="dxa"/>
          <w:trHeight w:val="692"/>
        </w:trPr>
        <w:tc>
          <w:tcPr>
            <w:tcW w:w="2430" w:type="dxa"/>
            <w:tcBorders>
              <w:top w:val="single" w:sz="4" w:space="0" w:color="auto"/>
              <w:left w:val="single" w:sz="4" w:space="0" w:color="auto"/>
              <w:bottom w:val="single" w:sz="4" w:space="0" w:color="auto"/>
              <w:right w:val="single" w:sz="4" w:space="0" w:color="auto"/>
            </w:tcBorders>
          </w:tcPr>
          <w:p w:rsidR="0057519F" w:rsidRPr="00C6494F" w:rsidRDefault="0057519F" w:rsidP="00215F02">
            <w:pPr>
              <w:rPr>
                <w:rFonts w:asciiTheme="majorHAnsi" w:hAnsiTheme="majorHAnsi"/>
                <w:sz w:val="24"/>
                <w:szCs w:val="24"/>
              </w:rPr>
            </w:pPr>
            <w:r w:rsidRPr="00C6494F">
              <w:rPr>
                <w:rFonts w:asciiTheme="majorHAnsi" w:hAnsiTheme="majorHAnsi"/>
                <w:sz w:val="24"/>
                <w:szCs w:val="24"/>
              </w:rPr>
              <w:t>Heal</w:t>
            </w:r>
            <w:r w:rsidR="00714FC1" w:rsidRPr="00C6494F">
              <w:rPr>
                <w:rFonts w:asciiTheme="majorHAnsi" w:hAnsiTheme="majorHAnsi"/>
                <w:sz w:val="24"/>
                <w:szCs w:val="24"/>
              </w:rPr>
              <w:t>th in All Policies workgroup (10</w:t>
            </w:r>
            <w:r w:rsidRPr="00C6494F">
              <w:rPr>
                <w:rFonts w:asciiTheme="majorHAnsi" w:hAnsiTheme="majorHAnsi"/>
                <w:sz w:val="24"/>
                <w:szCs w:val="24"/>
              </w:rPr>
              <w:t xml:space="preserve"> min)</w:t>
            </w:r>
          </w:p>
          <w:p w:rsidR="0057519F" w:rsidRPr="00C6494F" w:rsidRDefault="00D157B7" w:rsidP="00215F02">
            <w:pPr>
              <w:rPr>
                <w:rFonts w:asciiTheme="majorHAnsi" w:hAnsiTheme="majorHAnsi"/>
                <w:sz w:val="24"/>
                <w:szCs w:val="24"/>
              </w:rPr>
            </w:pPr>
            <w:r w:rsidRPr="00C6494F">
              <w:rPr>
                <w:rFonts w:asciiTheme="majorHAnsi" w:hAnsiTheme="majorHAnsi"/>
                <w:sz w:val="24"/>
                <w:szCs w:val="24"/>
              </w:rPr>
              <w:t>1:40 – 1:50</w:t>
            </w:r>
          </w:p>
        </w:tc>
        <w:tc>
          <w:tcPr>
            <w:tcW w:w="9630" w:type="dxa"/>
            <w:tcBorders>
              <w:top w:val="single" w:sz="4" w:space="0" w:color="auto"/>
              <w:left w:val="single" w:sz="4" w:space="0" w:color="auto"/>
              <w:bottom w:val="single" w:sz="4" w:space="0" w:color="auto"/>
              <w:right w:val="single" w:sz="4" w:space="0" w:color="auto"/>
            </w:tcBorders>
          </w:tcPr>
          <w:p w:rsidR="0057519F" w:rsidRPr="00C6494F" w:rsidRDefault="0057519F" w:rsidP="0057519F">
            <w:pPr>
              <w:rPr>
                <w:rFonts w:asciiTheme="majorHAnsi" w:hAnsiTheme="majorHAnsi"/>
                <w:sz w:val="24"/>
                <w:szCs w:val="24"/>
              </w:rPr>
            </w:pPr>
            <w:r w:rsidRPr="00C6494F">
              <w:rPr>
                <w:rFonts w:asciiTheme="majorHAnsi" w:hAnsiTheme="majorHAnsi"/>
                <w:b/>
                <w:sz w:val="24"/>
                <w:szCs w:val="24"/>
              </w:rPr>
              <w:t xml:space="preserve">Background: </w:t>
            </w:r>
            <w:r w:rsidR="00C81DAB" w:rsidRPr="00C6494F">
              <w:rPr>
                <w:rFonts w:asciiTheme="majorHAnsi" w:hAnsiTheme="majorHAnsi"/>
                <w:sz w:val="24"/>
                <w:szCs w:val="24"/>
              </w:rPr>
              <w:t>A Health in All Policies (HiAP) Workgroup has been created to establish a collaborative learning environment where local health departments can learn, brainstorm, problem solve and share resources as it relates to HiAP approaches.</w:t>
            </w:r>
          </w:p>
          <w:p w:rsidR="00C81DAB" w:rsidRPr="00C6494F" w:rsidRDefault="00C81DAB" w:rsidP="0057519F">
            <w:pPr>
              <w:rPr>
                <w:rFonts w:asciiTheme="majorHAnsi" w:hAnsiTheme="majorHAnsi"/>
                <w:sz w:val="24"/>
                <w:szCs w:val="24"/>
              </w:rPr>
            </w:pPr>
          </w:p>
          <w:p w:rsidR="0057519F" w:rsidRPr="00C6494F" w:rsidRDefault="0057519F" w:rsidP="0057519F">
            <w:pPr>
              <w:rPr>
                <w:rFonts w:asciiTheme="majorHAnsi" w:hAnsiTheme="majorHAnsi"/>
                <w:sz w:val="24"/>
                <w:szCs w:val="24"/>
              </w:rPr>
            </w:pPr>
            <w:r w:rsidRPr="00C6494F">
              <w:rPr>
                <w:rFonts w:asciiTheme="majorHAnsi" w:hAnsiTheme="majorHAnsi"/>
                <w:b/>
                <w:sz w:val="24"/>
                <w:szCs w:val="24"/>
              </w:rPr>
              <w:t xml:space="preserve">Objective: </w:t>
            </w:r>
            <w:r w:rsidR="00C81DAB" w:rsidRPr="00C6494F">
              <w:rPr>
                <w:rFonts w:asciiTheme="majorHAnsi" w:hAnsiTheme="majorHAnsi"/>
                <w:sz w:val="24"/>
                <w:szCs w:val="24"/>
              </w:rPr>
              <w:t>Inform Healthy Communities of work and recruit workgroup members.</w:t>
            </w:r>
          </w:p>
          <w:p w:rsidR="0057519F" w:rsidRPr="00C6494F" w:rsidRDefault="0057519F" w:rsidP="00215F02">
            <w:pPr>
              <w:rPr>
                <w:rFonts w:asciiTheme="majorHAnsi" w:hAnsiTheme="majorHAnsi"/>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57519F" w:rsidRPr="00C6494F" w:rsidRDefault="0057519F" w:rsidP="00215F02">
            <w:pPr>
              <w:rPr>
                <w:rFonts w:asciiTheme="majorHAnsi" w:hAnsiTheme="majorHAnsi"/>
                <w:sz w:val="24"/>
                <w:szCs w:val="24"/>
              </w:rPr>
            </w:pPr>
          </w:p>
        </w:tc>
        <w:tc>
          <w:tcPr>
            <w:tcW w:w="1530" w:type="dxa"/>
            <w:tcBorders>
              <w:top w:val="single" w:sz="4" w:space="0" w:color="auto"/>
              <w:left w:val="single" w:sz="4" w:space="0" w:color="auto"/>
              <w:bottom w:val="single" w:sz="4" w:space="0" w:color="auto"/>
              <w:right w:val="single" w:sz="4" w:space="0" w:color="auto"/>
            </w:tcBorders>
          </w:tcPr>
          <w:p w:rsidR="0057519F" w:rsidRPr="00C6494F" w:rsidRDefault="0057519F" w:rsidP="00215F02">
            <w:pPr>
              <w:rPr>
                <w:rFonts w:asciiTheme="majorHAnsi" w:hAnsiTheme="majorHAnsi"/>
                <w:sz w:val="24"/>
                <w:szCs w:val="24"/>
              </w:rPr>
            </w:pPr>
            <w:r w:rsidRPr="00C6494F">
              <w:rPr>
                <w:rFonts w:asciiTheme="majorHAnsi" w:hAnsiTheme="majorHAnsi"/>
                <w:sz w:val="24"/>
                <w:szCs w:val="24"/>
              </w:rPr>
              <w:t>Kathleen Johnson</w:t>
            </w:r>
          </w:p>
        </w:tc>
      </w:tr>
      <w:tr w:rsidR="00C6494F" w:rsidRPr="00C6494F" w:rsidTr="001D2F08">
        <w:trPr>
          <w:trHeight w:val="692"/>
        </w:trPr>
        <w:tc>
          <w:tcPr>
            <w:tcW w:w="2448" w:type="dxa"/>
            <w:gridSpan w:val="2"/>
          </w:tcPr>
          <w:p w:rsidR="009230DC" w:rsidRPr="00C6494F" w:rsidRDefault="0057519F" w:rsidP="009230DC">
            <w:pPr>
              <w:rPr>
                <w:rFonts w:asciiTheme="majorHAnsi" w:hAnsiTheme="majorHAnsi"/>
                <w:sz w:val="24"/>
                <w:szCs w:val="24"/>
              </w:rPr>
            </w:pPr>
            <w:r w:rsidRPr="00C6494F">
              <w:rPr>
                <w:rFonts w:asciiTheme="majorHAnsi" w:hAnsiTheme="majorHAnsi"/>
                <w:sz w:val="24"/>
                <w:szCs w:val="24"/>
              </w:rPr>
              <w:t xml:space="preserve">Update on </w:t>
            </w:r>
            <w:r w:rsidR="00CC350A" w:rsidRPr="00C6494F">
              <w:rPr>
                <w:rFonts w:asciiTheme="majorHAnsi" w:hAnsiTheme="majorHAnsi"/>
                <w:sz w:val="24"/>
                <w:szCs w:val="24"/>
              </w:rPr>
              <w:t>Marijuana</w:t>
            </w:r>
            <w:r w:rsidRPr="00C6494F">
              <w:rPr>
                <w:rFonts w:asciiTheme="majorHAnsi" w:hAnsiTheme="majorHAnsi"/>
                <w:sz w:val="24"/>
                <w:szCs w:val="24"/>
              </w:rPr>
              <w:t xml:space="preserve"> (10 min)</w:t>
            </w:r>
            <w:r w:rsidR="000B53DC" w:rsidRPr="00C6494F">
              <w:rPr>
                <w:rFonts w:asciiTheme="majorHAnsi" w:hAnsiTheme="majorHAnsi"/>
                <w:sz w:val="24"/>
                <w:szCs w:val="24"/>
              </w:rPr>
              <w:t xml:space="preserve"> 1:50 – 2:00</w:t>
            </w:r>
          </w:p>
        </w:tc>
        <w:tc>
          <w:tcPr>
            <w:tcW w:w="9630" w:type="dxa"/>
          </w:tcPr>
          <w:p w:rsidR="000F7335" w:rsidRPr="00C6494F" w:rsidRDefault="000F7335" w:rsidP="000F7335">
            <w:pPr>
              <w:rPr>
                <w:rFonts w:asciiTheme="majorHAnsi" w:hAnsiTheme="majorHAnsi"/>
                <w:sz w:val="24"/>
                <w:szCs w:val="24"/>
              </w:rPr>
            </w:pPr>
            <w:r w:rsidRPr="00C6494F">
              <w:rPr>
                <w:rFonts w:asciiTheme="majorHAnsi" w:hAnsiTheme="majorHAnsi"/>
                <w:b/>
                <w:sz w:val="24"/>
                <w:szCs w:val="24"/>
              </w:rPr>
              <w:t xml:space="preserve">Background: </w:t>
            </w:r>
            <w:r w:rsidR="00FB439A" w:rsidRPr="00C6494F">
              <w:rPr>
                <w:rFonts w:asciiTheme="majorHAnsi" w:hAnsiTheme="majorHAnsi"/>
                <w:sz w:val="24"/>
                <w:szCs w:val="24"/>
              </w:rPr>
              <w:t>T</w:t>
            </w:r>
            <w:r w:rsidR="0060035B" w:rsidRPr="00C6494F">
              <w:rPr>
                <w:rFonts w:asciiTheme="majorHAnsi" w:hAnsiTheme="majorHAnsi"/>
                <w:sz w:val="24"/>
                <w:szCs w:val="24"/>
              </w:rPr>
              <w:t>he Oregon Health Authority continues to participat</w:t>
            </w:r>
            <w:r w:rsidR="00FB439A" w:rsidRPr="00C6494F">
              <w:rPr>
                <w:rFonts w:asciiTheme="majorHAnsi" w:hAnsiTheme="majorHAnsi"/>
                <w:sz w:val="24"/>
                <w:szCs w:val="24"/>
              </w:rPr>
              <w:t xml:space="preserve">e in rule making and </w:t>
            </w:r>
            <w:r w:rsidR="0060035B" w:rsidRPr="00C6494F">
              <w:rPr>
                <w:rFonts w:asciiTheme="majorHAnsi" w:hAnsiTheme="majorHAnsi"/>
                <w:sz w:val="24"/>
                <w:szCs w:val="24"/>
              </w:rPr>
              <w:t>planning related to marijuana use.</w:t>
            </w:r>
          </w:p>
          <w:p w:rsidR="00707B00" w:rsidRPr="00C6494F" w:rsidRDefault="00707B00" w:rsidP="000F7335">
            <w:pPr>
              <w:rPr>
                <w:rFonts w:asciiTheme="majorHAnsi" w:hAnsiTheme="majorHAnsi"/>
                <w:sz w:val="24"/>
                <w:szCs w:val="24"/>
              </w:rPr>
            </w:pPr>
          </w:p>
          <w:p w:rsidR="000F7335" w:rsidRPr="00C6494F" w:rsidRDefault="000F7335" w:rsidP="000F7335">
            <w:pPr>
              <w:rPr>
                <w:rFonts w:asciiTheme="majorHAnsi" w:hAnsiTheme="majorHAnsi"/>
                <w:sz w:val="24"/>
                <w:szCs w:val="24"/>
              </w:rPr>
            </w:pPr>
            <w:r w:rsidRPr="00C6494F">
              <w:rPr>
                <w:rFonts w:asciiTheme="majorHAnsi" w:hAnsiTheme="majorHAnsi"/>
                <w:b/>
                <w:sz w:val="24"/>
                <w:szCs w:val="24"/>
              </w:rPr>
              <w:t xml:space="preserve">Objective: </w:t>
            </w:r>
            <w:r w:rsidR="0060035B" w:rsidRPr="00C6494F">
              <w:rPr>
                <w:rFonts w:asciiTheme="majorHAnsi" w:hAnsiTheme="majorHAnsi"/>
                <w:sz w:val="24"/>
                <w:szCs w:val="24"/>
              </w:rPr>
              <w:t>Provide an update on</w:t>
            </w:r>
            <w:r w:rsidR="0060035B" w:rsidRPr="00C6494F">
              <w:rPr>
                <w:rFonts w:asciiTheme="majorHAnsi" w:hAnsiTheme="majorHAnsi"/>
                <w:b/>
                <w:bCs/>
                <w:sz w:val="24"/>
                <w:szCs w:val="24"/>
              </w:rPr>
              <w:t xml:space="preserve"> </w:t>
            </w:r>
            <w:r w:rsidR="0060035B" w:rsidRPr="00C6494F">
              <w:rPr>
                <w:rFonts w:asciiTheme="majorHAnsi" w:hAnsiTheme="majorHAnsi"/>
                <w:sz w:val="24"/>
                <w:szCs w:val="24"/>
              </w:rPr>
              <w:t>the efforts of the Statewide Marijuana Communications Group, the Retail Marijuana Scientific Advisory Committee, and recent legislation</w:t>
            </w:r>
          </w:p>
          <w:p w:rsidR="009230DC" w:rsidRPr="00C6494F" w:rsidRDefault="009230DC" w:rsidP="009230DC">
            <w:pPr>
              <w:rPr>
                <w:rFonts w:asciiTheme="majorHAnsi" w:hAnsiTheme="majorHAnsi"/>
                <w:sz w:val="24"/>
                <w:szCs w:val="24"/>
              </w:rPr>
            </w:pPr>
          </w:p>
        </w:tc>
        <w:tc>
          <w:tcPr>
            <w:tcW w:w="990" w:type="dxa"/>
          </w:tcPr>
          <w:p w:rsidR="009230DC" w:rsidRPr="00C6494F" w:rsidRDefault="009230DC" w:rsidP="009230DC">
            <w:pPr>
              <w:rPr>
                <w:rFonts w:asciiTheme="majorHAnsi" w:hAnsiTheme="majorHAnsi"/>
                <w:sz w:val="24"/>
                <w:szCs w:val="24"/>
              </w:rPr>
            </w:pPr>
          </w:p>
        </w:tc>
        <w:tc>
          <w:tcPr>
            <w:tcW w:w="1548" w:type="dxa"/>
            <w:gridSpan w:val="2"/>
          </w:tcPr>
          <w:p w:rsidR="000F7335" w:rsidRPr="00C6494F" w:rsidRDefault="0057519F" w:rsidP="009230DC">
            <w:pPr>
              <w:rPr>
                <w:rFonts w:asciiTheme="majorHAnsi" w:hAnsiTheme="majorHAnsi"/>
                <w:sz w:val="24"/>
                <w:szCs w:val="24"/>
              </w:rPr>
            </w:pPr>
            <w:r w:rsidRPr="00C6494F">
              <w:rPr>
                <w:rFonts w:asciiTheme="majorHAnsi" w:hAnsiTheme="majorHAnsi"/>
                <w:sz w:val="24"/>
                <w:szCs w:val="24"/>
              </w:rPr>
              <w:t>Karen Girard</w:t>
            </w:r>
          </w:p>
        </w:tc>
      </w:tr>
      <w:tr w:rsidR="00C6494F" w:rsidRPr="00C6494F" w:rsidTr="001D2F08">
        <w:trPr>
          <w:trHeight w:val="692"/>
        </w:trPr>
        <w:tc>
          <w:tcPr>
            <w:tcW w:w="2448" w:type="dxa"/>
            <w:gridSpan w:val="2"/>
          </w:tcPr>
          <w:p w:rsidR="009230DC" w:rsidRPr="00C6494F" w:rsidRDefault="0057519F" w:rsidP="00AD7C5E">
            <w:pPr>
              <w:rPr>
                <w:rFonts w:asciiTheme="majorHAnsi" w:hAnsiTheme="majorHAnsi"/>
                <w:sz w:val="24"/>
                <w:szCs w:val="24"/>
              </w:rPr>
            </w:pPr>
            <w:r w:rsidRPr="00C6494F">
              <w:rPr>
                <w:rFonts w:asciiTheme="majorHAnsi" w:hAnsiTheme="majorHAnsi"/>
                <w:sz w:val="24"/>
                <w:szCs w:val="24"/>
              </w:rPr>
              <w:t>Legislative session update (10 min)</w:t>
            </w:r>
            <w:r w:rsidR="000B53DC" w:rsidRPr="00C6494F">
              <w:rPr>
                <w:rFonts w:asciiTheme="majorHAnsi" w:hAnsiTheme="majorHAnsi"/>
                <w:sz w:val="24"/>
                <w:szCs w:val="24"/>
              </w:rPr>
              <w:t xml:space="preserve"> 2:00 – 2:10</w:t>
            </w:r>
          </w:p>
        </w:tc>
        <w:tc>
          <w:tcPr>
            <w:tcW w:w="9630" w:type="dxa"/>
          </w:tcPr>
          <w:p w:rsidR="00F56719" w:rsidRPr="00C6494F" w:rsidRDefault="00F56719" w:rsidP="00F56719">
            <w:pPr>
              <w:rPr>
                <w:rFonts w:asciiTheme="majorHAnsi" w:hAnsiTheme="majorHAnsi"/>
                <w:sz w:val="24"/>
                <w:szCs w:val="24"/>
              </w:rPr>
            </w:pPr>
            <w:r w:rsidRPr="00C6494F">
              <w:rPr>
                <w:rFonts w:asciiTheme="majorHAnsi" w:hAnsiTheme="majorHAnsi"/>
                <w:b/>
                <w:sz w:val="24"/>
                <w:szCs w:val="24"/>
              </w:rPr>
              <w:t xml:space="preserve">Background: </w:t>
            </w:r>
            <w:r w:rsidRPr="00C6494F">
              <w:rPr>
                <w:rFonts w:asciiTheme="majorHAnsi" w:hAnsiTheme="majorHAnsi"/>
                <w:sz w:val="24"/>
                <w:szCs w:val="24"/>
              </w:rPr>
              <w:t>The 2016 legislative session is drawing to a close. The final day</w:t>
            </w:r>
            <w:r w:rsidR="00FB439A" w:rsidRPr="00C6494F">
              <w:rPr>
                <w:rFonts w:asciiTheme="majorHAnsi" w:hAnsiTheme="majorHAnsi"/>
                <w:sz w:val="24"/>
                <w:szCs w:val="24"/>
              </w:rPr>
              <w:t xml:space="preserve"> of the session</w:t>
            </w:r>
            <w:r w:rsidRPr="00C6494F">
              <w:rPr>
                <w:rFonts w:asciiTheme="majorHAnsi" w:hAnsiTheme="majorHAnsi"/>
                <w:sz w:val="24"/>
                <w:szCs w:val="24"/>
              </w:rPr>
              <w:t xml:space="preserve"> is March 6.</w:t>
            </w:r>
          </w:p>
          <w:p w:rsidR="00F56719" w:rsidRPr="00C6494F" w:rsidRDefault="00F56719" w:rsidP="00F56719">
            <w:pPr>
              <w:rPr>
                <w:rFonts w:asciiTheme="majorHAnsi" w:hAnsiTheme="majorHAnsi"/>
                <w:sz w:val="24"/>
                <w:szCs w:val="24"/>
              </w:rPr>
            </w:pPr>
          </w:p>
          <w:p w:rsidR="00E441BB" w:rsidRPr="00C6494F" w:rsidRDefault="00F56719" w:rsidP="00F56719">
            <w:pPr>
              <w:rPr>
                <w:rFonts w:asciiTheme="majorHAnsi" w:hAnsiTheme="majorHAnsi" w:cs="Times"/>
              </w:rPr>
            </w:pPr>
            <w:r w:rsidRPr="00C6494F">
              <w:rPr>
                <w:rFonts w:asciiTheme="majorHAnsi" w:hAnsiTheme="majorHAnsi"/>
                <w:b/>
                <w:sz w:val="24"/>
                <w:szCs w:val="24"/>
              </w:rPr>
              <w:t xml:space="preserve">Objective: </w:t>
            </w:r>
            <w:r w:rsidRPr="00C6494F">
              <w:rPr>
                <w:rFonts w:asciiTheme="majorHAnsi" w:hAnsiTheme="majorHAnsi"/>
                <w:sz w:val="24"/>
                <w:szCs w:val="24"/>
              </w:rPr>
              <w:t>Provide information about the bills HPCDP is tracking. Provide an opportunity for committee members to share bills or topics they are tracking.</w:t>
            </w:r>
          </w:p>
        </w:tc>
        <w:tc>
          <w:tcPr>
            <w:tcW w:w="990" w:type="dxa"/>
          </w:tcPr>
          <w:p w:rsidR="00600806" w:rsidRPr="00C6494F" w:rsidRDefault="00600806" w:rsidP="00A61D28">
            <w:pPr>
              <w:rPr>
                <w:rFonts w:asciiTheme="majorHAnsi" w:hAnsiTheme="majorHAnsi"/>
                <w:sz w:val="24"/>
                <w:szCs w:val="24"/>
              </w:rPr>
            </w:pPr>
          </w:p>
        </w:tc>
        <w:tc>
          <w:tcPr>
            <w:tcW w:w="1548" w:type="dxa"/>
            <w:gridSpan w:val="2"/>
          </w:tcPr>
          <w:p w:rsidR="0057519F" w:rsidRPr="00C6494F" w:rsidRDefault="0057519F" w:rsidP="009247C3">
            <w:pPr>
              <w:rPr>
                <w:rFonts w:asciiTheme="majorHAnsi" w:hAnsiTheme="majorHAnsi"/>
                <w:sz w:val="24"/>
                <w:szCs w:val="24"/>
              </w:rPr>
            </w:pPr>
            <w:r w:rsidRPr="00C6494F">
              <w:rPr>
                <w:rFonts w:asciiTheme="majorHAnsi" w:hAnsiTheme="majorHAnsi"/>
                <w:sz w:val="24"/>
                <w:szCs w:val="24"/>
              </w:rPr>
              <w:t>Karen Girard</w:t>
            </w:r>
          </w:p>
        </w:tc>
      </w:tr>
      <w:tr w:rsidR="00C6494F" w:rsidRPr="00C6494F" w:rsidTr="001D2F08">
        <w:trPr>
          <w:trHeight w:val="890"/>
        </w:trPr>
        <w:tc>
          <w:tcPr>
            <w:tcW w:w="2448" w:type="dxa"/>
            <w:gridSpan w:val="2"/>
          </w:tcPr>
          <w:p w:rsidR="00E441BB" w:rsidRPr="00C6494F" w:rsidRDefault="00605F4F" w:rsidP="009230DC">
            <w:pPr>
              <w:rPr>
                <w:rFonts w:asciiTheme="majorHAnsi" w:hAnsiTheme="majorHAnsi"/>
                <w:sz w:val="24"/>
                <w:szCs w:val="24"/>
              </w:rPr>
            </w:pPr>
            <w:r w:rsidRPr="00C6494F">
              <w:rPr>
                <w:rFonts w:asciiTheme="majorHAnsi" w:hAnsiTheme="majorHAnsi"/>
                <w:sz w:val="24"/>
                <w:szCs w:val="24"/>
              </w:rPr>
              <w:lastRenderedPageBreak/>
              <w:t>Prevention integration update (10 min)</w:t>
            </w:r>
            <w:r w:rsidR="000B53DC" w:rsidRPr="00C6494F">
              <w:rPr>
                <w:rFonts w:asciiTheme="majorHAnsi" w:hAnsiTheme="majorHAnsi"/>
                <w:sz w:val="24"/>
                <w:szCs w:val="24"/>
              </w:rPr>
              <w:t xml:space="preserve"> 2:10 – 2:20 </w:t>
            </w:r>
          </w:p>
        </w:tc>
        <w:tc>
          <w:tcPr>
            <w:tcW w:w="9630" w:type="dxa"/>
          </w:tcPr>
          <w:p w:rsidR="00F56719" w:rsidRPr="00C6494F" w:rsidRDefault="00F56719" w:rsidP="00F56719">
            <w:pPr>
              <w:rPr>
                <w:rFonts w:asciiTheme="majorHAnsi" w:hAnsiTheme="majorHAnsi" w:cs="Calibri"/>
                <w:sz w:val="24"/>
                <w:szCs w:val="24"/>
              </w:rPr>
            </w:pPr>
            <w:r w:rsidRPr="00C6494F">
              <w:rPr>
                <w:rFonts w:asciiTheme="majorHAnsi" w:hAnsiTheme="majorHAnsi" w:cs="Calibri"/>
                <w:b/>
                <w:bCs/>
                <w:sz w:val="24"/>
                <w:szCs w:val="24"/>
              </w:rPr>
              <w:t xml:space="preserve">Background:  </w:t>
            </w:r>
            <w:r w:rsidRPr="00C6494F">
              <w:rPr>
                <w:rFonts w:asciiTheme="majorHAnsi" w:hAnsiTheme="majorHAnsi" w:cstheme="minorHAnsi"/>
                <w:sz w:val="24"/>
                <w:szCs w:val="24"/>
              </w:rPr>
              <w:t xml:space="preserve">As part of an OHA effort to create a coordinated, efficient system to reduce substance use disorders and tobacco use among Oregonians, interventions for tobacco, alcohol and other drugs prevention, cessation and regulation are being integrated and now reside in the Public Health Division. </w:t>
            </w:r>
          </w:p>
          <w:p w:rsidR="00F56719" w:rsidRPr="00C6494F" w:rsidRDefault="00F56719" w:rsidP="00F56719">
            <w:pPr>
              <w:ind w:left="720" w:hanging="720"/>
              <w:rPr>
                <w:rFonts w:asciiTheme="majorHAnsi" w:hAnsiTheme="majorHAnsi" w:cs="Calibri"/>
                <w:sz w:val="24"/>
                <w:szCs w:val="24"/>
              </w:rPr>
            </w:pPr>
          </w:p>
          <w:p w:rsidR="00F56719" w:rsidRPr="00C6494F" w:rsidRDefault="00F56719" w:rsidP="00F56719">
            <w:pPr>
              <w:rPr>
                <w:rFonts w:asciiTheme="majorHAnsi" w:hAnsiTheme="majorHAnsi" w:cs="Calibri"/>
                <w:sz w:val="24"/>
                <w:szCs w:val="24"/>
              </w:rPr>
            </w:pPr>
            <w:r w:rsidRPr="00C6494F">
              <w:rPr>
                <w:rFonts w:asciiTheme="majorHAnsi" w:hAnsiTheme="majorHAnsi" w:cs="Calibri"/>
                <w:b/>
                <w:bCs/>
                <w:sz w:val="24"/>
                <w:szCs w:val="24"/>
              </w:rPr>
              <w:t xml:space="preserve">Objective: </w:t>
            </w:r>
            <w:r w:rsidRPr="00C6494F">
              <w:rPr>
                <w:rFonts w:asciiTheme="majorHAnsi" w:hAnsiTheme="majorHAnsi" w:cs="Calibri"/>
                <w:bCs/>
                <w:sz w:val="24"/>
                <w:szCs w:val="24"/>
              </w:rPr>
              <w:t xml:space="preserve">Provide an update on ongoing prevention integration efforts. </w:t>
            </w:r>
          </w:p>
          <w:p w:rsidR="003577F4" w:rsidRPr="00C6494F" w:rsidRDefault="003577F4" w:rsidP="00E441BB">
            <w:pPr>
              <w:rPr>
                <w:rFonts w:asciiTheme="majorHAnsi" w:hAnsiTheme="majorHAnsi"/>
                <w:sz w:val="24"/>
                <w:szCs w:val="24"/>
              </w:rPr>
            </w:pPr>
          </w:p>
        </w:tc>
        <w:tc>
          <w:tcPr>
            <w:tcW w:w="990" w:type="dxa"/>
          </w:tcPr>
          <w:p w:rsidR="009230DC" w:rsidRPr="00C6494F" w:rsidRDefault="009230DC" w:rsidP="009230DC">
            <w:pPr>
              <w:rPr>
                <w:rFonts w:asciiTheme="majorHAnsi" w:hAnsiTheme="majorHAnsi"/>
                <w:sz w:val="24"/>
                <w:szCs w:val="24"/>
              </w:rPr>
            </w:pPr>
          </w:p>
        </w:tc>
        <w:tc>
          <w:tcPr>
            <w:tcW w:w="1548" w:type="dxa"/>
            <w:gridSpan w:val="2"/>
          </w:tcPr>
          <w:p w:rsidR="009230DC" w:rsidRPr="00C6494F" w:rsidRDefault="00605F4F" w:rsidP="009230DC">
            <w:pPr>
              <w:rPr>
                <w:rFonts w:asciiTheme="majorHAnsi" w:hAnsiTheme="majorHAnsi"/>
                <w:sz w:val="24"/>
                <w:szCs w:val="24"/>
              </w:rPr>
            </w:pPr>
            <w:r w:rsidRPr="00C6494F">
              <w:rPr>
                <w:rFonts w:asciiTheme="majorHAnsi" w:hAnsiTheme="majorHAnsi"/>
                <w:sz w:val="24"/>
                <w:szCs w:val="24"/>
              </w:rPr>
              <w:t>Karen Girard</w:t>
            </w:r>
          </w:p>
        </w:tc>
      </w:tr>
      <w:tr w:rsidR="00C6494F" w:rsidRPr="00C6494F" w:rsidTr="001D2F08">
        <w:trPr>
          <w:trHeight w:val="890"/>
        </w:trPr>
        <w:tc>
          <w:tcPr>
            <w:tcW w:w="2448" w:type="dxa"/>
            <w:gridSpan w:val="2"/>
          </w:tcPr>
          <w:p w:rsidR="00C6494F" w:rsidRPr="00C6494F" w:rsidRDefault="00C6494F" w:rsidP="00190507">
            <w:pPr>
              <w:rPr>
                <w:rFonts w:asciiTheme="majorHAnsi" w:hAnsiTheme="majorHAnsi"/>
                <w:sz w:val="24"/>
                <w:szCs w:val="24"/>
              </w:rPr>
            </w:pPr>
            <w:r>
              <w:rPr>
                <w:rFonts w:asciiTheme="majorHAnsi" w:hAnsiTheme="majorHAnsi"/>
                <w:sz w:val="24"/>
                <w:szCs w:val="24"/>
              </w:rPr>
              <w:t>Stretch Break (5 min) 2:20 – 2:25</w:t>
            </w:r>
          </w:p>
        </w:tc>
        <w:tc>
          <w:tcPr>
            <w:tcW w:w="9630" w:type="dxa"/>
          </w:tcPr>
          <w:p w:rsidR="00C6494F" w:rsidRPr="00C6494F" w:rsidRDefault="00C6494F" w:rsidP="000B53DC">
            <w:pPr>
              <w:pStyle w:val="NormalWeb"/>
              <w:spacing w:before="0" w:beforeAutospacing="0" w:after="0" w:afterAutospacing="0"/>
              <w:rPr>
                <w:rFonts w:asciiTheme="majorHAnsi" w:hAnsiTheme="majorHAnsi" w:cs="Calibri"/>
                <w:b/>
              </w:rPr>
            </w:pPr>
          </w:p>
        </w:tc>
        <w:tc>
          <w:tcPr>
            <w:tcW w:w="990" w:type="dxa"/>
          </w:tcPr>
          <w:p w:rsidR="00C6494F" w:rsidRPr="00C6494F" w:rsidRDefault="00C6494F" w:rsidP="009230DC">
            <w:pPr>
              <w:rPr>
                <w:rFonts w:asciiTheme="majorHAnsi" w:hAnsiTheme="majorHAnsi"/>
                <w:sz w:val="24"/>
                <w:szCs w:val="24"/>
              </w:rPr>
            </w:pPr>
          </w:p>
        </w:tc>
        <w:tc>
          <w:tcPr>
            <w:tcW w:w="1548" w:type="dxa"/>
            <w:gridSpan w:val="2"/>
          </w:tcPr>
          <w:p w:rsidR="00C6494F" w:rsidRPr="00C6494F" w:rsidRDefault="00C6494F" w:rsidP="009230DC">
            <w:pPr>
              <w:rPr>
                <w:rFonts w:asciiTheme="majorHAnsi" w:hAnsiTheme="majorHAnsi"/>
                <w:sz w:val="24"/>
                <w:szCs w:val="24"/>
              </w:rPr>
            </w:pPr>
            <w:r>
              <w:rPr>
                <w:rFonts w:asciiTheme="majorHAnsi" w:hAnsiTheme="majorHAnsi"/>
                <w:sz w:val="24"/>
                <w:szCs w:val="24"/>
              </w:rPr>
              <w:t>All</w:t>
            </w:r>
          </w:p>
        </w:tc>
      </w:tr>
      <w:tr w:rsidR="00C6494F" w:rsidRPr="00C6494F" w:rsidTr="001D2F08">
        <w:trPr>
          <w:trHeight w:val="890"/>
        </w:trPr>
        <w:tc>
          <w:tcPr>
            <w:tcW w:w="2448" w:type="dxa"/>
            <w:gridSpan w:val="2"/>
          </w:tcPr>
          <w:p w:rsidR="009230DC" w:rsidRPr="00C6494F" w:rsidRDefault="00C6494F" w:rsidP="00C6494F">
            <w:pPr>
              <w:rPr>
                <w:rFonts w:asciiTheme="majorHAnsi" w:hAnsiTheme="majorHAnsi"/>
                <w:sz w:val="24"/>
                <w:szCs w:val="24"/>
              </w:rPr>
            </w:pPr>
            <w:r>
              <w:rPr>
                <w:rFonts w:asciiTheme="majorHAnsi" w:hAnsiTheme="majorHAnsi"/>
                <w:sz w:val="24"/>
                <w:szCs w:val="24"/>
              </w:rPr>
              <w:t>HPCDP grants update (20</w:t>
            </w:r>
            <w:r w:rsidR="00002B81" w:rsidRPr="00C6494F">
              <w:rPr>
                <w:rFonts w:asciiTheme="majorHAnsi" w:hAnsiTheme="majorHAnsi"/>
                <w:sz w:val="24"/>
                <w:szCs w:val="24"/>
              </w:rPr>
              <w:t xml:space="preserve"> min)</w:t>
            </w:r>
            <w:r w:rsidR="00BB3AED" w:rsidRPr="00C6494F">
              <w:rPr>
                <w:rFonts w:asciiTheme="majorHAnsi" w:hAnsiTheme="majorHAnsi"/>
                <w:sz w:val="24"/>
                <w:szCs w:val="24"/>
              </w:rPr>
              <w:t xml:space="preserve"> 2:2</w:t>
            </w:r>
            <w:r>
              <w:rPr>
                <w:rFonts w:asciiTheme="majorHAnsi" w:hAnsiTheme="majorHAnsi"/>
                <w:sz w:val="24"/>
                <w:szCs w:val="24"/>
              </w:rPr>
              <w:t>5 – 2:45</w:t>
            </w:r>
          </w:p>
        </w:tc>
        <w:tc>
          <w:tcPr>
            <w:tcW w:w="9630" w:type="dxa"/>
          </w:tcPr>
          <w:p w:rsidR="00002B81" w:rsidRPr="00C6494F" w:rsidRDefault="00724511" w:rsidP="000B53DC">
            <w:pPr>
              <w:pStyle w:val="NormalWeb"/>
              <w:spacing w:before="0" w:beforeAutospacing="0" w:after="0" w:afterAutospacing="0"/>
              <w:rPr>
                <w:rFonts w:asciiTheme="majorHAnsi" w:hAnsiTheme="majorHAnsi" w:cs="Calibri"/>
              </w:rPr>
            </w:pPr>
            <w:r w:rsidRPr="00C6494F">
              <w:rPr>
                <w:rFonts w:asciiTheme="majorHAnsi" w:hAnsiTheme="majorHAnsi" w:cs="Calibri"/>
                <w:b/>
              </w:rPr>
              <w:t xml:space="preserve">Background: </w:t>
            </w:r>
            <w:r w:rsidR="00002B81" w:rsidRPr="00C6494F">
              <w:rPr>
                <w:rFonts w:asciiTheme="majorHAnsi" w:hAnsiTheme="majorHAnsi" w:cs="Calibri"/>
              </w:rPr>
              <w:t xml:space="preserve">HPCDP has released and will be releasing a number of grant opportunities: </w:t>
            </w:r>
          </w:p>
          <w:p w:rsidR="00002B81" w:rsidRPr="00C6494F" w:rsidRDefault="00002B81" w:rsidP="000B53DC">
            <w:pPr>
              <w:pStyle w:val="NormalWeb"/>
              <w:numPr>
                <w:ilvl w:val="0"/>
                <w:numId w:val="36"/>
              </w:numPr>
              <w:spacing w:before="0" w:beforeAutospacing="0"/>
              <w:rPr>
                <w:rFonts w:asciiTheme="majorHAnsi" w:hAnsiTheme="majorHAnsi" w:cs="Calibri"/>
              </w:rPr>
            </w:pPr>
            <w:r w:rsidRPr="00C6494F">
              <w:rPr>
                <w:rFonts w:asciiTheme="majorHAnsi" w:hAnsiTheme="majorHAnsi" w:cs="Calibri"/>
              </w:rPr>
              <w:t>Strategies for Policy and environmental Change, Tobacco-free (SPArC)</w:t>
            </w:r>
            <w:r w:rsidR="00FB439A" w:rsidRPr="00C6494F">
              <w:rPr>
                <w:rFonts w:asciiTheme="majorHAnsi" w:hAnsiTheme="majorHAnsi" w:cs="Calibri"/>
              </w:rPr>
              <w:t xml:space="preserve"> (Released and closed)</w:t>
            </w:r>
          </w:p>
          <w:p w:rsidR="00002B81" w:rsidRPr="00C6494F" w:rsidRDefault="00002B81" w:rsidP="00002B81">
            <w:pPr>
              <w:pStyle w:val="NormalWeb"/>
              <w:numPr>
                <w:ilvl w:val="0"/>
                <w:numId w:val="36"/>
              </w:numPr>
              <w:rPr>
                <w:rFonts w:asciiTheme="majorHAnsi" w:hAnsiTheme="majorHAnsi" w:cs="Calibri"/>
              </w:rPr>
            </w:pPr>
            <w:r w:rsidRPr="00C6494F">
              <w:rPr>
                <w:rFonts w:asciiTheme="majorHAnsi" w:hAnsiTheme="majorHAnsi" w:cs="Calibri"/>
              </w:rPr>
              <w:t xml:space="preserve">Tobacco Prevention and Education Program (TPEP) </w:t>
            </w:r>
            <w:r w:rsidR="00FB439A" w:rsidRPr="00C6494F">
              <w:rPr>
                <w:rFonts w:asciiTheme="majorHAnsi" w:hAnsiTheme="majorHAnsi" w:cs="Calibri"/>
              </w:rPr>
              <w:t>(Released January 29. Due March 25 at 3:00 PM)</w:t>
            </w:r>
          </w:p>
          <w:p w:rsidR="000B53DC" w:rsidRPr="00C6494F" w:rsidRDefault="000B53DC" w:rsidP="000B53DC">
            <w:pPr>
              <w:pStyle w:val="NormalWeb"/>
              <w:numPr>
                <w:ilvl w:val="0"/>
                <w:numId w:val="36"/>
              </w:numPr>
              <w:spacing w:before="0" w:beforeAutospacing="0" w:after="0" w:afterAutospacing="0"/>
              <w:rPr>
                <w:rFonts w:asciiTheme="majorHAnsi" w:hAnsiTheme="majorHAnsi" w:cs="Calibri"/>
              </w:rPr>
            </w:pPr>
            <w:r w:rsidRPr="00C6494F">
              <w:rPr>
                <w:rFonts w:asciiTheme="majorHAnsi" w:hAnsiTheme="majorHAnsi" w:cs="Calibri"/>
              </w:rPr>
              <w:t>Sustainable Relationships for Community Health (SRCH)</w:t>
            </w:r>
            <w:r w:rsidR="00FB439A" w:rsidRPr="00C6494F">
              <w:rPr>
                <w:rFonts w:asciiTheme="majorHAnsi" w:hAnsiTheme="majorHAnsi" w:cs="Calibri"/>
              </w:rPr>
              <w:t xml:space="preserve"> (To be released in early March) </w:t>
            </w:r>
          </w:p>
          <w:p w:rsidR="00002B81" w:rsidRPr="00C6494F" w:rsidRDefault="00002B81" w:rsidP="00002B81">
            <w:pPr>
              <w:pStyle w:val="NormalWeb"/>
              <w:numPr>
                <w:ilvl w:val="0"/>
                <w:numId w:val="36"/>
              </w:numPr>
              <w:rPr>
                <w:rFonts w:asciiTheme="majorHAnsi" w:hAnsiTheme="majorHAnsi" w:cs="Calibri"/>
              </w:rPr>
            </w:pPr>
            <w:r w:rsidRPr="00C6494F">
              <w:rPr>
                <w:rFonts w:asciiTheme="majorHAnsi" w:hAnsiTheme="majorHAnsi" w:cs="Calibri"/>
              </w:rPr>
              <w:t>Healthy Communities</w:t>
            </w:r>
            <w:r w:rsidR="00FB439A" w:rsidRPr="00C6494F">
              <w:rPr>
                <w:rFonts w:asciiTheme="majorHAnsi" w:hAnsiTheme="majorHAnsi" w:cs="Calibri"/>
              </w:rPr>
              <w:t xml:space="preserve"> (Anticipated release in April)</w:t>
            </w:r>
          </w:p>
          <w:p w:rsidR="003A19B0" w:rsidRPr="004D345D" w:rsidRDefault="003A19B0" w:rsidP="004D345D">
            <w:pPr>
              <w:rPr>
                <w:rFonts w:asciiTheme="majorHAnsi" w:hAnsiTheme="majorHAnsi" w:cs="Calibri"/>
                <w:sz w:val="24"/>
                <w:szCs w:val="24"/>
              </w:rPr>
            </w:pPr>
            <w:r w:rsidRPr="00C6494F">
              <w:rPr>
                <w:rFonts w:asciiTheme="majorHAnsi" w:hAnsiTheme="majorHAnsi" w:cs="Calibri"/>
                <w:b/>
                <w:bCs/>
                <w:sz w:val="24"/>
                <w:szCs w:val="24"/>
              </w:rPr>
              <w:t xml:space="preserve">Objective: </w:t>
            </w:r>
            <w:r w:rsidR="00002B81" w:rsidRPr="00C6494F">
              <w:rPr>
                <w:rFonts w:asciiTheme="majorHAnsi" w:hAnsiTheme="majorHAnsi" w:cs="Calibri"/>
                <w:bCs/>
                <w:sz w:val="24"/>
                <w:szCs w:val="24"/>
              </w:rPr>
              <w:t xml:space="preserve">Provide an update on the status of each HPCDP grant opportunity. </w:t>
            </w:r>
          </w:p>
        </w:tc>
        <w:tc>
          <w:tcPr>
            <w:tcW w:w="990" w:type="dxa"/>
          </w:tcPr>
          <w:p w:rsidR="009230DC" w:rsidRPr="00C6494F" w:rsidRDefault="009230DC" w:rsidP="009230DC">
            <w:pPr>
              <w:rPr>
                <w:rFonts w:asciiTheme="majorHAnsi" w:hAnsiTheme="majorHAnsi"/>
                <w:sz w:val="24"/>
                <w:szCs w:val="24"/>
              </w:rPr>
            </w:pPr>
          </w:p>
        </w:tc>
        <w:tc>
          <w:tcPr>
            <w:tcW w:w="1548" w:type="dxa"/>
            <w:gridSpan w:val="2"/>
          </w:tcPr>
          <w:p w:rsidR="009230DC" w:rsidRPr="00C6494F" w:rsidRDefault="00002B81" w:rsidP="009230DC">
            <w:pPr>
              <w:rPr>
                <w:rFonts w:asciiTheme="majorHAnsi" w:hAnsiTheme="majorHAnsi"/>
                <w:sz w:val="24"/>
                <w:szCs w:val="24"/>
              </w:rPr>
            </w:pPr>
            <w:r w:rsidRPr="00C6494F">
              <w:rPr>
                <w:rFonts w:asciiTheme="majorHAnsi" w:hAnsiTheme="majorHAnsi"/>
                <w:sz w:val="24"/>
                <w:szCs w:val="24"/>
              </w:rPr>
              <w:t>Sabrina Freewynn</w:t>
            </w:r>
          </w:p>
        </w:tc>
      </w:tr>
      <w:tr w:rsidR="00C6494F" w:rsidRPr="00C6494F" w:rsidTr="001D2F08">
        <w:trPr>
          <w:trHeight w:val="278"/>
        </w:trPr>
        <w:tc>
          <w:tcPr>
            <w:tcW w:w="2448" w:type="dxa"/>
            <w:gridSpan w:val="2"/>
          </w:tcPr>
          <w:p w:rsidR="00663EBC" w:rsidRPr="00C6494F" w:rsidRDefault="00264C03" w:rsidP="00724511">
            <w:pPr>
              <w:rPr>
                <w:rFonts w:asciiTheme="majorHAnsi" w:hAnsiTheme="majorHAnsi"/>
                <w:sz w:val="24"/>
                <w:szCs w:val="24"/>
              </w:rPr>
            </w:pPr>
            <w:r w:rsidRPr="00C6494F">
              <w:rPr>
                <w:rFonts w:asciiTheme="majorHAnsi" w:hAnsiTheme="majorHAnsi"/>
                <w:sz w:val="24"/>
                <w:szCs w:val="24"/>
              </w:rPr>
              <w:t>Updates &amp; Announcements (10 min)</w:t>
            </w:r>
            <w:r w:rsidR="00724511" w:rsidRPr="00C6494F">
              <w:rPr>
                <w:rFonts w:asciiTheme="majorHAnsi" w:hAnsiTheme="majorHAnsi"/>
                <w:sz w:val="24"/>
                <w:szCs w:val="24"/>
              </w:rPr>
              <w:t xml:space="preserve"> </w:t>
            </w:r>
            <w:r w:rsidR="00BB3AED" w:rsidRPr="00C6494F">
              <w:rPr>
                <w:rFonts w:asciiTheme="majorHAnsi" w:hAnsiTheme="majorHAnsi"/>
                <w:sz w:val="24"/>
                <w:szCs w:val="24"/>
              </w:rPr>
              <w:t>2:45 – 2:5</w:t>
            </w:r>
            <w:r w:rsidR="000B53DC" w:rsidRPr="00C6494F">
              <w:rPr>
                <w:rFonts w:asciiTheme="majorHAnsi" w:hAnsiTheme="majorHAnsi"/>
                <w:sz w:val="24"/>
                <w:szCs w:val="24"/>
              </w:rPr>
              <w:t>5</w:t>
            </w:r>
          </w:p>
        </w:tc>
        <w:tc>
          <w:tcPr>
            <w:tcW w:w="9630" w:type="dxa"/>
          </w:tcPr>
          <w:p w:rsidR="00663EBC" w:rsidRPr="00C6494F" w:rsidRDefault="00663EBC" w:rsidP="0001214E">
            <w:pPr>
              <w:rPr>
                <w:rFonts w:asciiTheme="majorHAnsi" w:hAnsiTheme="majorHAnsi"/>
                <w:sz w:val="24"/>
                <w:szCs w:val="24"/>
              </w:rPr>
            </w:pPr>
          </w:p>
        </w:tc>
        <w:tc>
          <w:tcPr>
            <w:tcW w:w="990" w:type="dxa"/>
          </w:tcPr>
          <w:p w:rsidR="00663EBC" w:rsidRPr="00C6494F" w:rsidRDefault="00663EBC" w:rsidP="0001214E">
            <w:pPr>
              <w:rPr>
                <w:rFonts w:asciiTheme="majorHAnsi" w:hAnsiTheme="majorHAnsi"/>
                <w:sz w:val="24"/>
                <w:szCs w:val="24"/>
              </w:rPr>
            </w:pPr>
          </w:p>
        </w:tc>
        <w:tc>
          <w:tcPr>
            <w:tcW w:w="1548" w:type="dxa"/>
            <w:gridSpan w:val="2"/>
          </w:tcPr>
          <w:p w:rsidR="00663EBC" w:rsidRPr="00C6494F" w:rsidRDefault="000B53DC" w:rsidP="0001214E">
            <w:pPr>
              <w:rPr>
                <w:rFonts w:asciiTheme="majorHAnsi" w:hAnsiTheme="majorHAnsi"/>
                <w:sz w:val="24"/>
                <w:szCs w:val="24"/>
              </w:rPr>
            </w:pPr>
            <w:r w:rsidRPr="00C6494F">
              <w:rPr>
                <w:rFonts w:asciiTheme="majorHAnsi" w:hAnsiTheme="majorHAnsi"/>
                <w:sz w:val="24"/>
                <w:szCs w:val="24"/>
              </w:rPr>
              <w:t>all</w:t>
            </w:r>
          </w:p>
        </w:tc>
      </w:tr>
      <w:tr w:rsidR="004D345D" w:rsidRPr="00C6494F" w:rsidTr="001D2F08">
        <w:trPr>
          <w:trHeight w:val="278"/>
        </w:trPr>
        <w:tc>
          <w:tcPr>
            <w:tcW w:w="2448" w:type="dxa"/>
            <w:gridSpan w:val="2"/>
          </w:tcPr>
          <w:p w:rsidR="00264C03" w:rsidRPr="00C6494F" w:rsidRDefault="00264C03" w:rsidP="0001214E">
            <w:pPr>
              <w:rPr>
                <w:rFonts w:asciiTheme="majorHAnsi" w:hAnsiTheme="majorHAnsi"/>
                <w:sz w:val="24"/>
                <w:szCs w:val="24"/>
              </w:rPr>
            </w:pPr>
            <w:r w:rsidRPr="00C6494F">
              <w:rPr>
                <w:rFonts w:asciiTheme="majorHAnsi" w:hAnsiTheme="majorHAnsi"/>
                <w:sz w:val="24"/>
                <w:szCs w:val="24"/>
              </w:rPr>
              <w:t>Adjourn</w:t>
            </w:r>
          </w:p>
        </w:tc>
        <w:tc>
          <w:tcPr>
            <w:tcW w:w="9630" w:type="dxa"/>
          </w:tcPr>
          <w:p w:rsidR="00264C03" w:rsidRPr="00C6494F" w:rsidRDefault="00264C03" w:rsidP="0001214E">
            <w:pPr>
              <w:rPr>
                <w:rFonts w:asciiTheme="majorHAnsi" w:hAnsiTheme="majorHAnsi"/>
                <w:sz w:val="24"/>
                <w:szCs w:val="24"/>
              </w:rPr>
            </w:pPr>
          </w:p>
        </w:tc>
        <w:tc>
          <w:tcPr>
            <w:tcW w:w="990" w:type="dxa"/>
          </w:tcPr>
          <w:p w:rsidR="00264C03" w:rsidRPr="00C6494F" w:rsidRDefault="00264C03" w:rsidP="0001214E">
            <w:pPr>
              <w:rPr>
                <w:rFonts w:asciiTheme="majorHAnsi" w:hAnsiTheme="majorHAnsi"/>
                <w:sz w:val="24"/>
                <w:szCs w:val="24"/>
              </w:rPr>
            </w:pPr>
          </w:p>
        </w:tc>
        <w:tc>
          <w:tcPr>
            <w:tcW w:w="1548" w:type="dxa"/>
            <w:gridSpan w:val="2"/>
          </w:tcPr>
          <w:p w:rsidR="00264C03" w:rsidRPr="00C6494F" w:rsidRDefault="00264C03" w:rsidP="0001214E">
            <w:pPr>
              <w:rPr>
                <w:rFonts w:asciiTheme="majorHAnsi" w:hAnsiTheme="majorHAnsi"/>
                <w:sz w:val="24"/>
                <w:szCs w:val="24"/>
              </w:rPr>
            </w:pPr>
          </w:p>
        </w:tc>
      </w:tr>
    </w:tbl>
    <w:p w:rsidR="009B1451" w:rsidRPr="00C6494F" w:rsidRDefault="009B1451" w:rsidP="00E36A8C">
      <w:pPr>
        <w:rPr>
          <w:rFonts w:asciiTheme="majorHAnsi" w:hAnsiTheme="majorHAnsi"/>
          <w:sz w:val="24"/>
          <w:szCs w:val="24"/>
          <w:u w:val="single"/>
        </w:rPr>
      </w:pPr>
    </w:p>
    <w:p w:rsidR="00663EBC" w:rsidRPr="00C6494F" w:rsidRDefault="00BD7097" w:rsidP="00E36A8C">
      <w:pPr>
        <w:rPr>
          <w:rFonts w:asciiTheme="majorHAnsi" w:hAnsiTheme="majorHAnsi"/>
          <w:sz w:val="24"/>
          <w:szCs w:val="24"/>
          <w:u w:val="single"/>
        </w:rPr>
      </w:pPr>
      <w:r w:rsidRPr="00C6494F">
        <w:rPr>
          <w:rFonts w:asciiTheme="majorHAnsi" w:hAnsiTheme="majorHAnsi"/>
          <w:sz w:val="24"/>
          <w:szCs w:val="24"/>
          <w:u w:val="single"/>
        </w:rPr>
        <w:t>Future</w:t>
      </w:r>
      <w:r w:rsidR="00D0653B" w:rsidRPr="00C6494F">
        <w:rPr>
          <w:rFonts w:asciiTheme="majorHAnsi" w:hAnsiTheme="majorHAnsi"/>
          <w:sz w:val="24"/>
          <w:szCs w:val="24"/>
          <w:u w:val="single"/>
        </w:rPr>
        <w:t xml:space="preserve"> Topics: </w:t>
      </w:r>
    </w:p>
    <w:p w:rsidR="00225301" w:rsidRPr="00C6494F" w:rsidRDefault="00225301" w:rsidP="00225301">
      <w:pPr>
        <w:rPr>
          <w:rFonts w:asciiTheme="majorHAnsi" w:hAnsiTheme="majorHAnsi"/>
          <w:sz w:val="24"/>
          <w:szCs w:val="24"/>
          <w:u w:val="single"/>
        </w:rPr>
      </w:pPr>
    </w:p>
    <w:p w:rsidR="00225301" w:rsidRPr="00C6494F" w:rsidRDefault="00225301" w:rsidP="00225301">
      <w:pPr>
        <w:rPr>
          <w:rFonts w:asciiTheme="majorHAnsi" w:hAnsiTheme="majorHAnsi"/>
          <w:sz w:val="24"/>
          <w:szCs w:val="24"/>
          <w:u w:val="single"/>
        </w:rPr>
      </w:pPr>
    </w:p>
    <w:p w:rsidR="007D301E" w:rsidRPr="00C6494F" w:rsidRDefault="00E36A8C" w:rsidP="00690827">
      <w:pPr>
        <w:rPr>
          <w:rFonts w:asciiTheme="majorHAnsi" w:hAnsiTheme="majorHAnsi"/>
          <w:sz w:val="24"/>
          <w:szCs w:val="24"/>
        </w:rPr>
      </w:pPr>
      <w:r w:rsidRPr="00C6494F">
        <w:rPr>
          <w:rFonts w:asciiTheme="majorHAnsi" w:hAnsiTheme="majorHAnsi"/>
          <w:sz w:val="24"/>
          <w:szCs w:val="24"/>
          <w:u w:val="single"/>
        </w:rPr>
        <w:t>Announcements:</w:t>
      </w:r>
    </w:p>
    <w:p w:rsidR="00A54470" w:rsidRPr="004D345D" w:rsidRDefault="007D301E" w:rsidP="00711296">
      <w:pPr>
        <w:pStyle w:val="ListParagraph"/>
        <w:numPr>
          <w:ilvl w:val="0"/>
          <w:numId w:val="35"/>
        </w:numPr>
      </w:pPr>
      <w:r w:rsidRPr="00C6494F">
        <w:t>The Oregon Public Health Division’s Health Promotion Chronic Disease Prevention Section (HPCDP), Multnomah County Health Department and LGBT Health Link</w:t>
      </w:r>
      <w:r w:rsidR="00FA605B" w:rsidRPr="00C6494F">
        <w:t xml:space="preserve"> (a national organization that has a CDC contract to support tobacco and cancer coordination with LGBT stakeholders)</w:t>
      </w:r>
      <w:r w:rsidRPr="00C6494F">
        <w:t xml:space="preserve"> were invited to jointly present at the upcoming LGBTQ Meaningful Care Conference in Portland on March 25</w:t>
      </w:r>
      <w:r w:rsidRPr="00C6494F">
        <w:rPr>
          <w:vertAlign w:val="superscript"/>
        </w:rPr>
        <w:t>th</w:t>
      </w:r>
      <w:r w:rsidRPr="00C6494F">
        <w:t xml:space="preserve">. Presentation topics include addressing chronic disease prevention in Oregon’s LGBTQ communities and outlining promising practices for LGBTQ communities throughout the cancer continuum.  Following the conference on March 28-30, LGBT Health Link may be interested in meeting with county partners and other related organizations to: 1) explore what local efforts are taking place around promoting LGBTQ cultural competency in health care and social services; 2) share current practices in LGBTQ cultural competency in health care; 3) and support building diverse networks of LGBTQ culturally competent providers. If you would like more information, have interest in participating and/or have suggestions for potential site visits, please contact Beth Sanders, Health Equity Systems Coordinator: </w:t>
      </w:r>
      <w:hyperlink r:id="rId8" w:history="1">
        <w:r w:rsidRPr="00C6494F">
          <w:rPr>
            <w:rStyle w:val="Hyperlink"/>
            <w:color w:val="auto"/>
          </w:rPr>
          <w:t>elizabeth.c.sanders@state.or.us</w:t>
        </w:r>
      </w:hyperlink>
      <w:r w:rsidRPr="00C6494F">
        <w:t xml:space="preserve"> or 971-673-0563. </w:t>
      </w:r>
      <w:bookmarkStart w:id="0" w:name="_GoBack"/>
      <w:bookmarkEnd w:id="0"/>
    </w:p>
    <w:sectPr w:rsidR="00A54470" w:rsidRPr="004D345D"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CE2" w:rsidRDefault="00911CE2" w:rsidP="003C38D2">
      <w:r>
        <w:separator/>
      </w:r>
    </w:p>
  </w:endnote>
  <w:endnote w:type="continuationSeparator" w:id="0">
    <w:p w:rsidR="00911CE2" w:rsidRDefault="00911CE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CE2" w:rsidRDefault="00911CE2" w:rsidP="003C38D2">
      <w:r>
        <w:separator/>
      </w:r>
    </w:p>
  </w:footnote>
  <w:footnote w:type="continuationSeparator" w:id="0">
    <w:p w:rsidR="00911CE2" w:rsidRDefault="00911CE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1DE37C3"/>
    <w:multiLevelType w:val="hybridMultilevel"/>
    <w:tmpl w:val="7ABC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3483919"/>
    <w:multiLevelType w:val="hybridMultilevel"/>
    <w:tmpl w:val="65A601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9"/>
  </w:num>
  <w:num w:numId="4">
    <w:abstractNumId w:val="34"/>
  </w:num>
  <w:num w:numId="5">
    <w:abstractNumId w:val="35"/>
  </w:num>
  <w:num w:numId="6">
    <w:abstractNumId w:val="6"/>
  </w:num>
  <w:num w:numId="7">
    <w:abstractNumId w:val="31"/>
  </w:num>
  <w:num w:numId="8">
    <w:abstractNumId w:val="13"/>
  </w:num>
  <w:num w:numId="9">
    <w:abstractNumId w:val="5"/>
  </w:num>
  <w:num w:numId="10">
    <w:abstractNumId w:val="0"/>
  </w:num>
  <w:num w:numId="11">
    <w:abstractNumId w:val="22"/>
  </w:num>
  <w:num w:numId="12">
    <w:abstractNumId w:val="26"/>
  </w:num>
  <w:num w:numId="13">
    <w:abstractNumId w:val="23"/>
  </w:num>
  <w:num w:numId="14">
    <w:abstractNumId w:val="7"/>
  </w:num>
  <w:num w:numId="15">
    <w:abstractNumId w:val="27"/>
  </w:num>
  <w:num w:numId="16">
    <w:abstractNumId w:val="10"/>
  </w:num>
  <w:num w:numId="17">
    <w:abstractNumId w:val="33"/>
  </w:num>
  <w:num w:numId="18">
    <w:abstractNumId w:val="12"/>
  </w:num>
  <w:num w:numId="19">
    <w:abstractNumId w:val="32"/>
  </w:num>
  <w:num w:numId="20">
    <w:abstractNumId w:val="18"/>
  </w:num>
  <w:num w:numId="21">
    <w:abstractNumId w:val="21"/>
  </w:num>
  <w:num w:numId="22">
    <w:abstractNumId w:val="24"/>
  </w:num>
  <w:num w:numId="23">
    <w:abstractNumId w:val="3"/>
  </w:num>
  <w:num w:numId="24">
    <w:abstractNumId w:val="19"/>
  </w:num>
  <w:num w:numId="25">
    <w:abstractNumId w:val="28"/>
  </w:num>
  <w:num w:numId="26">
    <w:abstractNumId w:val="17"/>
  </w:num>
  <w:num w:numId="27">
    <w:abstractNumId w:val="29"/>
  </w:num>
  <w:num w:numId="28">
    <w:abstractNumId w:val="8"/>
  </w:num>
  <w:num w:numId="29">
    <w:abstractNumId w:val="16"/>
  </w:num>
  <w:num w:numId="30">
    <w:abstractNumId w:val="30"/>
  </w:num>
  <w:num w:numId="31">
    <w:abstractNumId w:val="11"/>
  </w:num>
  <w:num w:numId="32">
    <w:abstractNumId w:val="1"/>
  </w:num>
  <w:num w:numId="33">
    <w:abstractNumId w:val="20"/>
  </w:num>
  <w:num w:numId="34">
    <w:abstractNumId w:val="15"/>
  </w:num>
  <w:num w:numId="35">
    <w:abstractNumId w:val="2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2B81"/>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64E68"/>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49F2"/>
    <w:rsid w:val="000B53DC"/>
    <w:rsid w:val="000B7365"/>
    <w:rsid w:val="000C0573"/>
    <w:rsid w:val="000C1D14"/>
    <w:rsid w:val="000C589D"/>
    <w:rsid w:val="000D23E6"/>
    <w:rsid w:val="000D4BDA"/>
    <w:rsid w:val="000D660A"/>
    <w:rsid w:val="000E27D1"/>
    <w:rsid w:val="000E2EEC"/>
    <w:rsid w:val="000E47EF"/>
    <w:rsid w:val="000E69CF"/>
    <w:rsid w:val="000E7A30"/>
    <w:rsid w:val="000F02DE"/>
    <w:rsid w:val="000F1305"/>
    <w:rsid w:val="000F4511"/>
    <w:rsid w:val="000F7335"/>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243C"/>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2F08"/>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03"/>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3AA"/>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19B0"/>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47CB3"/>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D345D"/>
    <w:rsid w:val="004E3069"/>
    <w:rsid w:val="004E51E3"/>
    <w:rsid w:val="004F1C10"/>
    <w:rsid w:val="004F3A9B"/>
    <w:rsid w:val="00500483"/>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519F"/>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79A5"/>
    <w:rsid w:val="005E1ED1"/>
    <w:rsid w:val="005E70FE"/>
    <w:rsid w:val="005E7ECC"/>
    <w:rsid w:val="005F0F5C"/>
    <w:rsid w:val="005F7616"/>
    <w:rsid w:val="0060035B"/>
    <w:rsid w:val="00600806"/>
    <w:rsid w:val="00600E33"/>
    <w:rsid w:val="00601576"/>
    <w:rsid w:val="006050B5"/>
    <w:rsid w:val="00605591"/>
    <w:rsid w:val="00605B22"/>
    <w:rsid w:val="00605F4F"/>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07B00"/>
    <w:rsid w:val="00711296"/>
    <w:rsid w:val="00714FC1"/>
    <w:rsid w:val="00717571"/>
    <w:rsid w:val="00721955"/>
    <w:rsid w:val="00724511"/>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52C2"/>
    <w:rsid w:val="007B5485"/>
    <w:rsid w:val="007B618D"/>
    <w:rsid w:val="007C7453"/>
    <w:rsid w:val="007D1113"/>
    <w:rsid w:val="007D301E"/>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4470"/>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9F9"/>
    <w:rsid w:val="00AE6BB8"/>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3AED"/>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494F"/>
    <w:rsid w:val="00C662A4"/>
    <w:rsid w:val="00C671D1"/>
    <w:rsid w:val="00C67AC5"/>
    <w:rsid w:val="00C72A6E"/>
    <w:rsid w:val="00C81DAB"/>
    <w:rsid w:val="00C85920"/>
    <w:rsid w:val="00C862DC"/>
    <w:rsid w:val="00C91559"/>
    <w:rsid w:val="00C946AE"/>
    <w:rsid w:val="00C96F0F"/>
    <w:rsid w:val="00CA2C80"/>
    <w:rsid w:val="00CB02F7"/>
    <w:rsid w:val="00CC350A"/>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57B7"/>
    <w:rsid w:val="00D17D44"/>
    <w:rsid w:val="00D20442"/>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0578"/>
    <w:rsid w:val="00F34504"/>
    <w:rsid w:val="00F41EE5"/>
    <w:rsid w:val="00F4497D"/>
    <w:rsid w:val="00F502B8"/>
    <w:rsid w:val="00F50625"/>
    <w:rsid w:val="00F522D8"/>
    <w:rsid w:val="00F53500"/>
    <w:rsid w:val="00F540EE"/>
    <w:rsid w:val="00F56719"/>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605B"/>
    <w:rsid w:val="00FA73F0"/>
    <w:rsid w:val="00FB439A"/>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D982AD-CB79-4507-B3EA-13DB0F9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31869023">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c.sanders@state.or.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E12FC-70B9-4C07-A52E-02002683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Freewynn Sabrina L</cp:lastModifiedBy>
  <cp:revision>27</cp:revision>
  <cp:lastPrinted>2014-09-03T23:16:00Z</cp:lastPrinted>
  <dcterms:created xsi:type="dcterms:W3CDTF">2014-09-17T00:36:00Z</dcterms:created>
  <dcterms:modified xsi:type="dcterms:W3CDTF">2016-03-01T16:13:00Z</dcterms:modified>
</cp:coreProperties>
</file>