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6E6A79" w:rsidRDefault="00DC4E04" w:rsidP="00544ACA">
      <w:pPr>
        <w:jc w:val="center"/>
        <w:rPr>
          <w:rFonts w:asciiTheme="majorHAnsi" w:hAnsiTheme="majorHAnsi"/>
          <w:sz w:val="24"/>
          <w:szCs w:val="24"/>
        </w:rPr>
      </w:pPr>
      <w:r w:rsidRPr="006E6A79">
        <w:rPr>
          <w:rFonts w:asciiTheme="majorHAnsi" w:hAnsiTheme="majorHAnsi"/>
          <w:sz w:val="24"/>
          <w:szCs w:val="24"/>
        </w:rPr>
        <w:t xml:space="preserve">CLHO </w:t>
      </w:r>
      <w:r w:rsidR="00ED2BFA" w:rsidRPr="006E6A79">
        <w:rPr>
          <w:rFonts w:asciiTheme="majorHAnsi" w:hAnsiTheme="majorHAnsi"/>
          <w:sz w:val="24"/>
          <w:szCs w:val="24"/>
        </w:rPr>
        <w:t xml:space="preserve">Healthy Communities </w:t>
      </w:r>
      <w:r w:rsidRPr="006E6A79">
        <w:rPr>
          <w:rFonts w:asciiTheme="majorHAnsi" w:hAnsiTheme="majorHAnsi"/>
          <w:sz w:val="24"/>
          <w:szCs w:val="24"/>
        </w:rPr>
        <w:t xml:space="preserve">Committee Meeting </w:t>
      </w:r>
    </w:p>
    <w:p w:rsidR="009B54A7" w:rsidRPr="006E6A79" w:rsidRDefault="00DC4E04" w:rsidP="00A764F2">
      <w:pPr>
        <w:jc w:val="center"/>
        <w:rPr>
          <w:rFonts w:asciiTheme="majorHAnsi" w:hAnsiTheme="majorHAnsi"/>
          <w:sz w:val="24"/>
          <w:szCs w:val="24"/>
        </w:rPr>
      </w:pPr>
      <w:r w:rsidRPr="006E6A79">
        <w:rPr>
          <w:rFonts w:asciiTheme="majorHAnsi" w:hAnsiTheme="majorHAnsi"/>
          <w:sz w:val="24"/>
          <w:szCs w:val="24"/>
        </w:rPr>
        <w:t>Date</w:t>
      </w:r>
      <w:r w:rsidR="00ED2BFA" w:rsidRPr="006E6A79">
        <w:rPr>
          <w:rFonts w:asciiTheme="majorHAnsi" w:hAnsiTheme="majorHAnsi"/>
          <w:sz w:val="24"/>
          <w:szCs w:val="24"/>
        </w:rPr>
        <w:t xml:space="preserve">:  Thursday, </w:t>
      </w:r>
      <w:r w:rsidR="00C22AEC" w:rsidRPr="006E6A79">
        <w:rPr>
          <w:rFonts w:asciiTheme="majorHAnsi" w:hAnsiTheme="majorHAnsi"/>
          <w:sz w:val="24"/>
          <w:szCs w:val="24"/>
        </w:rPr>
        <w:t>March 5, 2015</w:t>
      </w:r>
    </w:p>
    <w:p w:rsidR="00ED2BFA" w:rsidRPr="006E6A79" w:rsidRDefault="00ED2BFA" w:rsidP="00A764F2">
      <w:pPr>
        <w:jc w:val="center"/>
        <w:rPr>
          <w:rFonts w:asciiTheme="majorHAnsi" w:hAnsiTheme="majorHAnsi"/>
          <w:sz w:val="24"/>
          <w:szCs w:val="24"/>
        </w:rPr>
      </w:pPr>
      <w:r w:rsidRPr="006E6A79">
        <w:rPr>
          <w:rFonts w:asciiTheme="majorHAnsi" w:hAnsiTheme="majorHAnsi"/>
          <w:sz w:val="24"/>
          <w:szCs w:val="24"/>
        </w:rPr>
        <w:t>1:00 – 3:00 pm</w:t>
      </w:r>
    </w:p>
    <w:p w:rsidR="00576C4D" w:rsidRPr="006E6A79" w:rsidRDefault="00576C4D" w:rsidP="00A764F2">
      <w:pPr>
        <w:jc w:val="center"/>
        <w:rPr>
          <w:rFonts w:asciiTheme="majorHAnsi" w:hAnsiTheme="majorHAnsi"/>
          <w:sz w:val="24"/>
          <w:szCs w:val="24"/>
        </w:rPr>
      </w:pPr>
      <w:r w:rsidRPr="006E6A79">
        <w:rPr>
          <w:rFonts w:asciiTheme="majorHAnsi" w:hAnsiTheme="majorHAnsi"/>
          <w:sz w:val="24"/>
          <w:szCs w:val="24"/>
        </w:rPr>
        <w:t xml:space="preserve">PSOB Room </w:t>
      </w:r>
      <w:r w:rsidR="00C22AEC" w:rsidRPr="006E6A79">
        <w:rPr>
          <w:rFonts w:asciiTheme="majorHAnsi" w:hAnsiTheme="majorHAnsi"/>
          <w:sz w:val="24"/>
          <w:szCs w:val="24"/>
        </w:rPr>
        <w:t>705C</w:t>
      </w:r>
      <w:r w:rsidRPr="006E6A79">
        <w:rPr>
          <w:rFonts w:asciiTheme="majorHAnsi" w:hAnsiTheme="majorHAnsi"/>
          <w:sz w:val="24"/>
          <w:szCs w:val="24"/>
        </w:rPr>
        <w:t xml:space="preserve"> or </w:t>
      </w:r>
      <w:r w:rsidR="00923DB2" w:rsidRPr="006E6A79">
        <w:rPr>
          <w:rFonts w:asciiTheme="majorHAnsi" w:hAnsiTheme="majorHAnsi"/>
          <w:sz w:val="24"/>
          <w:szCs w:val="24"/>
        </w:rPr>
        <w:t>by</w:t>
      </w:r>
    </w:p>
    <w:p w:rsidR="008B441B" w:rsidRPr="006E6A79" w:rsidRDefault="00923DB2" w:rsidP="00576C4D">
      <w:pPr>
        <w:jc w:val="center"/>
        <w:rPr>
          <w:rFonts w:asciiTheme="majorHAnsi" w:hAnsiTheme="majorHAnsi" w:cstheme="minorHAnsi"/>
          <w:sz w:val="24"/>
          <w:szCs w:val="24"/>
        </w:rPr>
      </w:pPr>
      <w:r w:rsidRPr="006E6A79">
        <w:rPr>
          <w:rFonts w:asciiTheme="majorHAnsi" w:hAnsiTheme="majorHAnsi" w:cstheme="minorHAnsi"/>
          <w:sz w:val="24"/>
          <w:szCs w:val="24"/>
        </w:rPr>
        <w:t>Conference call number:</w:t>
      </w:r>
    </w:p>
    <w:p w:rsidR="00576C4D" w:rsidRPr="006E6A79" w:rsidRDefault="008B441B" w:rsidP="00576C4D">
      <w:pPr>
        <w:jc w:val="center"/>
        <w:rPr>
          <w:rFonts w:asciiTheme="majorHAnsi" w:hAnsiTheme="majorHAnsi" w:cstheme="minorHAnsi"/>
          <w:sz w:val="24"/>
          <w:szCs w:val="24"/>
        </w:rPr>
      </w:pPr>
      <w:r w:rsidRPr="006E6A79">
        <w:rPr>
          <w:rFonts w:asciiTheme="majorHAnsi" w:hAnsiTheme="majorHAnsi" w:cstheme="minorHAnsi"/>
          <w:sz w:val="24"/>
          <w:szCs w:val="24"/>
        </w:rPr>
        <w:t>Dial: (888) 363-4735</w:t>
      </w:r>
    </w:p>
    <w:p w:rsidR="00576C4D" w:rsidRPr="006E6A79" w:rsidRDefault="008B441B" w:rsidP="00576C4D">
      <w:pPr>
        <w:jc w:val="center"/>
        <w:rPr>
          <w:rFonts w:asciiTheme="majorHAnsi" w:hAnsiTheme="majorHAnsi" w:cstheme="minorHAnsi"/>
          <w:sz w:val="24"/>
          <w:szCs w:val="24"/>
        </w:rPr>
      </w:pPr>
      <w:r w:rsidRPr="006E6A79">
        <w:rPr>
          <w:rFonts w:asciiTheme="majorHAnsi" w:hAnsiTheme="majorHAnsi" w:cstheme="minorHAnsi"/>
          <w:sz w:val="24"/>
          <w:szCs w:val="24"/>
        </w:rPr>
        <w:t>Participant: 868346</w:t>
      </w:r>
    </w:p>
    <w:p w:rsidR="00B12572" w:rsidRPr="006E6A79" w:rsidRDefault="008B441B" w:rsidP="00B12572">
      <w:pPr>
        <w:jc w:val="center"/>
        <w:rPr>
          <w:rFonts w:asciiTheme="majorHAnsi" w:hAnsiTheme="majorHAnsi" w:cstheme="minorHAnsi"/>
          <w:sz w:val="24"/>
          <w:szCs w:val="24"/>
        </w:rPr>
      </w:pPr>
      <w:r w:rsidRPr="006E6A79">
        <w:rPr>
          <w:rFonts w:asciiTheme="majorHAnsi" w:hAnsiTheme="majorHAnsi" w:cstheme="minorHAnsi"/>
          <w:sz w:val="24"/>
          <w:szCs w:val="24"/>
        </w:rPr>
        <w:t>Host: (Portland): 862516</w:t>
      </w:r>
    </w:p>
    <w:p w:rsidR="009B54A7" w:rsidRPr="006E6A79" w:rsidRDefault="009B54A7" w:rsidP="00A764F2">
      <w:pPr>
        <w:jc w:val="center"/>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4140"/>
        <w:gridCol w:w="5580"/>
        <w:gridCol w:w="2088"/>
      </w:tblGrid>
      <w:tr w:rsidR="009B54A7" w:rsidRPr="006E6A79" w:rsidTr="00314E46">
        <w:tc>
          <w:tcPr>
            <w:tcW w:w="14616" w:type="dxa"/>
            <w:gridSpan w:val="4"/>
          </w:tcPr>
          <w:p w:rsidR="009B54A7" w:rsidRPr="006E6A79" w:rsidRDefault="00752C74" w:rsidP="00BD7F91">
            <w:pPr>
              <w:jc w:val="center"/>
              <w:rPr>
                <w:rFonts w:asciiTheme="majorHAnsi" w:hAnsiTheme="majorHAnsi"/>
                <w:sz w:val="24"/>
                <w:szCs w:val="24"/>
              </w:rPr>
            </w:pPr>
            <w:r w:rsidRPr="006E6A79">
              <w:rPr>
                <w:rFonts w:asciiTheme="majorHAnsi" w:hAnsiTheme="majorHAnsi"/>
                <w:sz w:val="24"/>
                <w:szCs w:val="24"/>
              </w:rPr>
              <w:t>Agenda</w:t>
            </w:r>
          </w:p>
        </w:tc>
      </w:tr>
      <w:tr w:rsidR="009B54A7" w:rsidRPr="006E6A79" w:rsidTr="00D468C1">
        <w:trPr>
          <w:trHeight w:val="170"/>
        </w:trPr>
        <w:tc>
          <w:tcPr>
            <w:tcW w:w="2808" w:type="dxa"/>
          </w:tcPr>
          <w:p w:rsidR="009B54A7" w:rsidRPr="006E6A79" w:rsidRDefault="009B54A7" w:rsidP="00BD7F91">
            <w:pPr>
              <w:jc w:val="center"/>
              <w:rPr>
                <w:rFonts w:asciiTheme="majorHAnsi" w:hAnsiTheme="majorHAnsi"/>
                <w:sz w:val="24"/>
                <w:szCs w:val="24"/>
              </w:rPr>
            </w:pPr>
            <w:r w:rsidRPr="006E6A79">
              <w:rPr>
                <w:rFonts w:asciiTheme="majorHAnsi" w:hAnsiTheme="majorHAnsi"/>
                <w:sz w:val="24"/>
                <w:szCs w:val="24"/>
              </w:rPr>
              <w:t>Agenda Item</w:t>
            </w:r>
          </w:p>
        </w:tc>
        <w:tc>
          <w:tcPr>
            <w:tcW w:w="4140" w:type="dxa"/>
          </w:tcPr>
          <w:p w:rsidR="009B54A7" w:rsidRPr="006E6A79" w:rsidRDefault="009B54A7" w:rsidP="00BD7F91">
            <w:pPr>
              <w:jc w:val="center"/>
              <w:rPr>
                <w:rFonts w:asciiTheme="majorHAnsi" w:hAnsiTheme="majorHAnsi"/>
                <w:sz w:val="24"/>
                <w:szCs w:val="24"/>
              </w:rPr>
            </w:pPr>
            <w:r w:rsidRPr="006E6A79">
              <w:rPr>
                <w:rFonts w:asciiTheme="majorHAnsi" w:hAnsiTheme="majorHAnsi"/>
                <w:sz w:val="24"/>
                <w:szCs w:val="24"/>
              </w:rPr>
              <w:t>Detail</w:t>
            </w:r>
          </w:p>
        </w:tc>
        <w:tc>
          <w:tcPr>
            <w:tcW w:w="5580" w:type="dxa"/>
          </w:tcPr>
          <w:p w:rsidR="009B54A7" w:rsidRPr="006E6A79" w:rsidRDefault="009B54A7" w:rsidP="00BD7F91">
            <w:pPr>
              <w:jc w:val="center"/>
              <w:rPr>
                <w:rFonts w:asciiTheme="majorHAnsi" w:hAnsiTheme="majorHAnsi"/>
                <w:sz w:val="24"/>
                <w:szCs w:val="24"/>
              </w:rPr>
            </w:pPr>
            <w:r w:rsidRPr="006E6A79">
              <w:rPr>
                <w:rFonts w:asciiTheme="majorHAnsi" w:hAnsiTheme="majorHAnsi"/>
                <w:sz w:val="24"/>
                <w:szCs w:val="24"/>
              </w:rPr>
              <w:t>Action Item</w:t>
            </w:r>
          </w:p>
        </w:tc>
        <w:tc>
          <w:tcPr>
            <w:tcW w:w="2088" w:type="dxa"/>
          </w:tcPr>
          <w:p w:rsidR="009B54A7" w:rsidRPr="006E6A79" w:rsidRDefault="009B54A7" w:rsidP="00BD7F91">
            <w:pPr>
              <w:jc w:val="center"/>
              <w:rPr>
                <w:rFonts w:asciiTheme="majorHAnsi" w:hAnsiTheme="majorHAnsi"/>
                <w:sz w:val="24"/>
                <w:szCs w:val="24"/>
              </w:rPr>
            </w:pPr>
            <w:r w:rsidRPr="006E6A79">
              <w:rPr>
                <w:rFonts w:asciiTheme="majorHAnsi" w:hAnsiTheme="majorHAnsi"/>
                <w:sz w:val="24"/>
                <w:szCs w:val="24"/>
              </w:rPr>
              <w:t>Responsible Party</w:t>
            </w:r>
          </w:p>
        </w:tc>
      </w:tr>
      <w:tr w:rsidR="00DF5CDF" w:rsidRPr="006E6A79" w:rsidTr="00D468C1">
        <w:trPr>
          <w:trHeight w:val="692"/>
        </w:trPr>
        <w:tc>
          <w:tcPr>
            <w:tcW w:w="2808" w:type="dxa"/>
          </w:tcPr>
          <w:p w:rsidR="00DF5CDF" w:rsidRPr="006E6A79" w:rsidRDefault="00783ABB" w:rsidP="00783ABB">
            <w:pPr>
              <w:rPr>
                <w:rFonts w:asciiTheme="majorHAnsi" w:hAnsiTheme="majorHAnsi"/>
                <w:sz w:val="24"/>
                <w:szCs w:val="24"/>
              </w:rPr>
            </w:pPr>
            <w:r w:rsidRPr="006E6A79">
              <w:rPr>
                <w:rFonts w:asciiTheme="majorHAnsi" w:hAnsiTheme="majorHAnsi"/>
                <w:sz w:val="24"/>
                <w:szCs w:val="24"/>
              </w:rPr>
              <w:t xml:space="preserve">Welcome &amp; Introductions </w:t>
            </w:r>
            <w:r w:rsidR="00BD7097" w:rsidRPr="006E6A79">
              <w:rPr>
                <w:rFonts w:asciiTheme="majorHAnsi" w:hAnsiTheme="majorHAnsi"/>
                <w:sz w:val="24"/>
                <w:szCs w:val="24"/>
              </w:rPr>
              <w:t>(5 min</w:t>
            </w:r>
            <w:r w:rsidR="00F540EE" w:rsidRPr="006E6A79">
              <w:rPr>
                <w:rFonts w:asciiTheme="majorHAnsi" w:hAnsiTheme="majorHAnsi"/>
                <w:sz w:val="24"/>
                <w:szCs w:val="24"/>
              </w:rPr>
              <w:t>) 1:00 – 1:05</w:t>
            </w:r>
          </w:p>
        </w:tc>
        <w:tc>
          <w:tcPr>
            <w:tcW w:w="4140" w:type="dxa"/>
          </w:tcPr>
          <w:p w:rsidR="00DF5CDF" w:rsidRPr="006E6A79" w:rsidRDefault="00783ABB" w:rsidP="00E6249B">
            <w:pPr>
              <w:rPr>
                <w:rFonts w:asciiTheme="majorHAnsi" w:hAnsiTheme="majorHAnsi"/>
                <w:sz w:val="24"/>
                <w:szCs w:val="24"/>
              </w:rPr>
            </w:pPr>
            <w:r w:rsidRPr="006E6A79">
              <w:rPr>
                <w:rFonts w:asciiTheme="majorHAnsi" w:hAnsiTheme="majorHAnsi"/>
                <w:sz w:val="24"/>
                <w:szCs w:val="24"/>
              </w:rPr>
              <w:t>Attendance</w:t>
            </w:r>
          </w:p>
        </w:tc>
        <w:tc>
          <w:tcPr>
            <w:tcW w:w="5580" w:type="dxa"/>
          </w:tcPr>
          <w:p w:rsidR="00E30E9E" w:rsidRDefault="00700B00" w:rsidP="00E30E9E">
            <w:pPr>
              <w:rPr>
                <w:rFonts w:asciiTheme="majorHAnsi" w:hAnsiTheme="majorHAnsi"/>
                <w:sz w:val="24"/>
                <w:szCs w:val="24"/>
              </w:rPr>
            </w:pPr>
            <w:r>
              <w:rPr>
                <w:rFonts w:asciiTheme="majorHAnsi" w:hAnsiTheme="majorHAnsi"/>
                <w:sz w:val="24"/>
                <w:szCs w:val="24"/>
                <w:u w:val="single"/>
              </w:rPr>
              <w:t>County Members:</w:t>
            </w:r>
          </w:p>
          <w:p w:rsidR="00700B00" w:rsidRDefault="00700B00" w:rsidP="00E30E9E">
            <w:pPr>
              <w:rPr>
                <w:rFonts w:asciiTheme="majorHAnsi" w:hAnsiTheme="majorHAnsi"/>
                <w:sz w:val="24"/>
                <w:szCs w:val="24"/>
              </w:rPr>
            </w:pPr>
            <w:proofErr w:type="spellStart"/>
            <w:r>
              <w:rPr>
                <w:rFonts w:asciiTheme="majorHAnsi" w:hAnsiTheme="majorHAnsi"/>
                <w:sz w:val="24"/>
                <w:szCs w:val="24"/>
              </w:rPr>
              <w:t>Charlie</w:t>
            </w:r>
            <w:r w:rsidR="00D468C1">
              <w:rPr>
                <w:rFonts w:asciiTheme="majorHAnsi" w:hAnsiTheme="majorHAnsi"/>
                <w:sz w:val="24"/>
                <w:szCs w:val="24"/>
              </w:rPr>
              <w:t>Fautin</w:t>
            </w:r>
            <w:proofErr w:type="spellEnd"/>
            <w:r>
              <w:rPr>
                <w:rFonts w:asciiTheme="majorHAnsi" w:hAnsiTheme="majorHAnsi"/>
                <w:sz w:val="24"/>
                <w:szCs w:val="24"/>
              </w:rPr>
              <w:t xml:space="preserve">/Benton, Tanya Phillips/Jackson, Tatiana Dierwechter/Benton, Julie Albers/Clackamas, Julie Hamilton/Clackamas, Sherrie Ford/Columbia, Kris Williams/Crook, Penny </w:t>
            </w:r>
            <w:r w:rsidR="00D468C1">
              <w:rPr>
                <w:rFonts w:asciiTheme="majorHAnsi" w:hAnsiTheme="majorHAnsi"/>
                <w:sz w:val="24"/>
                <w:szCs w:val="24"/>
              </w:rPr>
              <w:t xml:space="preserve">Pritchard </w:t>
            </w:r>
            <w:r>
              <w:rPr>
                <w:rFonts w:asciiTheme="majorHAnsi" w:hAnsiTheme="majorHAnsi"/>
                <w:sz w:val="24"/>
                <w:szCs w:val="24"/>
              </w:rPr>
              <w:t>(fill in</w:t>
            </w:r>
            <w:r w:rsidR="0005024C">
              <w:rPr>
                <w:rFonts w:asciiTheme="majorHAnsi" w:hAnsiTheme="majorHAnsi"/>
                <w:sz w:val="24"/>
                <w:szCs w:val="24"/>
              </w:rPr>
              <w:t xml:space="preserve"> for Tom Kuhn</w:t>
            </w:r>
            <w:r>
              <w:rPr>
                <w:rFonts w:asciiTheme="majorHAnsi" w:hAnsiTheme="majorHAnsi"/>
                <w:sz w:val="24"/>
                <w:szCs w:val="24"/>
              </w:rPr>
              <w:t xml:space="preserve">)/Deschutes, Marilynn Sutherland/Klamath, </w:t>
            </w:r>
            <w:proofErr w:type="spellStart"/>
            <w:r>
              <w:rPr>
                <w:rFonts w:asciiTheme="majorHAnsi" w:hAnsiTheme="majorHAnsi"/>
                <w:sz w:val="24"/>
                <w:szCs w:val="24"/>
              </w:rPr>
              <w:t>Adelle</w:t>
            </w:r>
            <w:proofErr w:type="spellEnd"/>
            <w:r>
              <w:rPr>
                <w:rFonts w:asciiTheme="majorHAnsi" w:hAnsiTheme="majorHAnsi"/>
                <w:sz w:val="24"/>
                <w:szCs w:val="24"/>
              </w:rPr>
              <w:t xml:space="preserve"> Adams/Multnomah, Jenna </w:t>
            </w:r>
            <w:proofErr w:type="spellStart"/>
            <w:r>
              <w:rPr>
                <w:rFonts w:asciiTheme="majorHAnsi" w:hAnsiTheme="majorHAnsi"/>
                <w:sz w:val="24"/>
                <w:szCs w:val="24"/>
              </w:rPr>
              <w:t>Lorenzen</w:t>
            </w:r>
            <w:proofErr w:type="spellEnd"/>
            <w:r>
              <w:rPr>
                <w:rFonts w:asciiTheme="majorHAnsi" w:hAnsiTheme="majorHAnsi"/>
                <w:sz w:val="24"/>
                <w:szCs w:val="24"/>
              </w:rPr>
              <w:t xml:space="preserve"> (Hogan)/Umatilla, Janet Jones/Umatilla, Amanda Garcia-Snell/Washington</w:t>
            </w:r>
          </w:p>
          <w:p w:rsidR="00A90439" w:rsidRDefault="00A90439" w:rsidP="00E30E9E">
            <w:pPr>
              <w:rPr>
                <w:rFonts w:asciiTheme="majorHAnsi" w:hAnsiTheme="majorHAnsi"/>
                <w:sz w:val="24"/>
                <w:szCs w:val="24"/>
              </w:rPr>
            </w:pPr>
            <w:r>
              <w:rPr>
                <w:rFonts w:asciiTheme="majorHAnsi" w:hAnsiTheme="majorHAnsi"/>
                <w:sz w:val="24"/>
                <w:szCs w:val="24"/>
                <w:u w:val="single"/>
              </w:rPr>
              <w:t>Public Health Division Staff:</w:t>
            </w:r>
          </w:p>
          <w:p w:rsidR="00A90439" w:rsidRDefault="00A90439" w:rsidP="00E30E9E">
            <w:pPr>
              <w:rPr>
                <w:rFonts w:asciiTheme="majorHAnsi" w:hAnsiTheme="majorHAnsi"/>
                <w:sz w:val="24"/>
                <w:szCs w:val="24"/>
              </w:rPr>
            </w:pPr>
            <w:r>
              <w:rPr>
                <w:rFonts w:asciiTheme="majorHAnsi" w:hAnsiTheme="majorHAnsi"/>
                <w:sz w:val="24"/>
                <w:szCs w:val="24"/>
              </w:rPr>
              <w:t xml:space="preserve">Karen Girard/HPCDP, Sabrina Freewynn/HPCDP, Stacey Schubert/HPCDP, Ronit Zusman/Community Liaison, </w:t>
            </w:r>
          </w:p>
          <w:p w:rsidR="00A90439" w:rsidRDefault="00A90439" w:rsidP="00E30E9E">
            <w:pPr>
              <w:rPr>
                <w:rFonts w:asciiTheme="majorHAnsi" w:hAnsiTheme="majorHAnsi"/>
                <w:sz w:val="24"/>
                <w:szCs w:val="24"/>
              </w:rPr>
            </w:pPr>
            <w:r>
              <w:rPr>
                <w:rFonts w:asciiTheme="majorHAnsi" w:hAnsiTheme="majorHAnsi"/>
                <w:sz w:val="24"/>
                <w:szCs w:val="24"/>
                <w:u w:val="single"/>
              </w:rPr>
              <w:t>Guest Presenters:</w:t>
            </w:r>
          </w:p>
          <w:p w:rsidR="00A90439" w:rsidRPr="006E6A79" w:rsidRDefault="00A90439" w:rsidP="00A90439">
            <w:pPr>
              <w:rPr>
                <w:rFonts w:asciiTheme="majorHAnsi" w:hAnsiTheme="majorHAnsi"/>
                <w:bCs/>
                <w:sz w:val="24"/>
                <w:szCs w:val="24"/>
              </w:rPr>
            </w:pPr>
            <w:r>
              <w:rPr>
                <w:rFonts w:asciiTheme="majorHAnsi" w:hAnsiTheme="majorHAnsi"/>
                <w:sz w:val="24"/>
                <w:szCs w:val="24"/>
              </w:rPr>
              <w:t>Julie Early-</w:t>
            </w:r>
            <w:proofErr w:type="spellStart"/>
            <w:r>
              <w:rPr>
                <w:rFonts w:asciiTheme="majorHAnsi" w:hAnsiTheme="majorHAnsi"/>
                <w:sz w:val="24"/>
                <w:szCs w:val="24"/>
              </w:rPr>
              <w:t>Alberts</w:t>
            </w:r>
            <w:proofErr w:type="spellEnd"/>
            <w:r>
              <w:rPr>
                <w:rFonts w:asciiTheme="majorHAnsi" w:hAnsiTheme="majorHAnsi"/>
                <w:sz w:val="24"/>
                <w:szCs w:val="24"/>
              </w:rPr>
              <w:t>/Climate and Health Planning Toolkit, Kari Christensen/</w:t>
            </w:r>
            <w:r w:rsidRPr="006E6A79">
              <w:rPr>
                <w:rFonts w:asciiTheme="majorHAnsi" w:hAnsiTheme="majorHAnsi"/>
                <w:bCs/>
                <w:sz w:val="24"/>
                <w:szCs w:val="24"/>
              </w:rPr>
              <w:t>Land Re-use and Brownfields Redevelopment Grant</w:t>
            </w:r>
          </w:p>
          <w:p w:rsidR="00A90439" w:rsidRPr="00A90439" w:rsidRDefault="00A90439" w:rsidP="00E30E9E">
            <w:pPr>
              <w:rPr>
                <w:rFonts w:asciiTheme="majorHAnsi" w:hAnsiTheme="majorHAnsi"/>
                <w:sz w:val="24"/>
                <w:szCs w:val="24"/>
              </w:rPr>
            </w:pPr>
          </w:p>
        </w:tc>
        <w:tc>
          <w:tcPr>
            <w:tcW w:w="2088" w:type="dxa"/>
          </w:tcPr>
          <w:p w:rsidR="00DF5CDF" w:rsidRPr="006E6A79" w:rsidRDefault="009230DC" w:rsidP="003E0C0E">
            <w:pPr>
              <w:rPr>
                <w:rFonts w:asciiTheme="majorHAnsi" w:hAnsiTheme="majorHAnsi"/>
                <w:sz w:val="24"/>
                <w:szCs w:val="24"/>
              </w:rPr>
            </w:pPr>
            <w:r w:rsidRPr="006E6A79">
              <w:rPr>
                <w:rFonts w:asciiTheme="majorHAnsi" w:hAnsiTheme="majorHAnsi"/>
                <w:sz w:val="24"/>
                <w:szCs w:val="24"/>
              </w:rPr>
              <w:t>Tanya Phillips</w:t>
            </w:r>
            <w:r w:rsidR="006E6A79">
              <w:rPr>
                <w:rFonts w:asciiTheme="majorHAnsi" w:hAnsiTheme="majorHAnsi"/>
                <w:sz w:val="24"/>
                <w:szCs w:val="24"/>
              </w:rPr>
              <w:t xml:space="preserve"> and Charlie Fautin</w:t>
            </w:r>
          </w:p>
        </w:tc>
      </w:tr>
      <w:tr w:rsidR="00DF5CDF" w:rsidRPr="006E6A79" w:rsidTr="00D468C1">
        <w:trPr>
          <w:trHeight w:val="863"/>
        </w:trPr>
        <w:tc>
          <w:tcPr>
            <w:tcW w:w="2808" w:type="dxa"/>
          </w:tcPr>
          <w:p w:rsidR="009230DC" w:rsidRPr="006E6A79" w:rsidRDefault="00783ABB" w:rsidP="00783ABB">
            <w:pPr>
              <w:rPr>
                <w:rFonts w:asciiTheme="majorHAnsi" w:hAnsiTheme="majorHAnsi"/>
                <w:sz w:val="24"/>
                <w:szCs w:val="24"/>
              </w:rPr>
            </w:pPr>
            <w:r w:rsidRPr="006E6A79">
              <w:rPr>
                <w:rFonts w:asciiTheme="majorHAnsi" w:hAnsiTheme="majorHAnsi"/>
                <w:sz w:val="24"/>
                <w:szCs w:val="24"/>
              </w:rPr>
              <w:t>Review of Prior Month’s Minutes</w:t>
            </w:r>
            <w:r w:rsidR="00DF5CDF" w:rsidRPr="006E6A79">
              <w:rPr>
                <w:rFonts w:asciiTheme="majorHAnsi" w:hAnsiTheme="majorHAnsi"/>
                <w:sz w:val="24"/>
                <w:szCs w:val="24"/>
              </w:rPr>
              <w:t xml:space="preserve"> </w:t>
            </w:r>
            <w:r w:rsidRPr="006E6A79">
              <w:rPr>
                <w:rFonts w:asciiTheme="majorHAnsi" w:hAnsiTheme="majorHAnsi"/>
                <w:sz w:val="24"/>
                <w:szCs w:val="24"/>
              </w:rPr>
              <w:t>(5</w:t>
            </w:r>
            <w:r w:rsidR="00BD7097" w:rsidRPr="006E6A79">
              <w:rPr>
                <w:rFonts w:asciiTheme="majorHAnsi" w:hAnsiTheme="majorHAnsi"/>
                <w:sz w:val="24"/>
                <w:szCs w:val="24"/>
              </w:rPr>
              <w:t xml:space="preserve"> min</w:t>
            </w:r>
            <w:r w:rsidR="00DF5CDF" w:rsidRPr="006E6A79">
              <w:rPr>
                <w:rFonts w:asciiTheme="majorHAnsi" w:hAnsiTheme="majorHAnsi"/>
                <w:sz w:val="24"/>
                <w:szCs w:val="24"/>
              </w:rPr>
              <w:t>)</w:t>
            </w:r>
            <w:r w:rsidR="00F540EE" w:rsidRPr="006E6A79">
              <w:rPr>
                <w:rFonts w:asciiTheme="majorHAnsi" w:hAnsiTheme="majorHAnsi"/>
                <w:sz w:val="24"/>
                <w:szCs w:val="24"/>
              </w:rPr>
              <w:t xml:space="preserve"> </w:t>
            </w:r>
          </w:p>
          <w:p w:rsidR="00DF5CDF" w:rsidRPr="006E6A79" w:rsidRDefault="00F540EE" w:rsidP="00783ABB">
            <w:pPr>
              <w:rPr>
                <w:rFonts w:asciiTheme="majorHAnsi" w:hAnsiTheme="majorHAnsi"/>
                <w:sz w:val="24"/>
                <w:szCs w:val="24"/>
              </w:rPr>
            </w:pPr>
            <w:r w:rsidRPr="006E6A79">
              <w:rPr>
                <w:rFonts w:asciiTheme="majorHAnsi" w:hAnsiTheme="majorHAnsi"/>
                <w:sz w:val="24"/>
                <w:szCs w:val="24"/>
              </w:rPr>
              <w:t>1:</w:t>
            </w:r>
            <w:r w:rsidR="00012097" w:rsidRPr="006E6A79">
              <w:rPr>
                <w:rFonts w:asciiTheme="majorHAnsi" w:hAnsiTheme="majorHAnsi"/>
                <w:sz w:val="24"/>
                <w:szCs w:val="24"/>
              </w:rPr>
              <w:t>0</w:t>
            </w:r>
            <w:r w:rsidRPr="006E6A79">
              <w:rPr>
                <w:rFonts w:asciiTheme="majorHAnsi" w:hAnsiTheme="majorHAnsi"/>
                <w:sz w:val="24"/>
                <w:szCs w:val="24"/>
              </w:rPr>
              <w:t>5 – 1:</w:t>
            </w:r>
            <w:r w:rsidR="00E6249B" w:rsidRPr="006E6A79">
              <w:rPr>
                <w:rFonts w:asciiTheme="majorHAnsi" w:hAnsiTheme="majorHAnsi"/>
                <w:sz w:val="24"/>
                <w:szCs w:val="24"/>
              </w:rPr>
              <w:t>1</w:t>
            </w:r>
            <w:r w:rsidR="00783ABB" w:rsidRPr="006E6A79">
              <w:rPr>
                <w:rFonts w:asciiTheme="majorHAnsi" w:hAnsiTheme="majorHAnsi"/>
                <w:sz w:val="24"/>
                <w:szCs w:val="24"/>
              </w:rPr>
              <w:t>0</w:t>
            </w:r>
          </w:p>
        </w:tc>
        <w:tc>
          <w:tcPr>
            <w:tcW w:w="4140" w:type="dxa"/>
          </w:tcPr>
          <w:p w:rsidR="00DF5CDF" w:rsidRPr="006E6A79" w:rsidRDefault="00561B6A" w:rsidP="00403E43">
            <w:pPr>
              <w:rPr>
                <w:rFonts w:asciiTheme="majorHAnsi" w:hAnsiTheme="majorHAnsi"/>
                <w:sz w:val="24"/>
                <w:szCs w:val="24"/>
              </w:rPr>
            </w:pPr>
            <w:r w:rsidRPr="006E6A79">
              <w:rPr>
                <w:rFonts w:asciiTheme="majorHAnsi" w:hAnsiTheme="majorHAnsi"/>
                <w:sz w:val="24"/>
                <w:szCs w:val="24"/>
              </w:rPr>
              <w:t xml:space="preserve">The Committee will have an opportunity to </w:t>
            </w:r>
            <w:r w:rsidR="00A61D28" w:rsidRPr="006E6A79">
              <w:rPr>
                <w:rFonts w:asciiTheme="majorHAnsi" w:hAnsiTheme="majorHAnsi"/>
                <w:sz w:val="24"/>
                <w:szCs w:val="24"/>
              </w:rPr>
              <w:t xml:space="preserve">review </w:t>
            </w:r>
            <w:r w:rsidR="00AD7C5E" w:rsidRPr="006E6A79">
              <w:rPr>
                <w:rFonts w:asciiTheme="majorHAnsi" w:hAnsiTheme="majorHAnsi"/>
                <w:sz w:val="24"/>
                <w:szCs w:val="24"/>
              </w:rPr>
              <w:t xml:space="preserve">minutes from the </w:t>
            </w:r>
            <w:r w:rsidR="00403E43">
              <w:rPr>
                <w:rFonts w:asciiTheme="majorHAnsi" w:hAnsiTheme="majorHAnsi"/>
                <w:sz w:val="24"/>
                <w:szCs w:val="24"/>
              </w:rPr>
              <w:t>last meeting</w:t>
            </w:r>
            <w:r w:rsidR="00AD7C5E" w:rsidRPr="006E6A79">
              <w:rPr>
                <w:rFonts w:asciiTheme="majorHAnsi" w:hAnsiTheme="majorHAnsi"/>
                <w:sz w:val="24"/>
                <w:szCs w:val="24"/>
              </w:rPr>
              <w:t>,</w:t>
            </w:r>
            <w:r w:rsidRPr="006E6A79">
              <w:rPr>
                <w:rFonts w:asciiTheme="majorHAnsi" w:hAnsiTheme="majorHAnsi"/>
                <w:sz w:val="24"/>
                <w:szCs w:val="24"/>
              </w:rPr>
              <w:t xml:space="preserve"> make changes and/or adopt the minutes.</w:t>
            </w:r>
          </w:p>
        </w:tc>
        <w:tc>
          <w:tcPr>
            <w:tcW w:w="5580" w:type="dxa"/>
          </w:tcPr>
          <w:p w:rsidR="00E30E9E" w:rsidRPr="006E6A79" w:rsidRDefault="00A90439" w:rsidP="0005024C">
            <w:pPr>
              <w:rPr>
                <w:rFonts w:asciiTheme="majorHAnsi" w:hAnsiTheme="majorHAnsi"/>
                <w:sz w:val="24"/>
                <w:szCs w:val="24"/>
              </w:rPr>
            </w:pPr>
            <w:r>
              <w:rPr>
                <w:rFonts w:asciiTheme="majorHAnsi" w:hAnsiTheme="majorHAnsi"/>
                <w:sz w:val="24"/>
                <w:szCs w:val="24"/>
              </w:rPr>
              <w:t>Moti</w:t>
            </w:r>
            <w:r w:rsidR="0005024C">
              <w:rPr>
                <w:rFonts w:asciiTheme="majorHAnsi" w:hAnsiTheme="majorHAnsi"/>
                <w:sz w:val="24"/>
                <w:szCs w:val="24"/>
              </w:rPr>
              <w:t>on made to approve the minutes of February 2015 by Kris Williams/Crook</w:t>
            </w:r>
            <w:r w:rsidR="00D468C1">
              <w:rPr>
                <w:rFonts w:asciiTheme="majorHAnsi" w:hAnsiTheme="majorHAnsi"/>
                <w:sz w:val="24"/>
                <w:szCs w:val="24"/>
              </w:rPr>
              <w:t>. Minutes adopted as written.</w:t>
            </w:r>
          </w:p>
        </w:tc>
        <w:tc>
          <w:tcPr>
            <w:tcW w:w="2088" w:type="dxa"/>
          </w:tcPr>
          <w:p w:rsidR="00DF5CDF" w:rsidRPr="006E6A79" w:rsidRDefault="009230DC" w:rsidP="00354A29">
            <w:pPr>
              <w:rPr>
                <w:rFonts w:asciiTheme="majorHAnsi" w:hAnsiTheme="majorHAnsi"/>
                <w:sz w:val="24"/>
                <w:szCs w:val="24"/>
              </w:rPr>
            </w:pPr>
            <w:r w:rsidRPr="006E6A79">
              <w:rPr>
                <w:rFonts w:asciiTheme="majorHAnsi" w:hAnsiTheme="majorHAnsi"/>
                <w:sz w:val="24"/>
                <w:szCs w:val="24"/>
              </w:rPr>
              <w:t>Tanya Phillips</w:t>
            </w:r>
            <w:r w:rsidR="006E6A79">
              <w:rPr>
                <w:rFonts w:asciiTheme="majorHAnsi" w:hAnsiTheme="majorHAnsi"/>
                <w:sz w:val="24"/>
                <w:szCs w:val="24"/>
              </w:rPr>
              <w:t xml:space="preserve"> and Charlie Fautin</w:t>
            </w:r>
          </w:p>
        </w:tc>
      </w:tr>
      <w:tr w:rsidR="004F04BE" w:rsidRPr="00972F8A" w:rsidTr="00D468C1">
        <w:trPr>
          <w:trHeight w:val="692"/>
        </w:trPr>
        <w:tc>
          <w:tcPr>
            <w:tcW w:w="2808" w:type="dxa"/>
          </w:tcPr>
          <w:p w:rsidR="004F04BE" w:rsidRPr="00972F8A" w:rsidRDefault="004F04BE" w:rsidP="00700B00">
            <w:pPr>
              <w:rPr>
                <w:rFonts w:asciiTheme="majorHAnsi" w:hAnsiTheme="majorHAnsi"/>
                <w:color w:val="003300"/>
                <w:sz w:val="24"/>
                <w:szCs w:val="24"/>
              </w:rPr>
            </w:pPr>
            <w:r>
              <w:rPr>
                <w:rFonts w:asciiTheme="majorHAnsi" w:hAnsiTheme="majorHAnsi"/>
                <w:color w:val="003300"/>
                <w:sz w:val="24"/>
                <w:szCs w:val="24"/>
              </w:rPr>
              <w:t>Legislative update (10</w:t>
            </w:r>
            <w:r w:rsidRPr="00972F8A">
              <w:rPr>
                <w:rFonts w:asciiTheme="majorHAnsi" w:hAnsiTheme="majorHAnsi"/>
                <w:color w:val="003300"/>
                <w:sz w:val="24"/>
                <w:szCs w:val="24"/>
              </w:rPr>
              <w:t xml:space="preserve"> min)</w:t>
            </w:r>
          </w:p>
          <w:p w:rsidR="004F04BE" w:rsidRPr="00972F8A" w:rsidRDefault="004F04BE" w:rsidP="00700B00">
            <w:pPr>
              <w:rPr>
                <w:rFonts w:asciiTheme="majorHAnsi" w:hAnsiTheme="majorHAnsi"/>
                <w:color w:val="003300"/>
                <w:sz w:val="24"/>
                <w:szCs w:val="24"/>
              </w:rPr>
            </w:pPr>
            <w:r>
              <w:rPr>
                <w:rFonts w:asciiTheme="majorHAnsi" w:hAnsiTheme="majorHAnsi"/>
                <w:color w:val="003300"/>
                <w:sz w:val="24"/>
                <w:szCs w:val="24"/>
              </w:rPr>
              <w:t>1:10 – 1:20</w:t>
            </w:r>
          </w:p>
        </w:tc>
        <w:tc>
          <w:tcPr>
            <w:tcW w:w="4140" w:type="dxa"/>
          </w:tcPr>
          <w:p w:rsidR="004F04BE" w:rsidRDefault="004F04BE" w:rsidP="00700B00">
            <w:pPr>
              <w:rPr>
                <w:rFonts w:asciiTheme="majorHAnsi" w:hAnsiTheme="majorHAnsi"/>
                <w:sz w:val="24"/>
                <w:szCs w:val="24"/>
              </w:rPr>
            </w:pPr>
            <w:r>
              <w:rPr>
                <w:rFonts w:asciiTheme="majorHAnsi" w:hAnsiTheme="majorHAnsi"/>
                <w:b/>
                <w:sz w:val="24"/>
                <w:szCs w:val="24"/>
              </w:rPr>
              <w:t xml:space="preserve">Background: </w:t>
            </w:r>
            <w:r>
              <w:rPr>
                <w:rFonts w:asciiTheme="majorHAnsi" w:hAnsiTheme="majorHAnsi"/>
                <w:sz w:val="24"/>
                <w:szCs w:val="24"/>
              </w:rPr>
              <w:t>The 2015 legislative session is underway. There have been a number of bills introduced that pertain to the work of this committee.</w:t>
            </w:r>
          </w:p>
          <w:p w:rsidR="004F04BE" w:rsidRDefault="004F04BE" w:rsidP="00700B00">
            <w:pPr>
              <w:rPr>
                <w:rFonts w:asciiTheme="majorHAnsi" w:hAnsiTheme="majorHAnsi"/>
                <w:sz w:val="24"/>
                <w:szCs w:val="24"/>
              </w:rPr>
            </w:pPr>
          </w:p>
          <w:p w:rsidR="004F04BE" w:rsidRPr="005E3B07" w:rsidRDefault="004F04BE" w:rsidP="00700B00">
            <w:pPr>
              <w:rPr>
                <w:rFonts w:asciiTheme="majorHAnsi" w:hAnsiTheme="majorHAnsi"/>
                <w:sz w:val="24"/>
                <w:szCs w:val="24"/>
              </w:rPr>
            </w:pPr>
            <w:r>
              <w:rPr>
                <w:rFonts w:asciiTheme="majorHAnsi" w:hAnsiTheme="majorHAnsi"/>
                <w:b/>
                <w:sz w:val="24"/>
                <w:szCs w:val="24"/>
              </w:rPr>
              <w:t xml:space="preserve">Objective: </w:t>
            </w:r>
            <w:r>
              <w:rPr>
                <w:rFonts w:asciiTheme="majorHAnsi" w:hAnsiTheme="majorHAnsi"/>
                <w:sz w:val="24"/>
                <w:szCs w:val="24"/>
              </w:rPr>
              <w:t xml:space="preserve">Provide information about the bills HPCDP is tracking. Provide an opportunity for committee members to share bills or topics they are tracking. </w:t>
            </w:r>
          </w:p>
        </w:tc>
        <w:tc>
          <w:tcPr>
            <w:tcW w:w="5580" w:type="dxa"/>
          </w:tcPr>
          <w:p w:rsidR="004F04BE" w:rsidRPr="00414115" w:rsidRDefault="0005024C" w:rsidP="00DA3BB9">
            <w:pPr>
              <w:rPr>
                <w:rFonts w:asciiTheme="majorHAnsi" w:hAnsiTheme="majorHAnsi"/>
                <w:sz w:val="24"/>
                <w:szCs w:val="24"/>
              </w:rPr>
            </w:pPr>
            <w:r>
              <w:rPr>
                <w:rFonts w:asciiTheme="majorHAnsi" w:hAnsiTheme="majorHAnsi"/>
                <w:sz w:val="24"/>
                <w:szCs w:val="24"/>
              </w:rPr>
              <w:lastRenderedPageBreak/>
              <w:t>Sending out new legislative summary</w:t>
            </w:r>
            <w:r w:rsidR="00DD3CDF">
              <w:rPr>
                <w:rFonts w:asciiTheme="majorHAnsi" w:hAnsiTheme="majorHAnsi"/>
                <w:sz w:val="24"/>
                <w:szCs w:val="24"/>
              </w:rPr>
              <w:t xml:space="preserve">. HPCDP is tracking 79 bills in the legislature with lots of activity. Tax increases for </w:t>
            </w:r>
            <w:r w:rsidR="00E95D1F">
              <w:rPr>
                <w:rFonts w:asciiTheme="majorHAnsi" w:hAnsiTheme="majorHAnsi"/>
                <w:sz w:val="24"/>
                <w:szCs w:val="24"/>
              </w:rPr>
              <w:t>cigarettes;</w:t>
            </w:r>
            <w:r w:rsidR="00EB04DB">
              <w:rPr>
                <w:rFonts w:asciiTheme="majorHAnsi" w:hAnsiTheme="majorHAnsi"/>
                <w:sz w:val="24"/>
                <w:szCs w:val="24"/>
              </w:rPr>
              <w:t xml:space="preserve"> E-Cigarettes (HB246A) passed the House and headed for Senate. </w:t>
            </w:r>
            <w:r w:rsidR="00EB04DB">
              <w:rPr>
                <w:rFonts w:asciiTheme="majorHAnsi" w:hAnsiTheme="majorHAnsi"/>
                <w:sz w:val="24"/>
                <w:szCs w:val="24"/>
              </w:rPr>
              <w:lastRenderedPageBreak/>
              <w:t xml:space="preserve">It will provide data to help promote Public Health. SB 564 </w:t>
            </w:r>
            <w:r w:rsidR="00D468C1">
              <w:rPr>
                <w:rFonts w:asciiTheme="majorHAnsi" w:hAnsiTheme="majorHAnsi"/>
                <w:sz w:val="24"/>
                <w:szCs w:val="24"/>
              </w:rPr>
              <w:t xml:space="preserve">had an initial public hearing. This bill </w:t>
            </w:r>
            <w:r w:rsidR="00EB04DB">
              <w:rPr>
                <w:rFonts w:asciiTheme="majorHAnsi" w:hAnsiTheme="majorHAnsi"/>
                <w:sz w:val="24"/>
                <w:szCs w:val="24"/>
              </w:rPr>
              <w:t>will make it illegal to report names for the cancer registry. Passage of this bill would make the cancer registry inoperable. We are hoping</w:t>
            </w:r>
            <w:r w:rsidR="00E95D1F">
              <w:rPr>
                <w:rFonts w:asciiTheme="majorHAnsi" w:hAnsiTheme="majorHAnsi"/>
                <w:sz w:val="24"/>
                <w:szCs w:val="24"/>
              </w:rPr>
              <w:t xml:space="preserve"> this bill does not pass. HB2560 Colorectal Cancer Screening is moving ahead with improvement from the insurance companies. Watching closely Measure 91 </w:t>
            </w:r>
            <w:r w:rsidR="00DA3BB9">
              <w:rPr>
                <w:rFonts w:asciiTheme="majorHAnsi" w:hAnsiTheme="majorHAnsi"/>
                <w:sz w:val="24"/>
                <w:szCs w:val="24"/>
              </w:rPr>
              <w:t>marijuana as</w:t>
            </w:r>
            <w:r w:rsidR="00E95D1F">
              <w:rPr>
                <w:rFonts w:asciiTheme="majorHAnsi" w:hAnsiTheme="majorHAnsi"/>
                <w:sz w:val="24"/>
                <w:szCs w:val="24"/>
              </w:rPr>
              <w:t xml:space="preserve"> it relates to tobacco. Modernization of Public Health HB3100/</w:t>
            </w:r>
            <w:proofErr w:type="gramStart"/>
            <w:r w:rsidR="00E95D1F">
              <w:rPr>
                <w:rFonts w:asciiTheme="majorHAnsi" w:hAnsiTheme="majorHAnsi"/>
                <w:sz w:val="24"/>
                <w:szCs w:val="24"/>
              </w:rPr>
              <w:t>SB663(</w:t>
            </w:r>
            <w:proofErr w:type="gramEnd"/>
            <w:r w:rsidR="00E95D1F">
              <w:rPr>
                <w:rFonts w:asciiTheme="majorHAnsi" w:hAnsiTheme="majorHAnsi"/>
                <w:sz w:val="24"/>
                <w:szCs w:val="24"/>
              </w:rPr>
              <w:t xml:space="preserve">2) intended to follow recommendations from last </w:t>
            </w:r>
            <w:r w:rsidR="00E77740">
              <w:rPr>
                <w:rFonts w:asciiTheme="majorHAnsi" w:hAnsiTheme="majorHAnsi"/>
                <w:sz w:val="24"/>
                <w:szCs w:val="24"/>
              </w:rPr>
              <w:t>year’s</w:t>
            </w:r>
            <w:r w:rsidR="005347E0">
              <w:rPr>
                <w:rFonts w:asciiTheme="majorHAnsi" w:hAnsiTheme="majorHAnsi"/>
                <w:sz w:val="24"/>
                <w:szCs w:val="24"/>
              </w:rPr>
              <w:t xml:space="preserve"> task force. CHLO is supporting with desired </w:t>
            </w:r>
            <w:r w:rsidR="00E77740">
              <w:rPr>
                <w:rFonts w:asciiTheme="majorHAnsi" w:hAnsiTheme="majorHAnsi"/>
                <w:sz w:val="24"/>
                <w:szCs w:val="24"/>
              </w:rPr>
              <w:t>amendments</w:t>
            </w:r>
            <w:r w:rsidR="005347E0">
              <w:rPr>
                <w:rFonts w:asciiTheme="majorHAnsi" w:hAnsiTheme="majorHAnsi"/>
                <w:sz w:val="24"/>
                <w:szCs w:val="24"/>
              </w:rPr>
              <w:t xml:space="preserve"> on this bill. Ways and Means public health is March 31</w:t>
            </w:r>
            <w:r w:rsidR="005347E0" w:rsidRPr="005347E0">
              <w:rPr>
                <w:rFonts w:asciiTheme="majorHAnsi" w:hAnsiTheme="majorHAnsi"/>
                <w:sz w:val="24"/>
                <w:szCs w:val="24"/>
                <w:vertAlign w:val="superscript"/>
              </w:rPr>
              <w:t>st</w:t>
            </w:r>
            <w:r w:rsidR="005347E0">
              <w:rPr>
                <w:rFonts w:asciiTheme="majorHAnsi" w:hAnsiTheme="majorHAnsi"/>
                <w:sz w:val="24"/>
                <w:szCs w:val="24"/>
              </w:rPr>
              <w:t xml:space="preserve"> and April 1</w:t>
            </w:r>
            <w:r w:rsidR="005347E0" w:rsidRPr="005347E0">
              <w:rPr>
                <w:rFonts w:asciiTheme="majorHAnsi" w:hAnsiTheme="majorHAnsi"/>
                <w:sz w:val="24"/>
                <w:szCs w:val="24"/>
                <w:vertAlign w:val="superscript"/>
              </w:rPr>
              <w:t>st</w:t>
            </w:r>
            <w:r w:rsidR="005347E0">
              <w:rPr>
                <w:rFonts w:asciiTheme="majorHAnsi" w:hAnsiTheme="majorHAnsi"/>
                <w:sz w:val="24"/>
                <w:szCs w:val="24"/>
              </w:rPr>
              <w:t>.</w:t>
            </w:r>
          </w:p>
        </w:tc>
        <w:tc>
          <w:tcPr>
            <w:tcW w:w="2088" w:type="dxa"/>
          </w:tcPr>
          <w:p w:rsidR="004F04BE" w:rsidRPr="00972F8A" w:rsidRDefault="004F04BE" w:rsidP="00700B00">
            <w:pPr>
              <w:rPr>
                <w:rFonts w:asciiTheme="majorHAnsi" w:hAnsiTheme="majorHAnsi"/>
                <w:sz w:val="24"/>
                <w:szCs w:val="24"/>
              </w:rPr>
            </w:pPr>
            <w:r>
              <w:rPr>
                <w:rFonts w:asciiTheme="majorHAnsi" w:hAnsiTheme="majorHAnsi"/>
                <w:sz w:val="24"/>
                <w:szCs w:val="24"/>
              </w:rPr>
              <w:lastRenderedPageBreak/>
              <w:t>Karen Girard</w:t>
            </w:r>
          </w:p>
        </w:tc>
      </w:tr>
      <w:tr w:rsidR="004F04BE" w:rsidRPr="006E6A79" w:rsidTr="00D468C1">
        <w:trPr>
          <w:trHeight w:val="539"/>
        </w:trPr>
        <w:tc>
          <w:tcPr>
            <w:tcW w:w="2808" w:type="dxa"/>
          </w:tcPr>
          <w:p w:rsidR="004F04BE" w:rsidRDefault="00035A30" w:rsidP="00700B00">
            <w:pPr>
              <w:rPr>
                <w:rFonts w:asciiTheme="majorHAnsi" w:hAnsiTheme="majorHAnsi"/>
                <w:sz w:val="24"/>
                <w:szCs w:val="24"/>
              </w:rPr>
            </w:pPr>
            <w:r>
              <w:rPr>
                <w:rFonts w:asciiTheme="majorHAnsi" w:hAnsiTheme="majorHAnsi"/>
                <w:sz w:val="24"/>
                <w:szCs w:val="24"/>
              </w:rPr>
              <w:lastRenderedPageBreak/>
              <w:t>Healthy Communities grant (25</w:t>
            </w:r>
            <w:r w:rsidR="004F04BE">
              <w:rPr>
                <w:rFonts w:asciiTheme="majorHAnsi" w:hAnsiTheme="majorHAnsi"/>
                <w:sz w:val="24"/>
                <w:szCs w:val="24"/>
              </w:rPr>
              <w:t xml:space="preserve"> minutes)</w:t>
            </w:r>
          </w:p>
          <w:p w:rsidR="004F04BE" w:rsidRPr="006E6A79" w:rsidRDefault="00035A30" w:rsidP="00700B00">
            <w:pPr>
              <w:rPr>
                <w:rFonts w:asciiTheme="majorHAnsi" w:hAnsiTheme="majorHAnsi"/>
                <w:sz w:val="24"/>
                <w:szCs w:val="24"/>
              </w:rPr>
            </w:pPr>
            <w:r>
              <w:rPr>
                <w:rFonts w:asciiTheme="majorHAnsi" w:hAnsiTheme="majorHAnsi"/>
                <w:sz w:val="24"/>
                <w:szCs w:val="24"/>
              </w:rPr>
              <w:t>1:20 – 1:45</w:t>
            </w:r>
          </w:p>
        </w:tc>
        <w:tc>
          <w:tcPr>
            <w:tcW w:w="4140" w:type="dxa"/>
          </w:tcPr>
          <w:p w:rsidR="004F04BE" w:rsidRDefault="004F04BE" w:rsidP="00700B00">
            <w:pPr>
              <w:rPr>
                <w:rFonts w:asciiTheme="majorHAnsi" w:hAnsiTheme="majorHAnsi"/>
                <w:b/>
                <w:sz w:val="24"/>
                <w:szCs w:val="24"/>
              </w:rPr>
            </w:pPr>
            <w:r>
              <w:rPr>
                <w:rFonts w:asciiTheme="majorHAnsi" w:hAnsiTheme="majorHAnsi"/>
                <w:b/>
                <w:sz w:val="24"/>
                <w:szCs w:val="24"/>
              </w:rPr>
              <w:t xml:space="preserve">Background information: </w:t>
            </w:r>
            <w:r w:rsidRPr="00AB40AB">
              <w:rPr>
                <w:rFonts w:asciiTheme="majorHAnsi" w:hAnsiTheme="majorHAnsi"/>
                <w:sz w:val="24"/>
                <w:szCs w:val="24"/>
              </w:rPr>
              <w:t xml:space="preserve">HPCDP anticipated releasing a three-year, competitive RFP for Healthy Communities to begin in July, 2015. </w:t>
            </w:r>
            <w:r>
              <w:rPr>
                <w:rFonts w:asciiTheme="majorHAnsi" w:hAnsiTheme="majorHAnsi"/>
                <w:sz w:val="24"/>
                <w:szCs w:val="24"/>
              </w:rPr>
              <w:t xml:space="preserve">Due to funding constraints and evolving funding discussions between OHA and </w:t>
            </w:r>
            <w:r w:rsidR="00F87664" w:rsidRPr="00F87664">
              <w:rPr>
                <w:rFonts w:asciiTheme="majorHAnsi" w:hAnsiTheme="majorHAnsi"/>
                <w:sz w:val="24"/>
                <w:szCs w:val="24"/>
              </w:rPr>
              <w:t>CLHO</w:t>
            </w:r>
            <w:r>
              <w:rPr>
                <w:rFonts w:asciiTheme="majorHAnsi" w:hAnsiTheme="majorHAnsi"/>
                <w:sz w:val="24"/>
                <w:szCs w:val="24"/>
              </w:rPr>
              <w:t xml:space="preserve">, HPCDP will delay the release of a competitive </w:t>
            </w:r>
            <w:r w:rsidR="00554A67">
              <w:rPr>
                <w:rFonts w:asciiTheme="majorHAnsi" w:hAnsiTheme="majorHAnsi"/>
                <w:sz w:val="24"/>
                <w:szCs w:val="24"/>
              </w:rPr>
              <w:t>H</w:t>
            </w:r>
            <w:r>
              <w:rPr>
                <w:rFonts w:asciiTheme="majorHAnsi" w:hAnsiTheme="majorHAnsi"/>
                <w:sz w:val="24"/>
                <w:szCs w:val="24"/>
              </w:rPr>
              <w:t xml:space="preserve">ealthy Communities RFP for at least one year. Instead, current Healthy Communities grantees will have the </w:t>
            </w:r>
            <w:r w:rsidRPr="00AB40AB">
              <w:rPr>
                <w:rFonts w:asciiTheme="majorHAnsi" w:hAnsiTheme="majorHAnsi"/>
                <w:sz w:val="24"/>
                <w:szCs w:val="24"/>
              </w:rPr>
              <w:t>opportunity to request a one year extension of their current grant.</w:t>
            </w:r>
            <w:r w:rsidRPr="00AB40AB">
              <w:rPr>
                <w:rFonts w:asciiTheme="majorHAnsi" w:hAnsiTheme="majorHAnsi"/>
                <w:b/>
                <w:sz w:val="24"/>
                <w:szCs w:val="24"/>
              </w:rPr>
              <w:t xml:space="preserve"> </w:t>
            </w:r>
          </w:p>
          <w:p w:rsidR="004F04BE" w:rsidRPr="00AB40AB" w:rsidRDefault="004F04BE" w:rsidP="00700B00">
            <w:pPr>
              <w:rPr>
                <w:rFonts w:asciiTheme="majorHAnsi" w:hAnsiTheme="majorHAnsi"/>
                <w:b/>
                <w:sz w:val="24"/>
                <w:szCs w:val="24"/>
              </w:rPr>
            </w:pPr>
          </w:p>
          <w:p w:rsidR="004F04BE" w:rsidRPr="007B4BAB" w:rsidRDefault="004F04BE" w:rsidP="00700B00">
            <w:pPr>
              <w:rPr>
                <w:rFonts w:asciiTheme="majorHAnsi" w:hAnsiTheme="majorHAnsi"/>
                <w:sz w:val="24"/>
                <w:szCs w:val="24"/>
              </w:rPr>
            </w:pPr>
            <w:r>
              <w:rPr>
                <w:rFonts w:asciiTheme="majorHAnsi" w:hAnsiTheme="majorHAnsi"/>
                <w:b/>
                <w:sz w:val="24"/>
                <w:szCs w:val="24"/>
              </w:rPr>
              <w:t xml:space="preserve">Objective: </w:t>
            </w:r>
            <w:r>
              <w:rPr>
                <w:rFonts w:asciiTheme="majorHAnsi" w:hAnsiTheme="majorHAnsi"/>
                <w:sz w:val="24"/>
                <w:szCs w:val="24"/>
              </w:rPr>
              <w:t xml:space="preserve">Share the reasoning behind this change of course, answer questions and concerns, and discuss the opportunities this approach provides. </w:t>
            </w:r>
          </w:p>
        </w:tc>
        <w:tc>
          <w:tcPr>
            <w:tcW w:w="5580" w:type="dxa"/>
          </w:tcPr>
          <w:p w:rsidR="007630FB" w:rsidRDefault="00B015B0" w:rsidP="007630FB">
            <w:pPr>
              <w:rPr>
                <w:rFonts w:asciiTheme="majorHAnsi" w:hAnsiTheme="majorHAnsi"/>
                <w:sz w:val="24"/>
                <w:szCs w:val="24"/>
              </w:rPr>
            </w:pPr>
            <w:r w:rsidRPr="00072971">
              <w:rPr>
                <w:rFonts w:asciiTheme="majorHAnsi" w:hAnsiTheme="majorHAnsi"/>
                <w:sz w:val="24"/>
                <w:szCs w:val="24"/>
              </w:rPr>
              <w:t xml:space="preserve">Due to funding uncertainty, </w:t>
            </w:r>
            <w:r w:rsidR="007630FB" w:rsidRPr="00072971">
              <w:rPr>
                <w:rFonts w:asciiTheme="majorHAnsi" w:hAnsiTheme="majorHAnsi"/>
                <w:sz w:val="24"/>
                <w:szCs w:val="24"/>
              </w:rPr>
              <w:t xml:space="preserve">HPCDP </w:t>
            </w:r>
            <w:r w:rsidRPr="00072971">
              <w:rPr>
                <w:rFonts w:asciiTheme="majorHAnsi" w:hAnsiTheme="majorHAnsi"/>
                <w:sz w:val="24"/>
                <w:szCs w:val="24"/>
              </w:rPr>
              <w:t xml:space="preserve">is proposing to </w:t>
            </w:r>
            <w:r w:rsidR="007630FB" w:rsidRPr="00072971">
              <w:rPr>
                <w:rFonts w:asciiTheme="majorHAnsi" w:hAnsiTheme="majorHAnsi"/>
                <w:sz w:val="24"/>
                <w:szCs w:val="24"/>
              </w:rPr>
              <w:t xml:space="preserve">delay the release of a </w:t>
            </w:r>
            <w:r w:rsidRPr="00072971">
              <w:rPr>
                <w:rFonts w:asciiTheme="majorHAnsi" w:hAnsiTheme="majorHAnsi"/>
                <w:sz w:val="24"/>
                <w:szCs w:val="24"/>
              </w:rPr>
              <w:t xml:space="preserve">new 3-year </w:t>
            </w:r>
            <w:r w:rsidR="007630FB" w:rsidRPr="00072971">
              <w:rPr>
                <w:rFonts w:asciiTheme="majorHAnsi" w:hAnsiTheme="majorHAnsi"/>
                <w:sz w:val="24"/>
                <w:szCs w:val="24"/>
              </w:rPr>
              <w:t>competitive Healthy Communities</w:t>
            </w:r>
            <w:r w:rsidRPr="00072971">
              <w:rPr>
                <w:rFonts w:asciiTheme="majorHAnsi" w:hAnsiTheme="majorHAnsi"/>
                <w:sz w:val="24"/>
                <w:szCs w:val="24"/>
              </w:rPr>
              <w:t xml:space="preserve"> RFP</w:t>
            </w:r>
            <w:r w:rsidR="007630FB" w:rsidRPr="00072971">
              <w:rPr>
                <w:rFonts w:asciiTheme="majorHAnsi" w:hAnsiTheme="majorHAnsi"/>
                <w:sz w:val="24"/>
                <w:szCs w:val="24"/>
              </w:rPr>
              <w:t xml:space="preserve"> for at least one year.</w:t>
            </w:r>
            <w:r w:rsidR="007630FB">
              <w:rPr>
                <w:rFonts w:asciiTheme="majorHAnsi" w:hAnsiTheme="majorHAnsi"/>
                <w:sz w:val="24"/>
                <w:szCs w:val="24"/>
              </w:rPr>
              <w:t xml:space="preserve"> </w:t>
            </w:r>
            <w:r w:rsidR="005936E8">
              <w:rPr>
                <w:rFonts w:asciiTheme="majorHAnsi" w:hAnsiTheme="majorHAnsi"/>
                <w:sz w:val="24"/>
                <w:szCs w:val="24"/>
              </w:rPr>
              <w:t xml:space="preserve">Because of current secured funding, HPCDP is unable to make a three year commitment </w:t>
            </w:r>
            <w:r w:rsidR="005936E8" w:rsidRPr="00072971">
              <w:rPr>
                <w:rFonts w:asciiTheme="majorHAnsi" w:hAnsiTheme="majorHAnsi"/>
                <w:sz w:val="24"/>
                <w:szCs w:val="24"/>
              </w:rPr>
              <w:t xml:space="preserve">to counties, and </w:t>
            </w:r>
            <w:r w:rsidRPr="00072971">
              <w:rPr>
                <w:rFonts w:asciiTheme="majorHAnsi" w:hAnsiTheme="majorHAnsi"/>
                <w:sz w:val="24"/>
                <w:szCs w:val="24"/>
              </w:rPr>
              <w:t xml:space="preserve">are wary of requiring new applicants to do all of the </w:t>
            </w:r>
            <w:r w:rsidR="005936E8" w:rsidRPr="00072971">
              <w:rPr>
                <w:rFonts w:asciiTheme="majorHAnsi" w:hAnsiTheme="majorHAnsi"/>
                <w:sz w:val="24"/>
                <w:szCs w:val="24"/>
              </w:rPr>
              <w:t xml:space="preserve">community engagement and proposal writing work without the certainty of ongoing funding. </w:t>
            </w:r>
            <w:r w:rsidR="007630FB" w:rsidRPr="00072971">
              <w:rPr>
                <w:rFonts w:asciiTheme="majorHAnsi" w:hAnsiTheme="majorHAnsi"/>
                <w:sz w:val="24"/>
                <w:szCs w:val="24"/>
              </w:rPr>
              <w:t xml:space="preserve">Instead, </w:t>
            </w:r>
            <w:r w:rsidR="005936E8" w:rsidRPr="00072971">
              <w:rPr>
                <w:rFonts w:asciiTheme="majorHAnsi" w:hAnsiTheme="majorHAnsi"/>
                <w:sz w:val="24"/>
                <w:szCs w:val="24"/>
              </w:rPr>
              <w:t xml:space="preserve">HPCDP proposes to </w:t>
            </w:r>
            <w:r w:rsidR="007630FB" w:rsidRPr="00072971">
              <w:rPr>
                <w:rFonts w:asciiTheme="majorHAnsi" w:hAnsiTheme="majorHAnsi"/>
                <w:sz w:val="24"/>
                <w:szCs w:val="24"/>
              </w:rPr>
              <w:t>extend</w:t>
            </w:r>
            <w:r w:rsidR="005936E8" w:rsidRPr="00072971">
              <w:rPr>
                <w:rFonts w:asciiTheme="majorHAnsi" w:hAnsiTheme="majorHAnsi"/>
                <w:sz w:val="24"/>
                <w:szCs w:val="24"/>
              </w:rPr>
              <w:t xml:space="preserve"> </w:t>
            </w:r>
            <w:r w:rsidR="007630FB" w:rsidRPr="00072971">
              <w:rPr>
                <w:rFonts w:asciiTheme="majorHAnsi" w:hAnsiTheme="majorHAnsi"/>
                <w:sz w:val="24"/>
                <w:szCs w:val="24"/>
              </w:rPr>
              <w:t>currently funded grantees for a one year extension with a 10% reduction in funding</w:t>
            </w:r>
            <w:r w:rsidR="005936E8" w:rsidRPr="00072971">
              <w:rPr>
                <w:rFonts w:asciiTheme="majorHAnsi" w:hAnsiTheme="majorHAnsi"/>
                <w:sz w:val="24"/>
                <w:szCs w:val="24"/>
              </w:rPr>
              <w:t xml:space="preserve"> (due to funding reductions)</w:t>
            </w:r>
            <w:r w:rsidR="007630FB" w:rsidRPr="00072971">
              <w:rPr>
                <w:rFonts w:asciiTheme="majorHAnsi" w:hAnsiTheme="majorHAnsi"/>
                <w:sz w:val="24"/>
                <w:szCs w:val="24"/>
              </w:rPr>
              <w:t>.</w:t>
            </w:r>
            <w:r w:rsidR="007630FB">
              <w:rPr>
                <w:rFonts w:asciiTheme="majorHAnsi" w:hAnsiTheme="majorHAnsi"/>
                <w:sz w:val="24"/>
                <w:szCs w:val="24"/>
              </w:rPr>
              <w:t xml:space="preserve">  </w:t>
            </w:r>
          </w:p>
          <w:p w:rsidR="007630FB" w:rsidRDefault="007630FB" w:rsidP="007630FB">
            <w:pPr>
              <w:rPr>
                <w:rFonts w:asciiTheme="majorHAnsi" w:hAnsiTheme="majorHAnsi"/>
                <w:sz w:val="24"/>
                <w:szCs w:val="24"/>
              </w:rPr>
            </w:pPr>
          </w:p>
          <w:p w:rsidR="007630FB" w:rsidRDefault="005936E8" w:rsidP="007630FB">
            <w:pPr>
              <w:rPr>
                <w:rFonts w:asciiTheme="majorHAnsi" w:hAnsiTheme="majorHAnsi"/>
                <w:sz w:val="24"/>
                <w:szCs w:val="24"/>
              </w:rPr>
            </w:pPr>
            <w:r w:rsidRPr="00072971">
              <w:rPr>
                <w:rFonts w:asciiTheme="majorHAnsi" w:hAnsiTheme="majorHAnsi"/>
                <w:sz w:val="24"/>
                <w:szCs w:val="24"/>
              </w:rPr>
              <w:t xml:space="preserve">HPCDP is </w:t>
            </w:r>
            <w:r w:rsidR="007630FB" w:rsidRPr="00072971">
              <w:rPr>
                <w:rFonts w:asciiTheme="majorHAnsi" w:hAnsiTheme="majorHAnsi"/>
                <w:sz w:val="24"/>
                <w:szCs w:val="24"/>
              </w:rPr>
              <w:t xml:space="preserve">seeing </w:t>
            </w:r>
            <w:r w:rsidRPr="00072971">
              <w:rPr>
                <w:rFonts w:asciiTheme="majorHAnsi" w:hAnsiTheme="majorHAnsi"/>
                <w:sz w:val="24"/>
                <w:szCs w:val="24"/>
              </w:rPr>
              <w:t xml:space="preserve">the possibility of </w:t>
            </w:r>
            <w:r w:rsidR="007630FB" w:rsidRPr="00072971">
              <w:rPr>
                <w:rFonts w:asciiTheme="majorHAnsi" w:hAnsiTheme="majorHAnsi"/>
                <w:sz w:val="24"/>
                <w:szCs w:val="24"/>
              </w:rPr>
              <w:t xml:space="preserve">more opportunities from other partners for </w:t>
            </w:r>
            <w:r w:rsidRPr="00072971">
              <w:rPr>
                <w:rFonts w:asciiTheme="majorHAnsi" w:hAnsiTheme="majorHAnsi"/>
                <w:sz w:val="24"/>
                <w:szCs w:val="24"/>
              </w:rPr>
              <w:t xml:space="preserve">possible </w:t>
            </w:r>
            <w:r w:rsidR="007630FB" w:rsidRPr="00072971">
              <w:rPr>
                <w:rFonts w:asciiTheme="majorHAnsi" w:hAnsiTheme="majorHAnsi"/>
                <w:sz w:val="24"/>
                <w:szCs w:val="24"/>
              </w:rPr>
              <w:t xml:space="preserve">funding sources and hope </w:t>
            </w:r>
            <w:r w:rsidRPr="00072971">
              <w:rPr>
                <w:rFonts w:asciiTheme="majorHAnsi" w:hAnsiTheme="majorHAnsi"/>
                <w:sz w:val="24"/>
                <w:szCs w:val="24"/>
              </w:rPr>
              <w:t xml:space="preserve">to </w:t>
            </w:r>
            <w:r w:rsidR="00072971">
              <w:rPr>
                <w:rFonts w:asciiTheme="majorHAnsi" w:hAnsiTheme="majorHAnsi"/>
                <w:sz w:val="24"/>
                <w:szCs w:val="24"/>
              </w:rPr>
              <w:t xml:space="preserve">everyone will take </w:t>
            </w:r>
            <w:r w:rsidR="007630FB" w:rsidRPr="00072971">
              <w:rPr>
                <w:rFonts w:asciiTheme="majorHAnsi" w:hAnsiTheme="majorHAnsi"/>
                <w:sz w:val="24"/>
                <w:szCs w:val="24"/>
              </w:rPr>
              <w:t>advantages of these opportunities.</w:t>
            </w:r>
            <w:r w:rsidR="007630FB">
              <w:rPr>
                <w:rFonts w:asciiTheme="majorHAnsi" w:hAnsiTheme="majorHAnsi"/>
                <w:sz w:val="24"/>
                <w:szCs w:val="24"/>
              </w:rPr>
              <w:t xml:space="preserve"> </w:t>
            </w:r>
          </w:p>
          <w:p w:rsidR="007630FB" w:rsidRDefault="007630FB" w:rsidP="007630FB">
            <w:pPr>
              <w:rPr>
                <w:rFonts w:asciiTheme="majorHAnsi" w:hAnsiTheme="majorHAnsi"/>
                <w:sz w:val="24"/>
                <w:szCs w:val="24"/>
              </w:rPr>
            </w:pPr>
          </w:p>
          <w:p w:rsidR="007630FB" w:rsidRDefault="005936E8" w:rsidP="007630FB">
            <w:pPr>
              <w:rPr>
                <w:rFonts w:asciiTheme="majorHAnsi" w:hAnsiTheme="majorHAnsi"/>
                <w:sz w:val="24"/>
                <w:szCs w:val="24"/>
              </w:rPr>
            </w:pPr>
            <w:r w:rsidRPr="00072971">
              <w:rPr>
                <w:rFonts w:asciiTheme="majorHAnsi" w:hAnsiTheme="majorHAnsi"/>
                <w:sz w:val="24"/>
                <w:szCs w:val="24"/>
              </w:rPr>
              <w:t xml:space="preserve">The proposal is </w:t>
            </w:r>
            <w:r w:rsidR="007630FB" w:rsidRPr="00072971">
              <w:rPr>
                <w:rFonts w:asciiTheme="majorHAnsi" w:hAnsiTheme="majorHAnsi"/>
                <w:sz w:val="24"/>
                <w:szCs w:val="24"/>
              </w:rPr>
              <w:t xml:space="preserve">to fund </w:t>
            </w:r>
            <w:r w:rsidRPr="00072971">
              <w:rPr>
                <w:rFonts w:asciiTheme="majorHAnsi" w:hAnsiTheme="majorHAnsi"/>
                <w:sz w:val="24"/>
                <w:szCs w:val="24"/>
              </w:rPr>
              <w:t xml:space="preserve">current Healthy Communities grantees </w:t>
            </w:r>
            <w:r w:rsidR="007630FB" w:rsidRPr="00072971">
              <w:rPr>
                <w:rFonts w:asciiTheme="majorHAnsi" w:hAnsiTheme="majorHAnsi"/>
                <w:sz w:val="24"/>
                <w:szCs w:val="24"/>
              </w:rPr>
              <w:t>for one more year, less 10%</w:t>
            </w:r>
            <w:r w:rsidR="007630FB">
              <w:rPr>
                <w:rFonts w:asciiTheme="majorHAnsi" w:hAnsiTheme="majorHAnsi"/>
                <w:sz w:val="24"/>
                <w:szCs w:val="24"/>
              </w:rPr>
              <w:t xml:space="preserve"> in funding to allow currently funded programs to solidify their work. These programs have established relationships. If others were funded for only a single year, they would likely not have </w:t>
            </w:r>
            <w:r w:rsidR="007630FB">
              <w:rPr>
                <w:rFonts w:asciiTheme="majorHAnsi" w:hAnsiTheme="majorHAnsi"/>
                <w:sz w:val="24"/>
                <w:szCs w:val="24"/>
              </w:rPr>
              <w:lastRenderedPageBreak/>
              <w:t xml:space="preserve">adequate time to achieve policy, systems or environmental changes. Relationships they established would be challenging to maintain after the end of the grant. </w:t>
            </w:r>
          </w:p>
          <w:p w:rsidR="007630FB" w:rsidRDefault="007630FB" w:rsidP="007630FB">
            <w:pPr>
              <w:rPr>
                <w:rFonts w:asciiTheme="majorHAnsi" w:hAnsiTheme="majorHAnsi"/>
                <w:sz w:val="24"/>
                <w:szCs w:val="24"/>
              </w:rPr>
            </w:pPr>
          </w:p>
          <w:p w:rsidR="005E609D" w:rsidRDefault="007630FB" w:rsidP="007630FB">
            <w:pPr>
              <w:rPr>
                <w:rFonts w:asciiTheme="majorHAnsi" w:hAnsiTheme="majorHAnsi"/>
                <w:sz w:val="24"/>
                <w:szCs w:val="24"/>
              </w:rPr>
            </w:pPr>
            <w:r>
              <w:rPr>
                <w:rFonts w:asciiTheme="majorHAnsi" w:hAnsiTheme="majorHAnsi"/>
                <w:sz w:val="24"/>
                <w:szCs w:val="24"/>
              </w:rPr>
              <w:t>During this continuation year, we will focus on gathering learnings to share across the state.</w:t>
            </w:r>
          </w:p>
          <w:p w:rsidR="007630FB" w:rsidRDefault="007630FB" w:rsidP="007630FB">
            <w:pPr>
              <w:rPr>
                <w:rFonts w:asciiTheme="majorHAnsi" w:hAnsiTheme="majorHAnsi"/>
                <w:sz w:val="24"/>
                <w:szCs w:val="24"/>
              </w:rPr>
            </w:pPr>
            <w:r>
              <w:rPr>
                <w:rFonts w:asciiTheme="majorHAnsi" w:hAnsiTheme="majorHAnsi"/>
                <w:sz w:val="24"/>
                <w:szCs w:val="24"/>
              </w:rPr>
              <w:t xml:space="preserve">HPCDP will offer this opportunity to currently funded programs. If a program chooses not to continue, or needs less funding, HPCDP will consider how best to use these savings to support community programs. </w:t>
            </w:r>
          </w:p>
          <w:p w:rsidR="007630FB" w:rsidRDefault="007630FB" w:rsidP="007630FB">
            <w:pPr>
              <w:rPr>
                <w:rFonts w:asciiTheme="majorHAnsi" w:hAnsiTheme="majorHAnsi"/>
                <w:sz w:val="24"/>
                <w:szCs w:val="24"/>
              </w:rPr>
            </w:pPr>
          </w:p>
          <w:p w:rsidR="005936E8" w:rsidRDefault="005936E8" w:rsidP="007630FB">
            <w:pPr>
              <w:rPr>
                <w:rFonts w:asciiTheme="majorHAnsi" w:hAnsiTheme="majorHAnsi"/>
                <w:sz w:val="24"/>
                <w:szCs w:val="24"/>
              </w:rPr>
            </w:pPr>
            <w:r>
              <w:rPr>
                <w:rFonts w:asciiTheme="majorHAnsi" w:hAnsiTheme="majorHAnsi"/>
                <w:sz w:val="24"/>
                <w:szCs w:val="24"/>
              </w:rPr>
              <w:t>Kris moved that we support Sabrina’s proposal to fund everyone for one year with the 10% reduction. Tanya seconded the motion. Hearing no opposition, the item passed.</w:t>
            </w:r>
          </w:p>
          <w:p w:rsidR="005936E8" w:rsidRDefault="005936E8" w:rsidP="007630FB">
            <w:pPr>
              <w:rPr>
                <w:rFonts w:asciiTheme="majorHAnsi" w:hAnsiTheme="majorHAnsi"/>
                <w:sz w:val="24"/>
                <w:szCs w:val="24"/>
              </w:rPr>
            </w:pPr>
          </w:p>
          <w:p w:rsidR="007630FB" w:rsidRPr="006E6A79" w:rsidRDefault="007630FB" w:rsidP="007630FB">
            <w:pPr>
              <w:rPr>
                <w:rFonts w:asciiTheme="majorHAnsi" w:hAnsiTheme="majorHAnsi"/>
                <w:sz w:val="24"/>
                <w:szCs w:val="24"/>
              </w:rPr>
            </w:pPr>
            <w:r w:rsidRPr="00072971">
              <w:rPr>
                <w:rFonts w:asciiTheme="majorHAnsi" w:hAnsiTheme="majorHAnsi"/>
                <w:sz w:val="24"/>
                <w:szCs w:val="24"/>
              </w:rPr>
              <w:t>Item is being referred to the full CHLO committee</w:t>
            </w:r>
            <w:r w:rsidR="005936E8" w:rsidRPr="00072971">
              <w:rPr>
                <w:rFonts w:asciiTheme="majorHAnsi" w:hAnsiTheme="majorHAnsi"/>
                <w:sz w:val="24"/>
                <w:szCs w:val="24"/>
              </w:rPr>
              <w:t xml:space="preserve"> at the March 19</w:t>
            </w:r>
            <w:r w:rsidR="005936E8" w:rsidRPr="00072971">
              <w:rPr>
                <w:rFonts w:asciiTheme="majorHAnsi" w:hAnsiTheme="majorHAnsi"/>
                <w:sz w:val="24"/>
                <w:szCs w:val="24"/>
                <w:vertAlign w:val="superscript"/>
              </w:rPr>
              <w:t>th</w:t>
            </w:r>
            <w:r w:rsidR="005936E8" w:rsidRPr="00072971">
              <w:rPr>
                <w:rFonts w:asciiTheme="majorHAnsi" w:hAnsiTheme="majorHAnsi"/>
                <w:sz w:val="24"/>
                <w:szCs w:val="24"/>
              </w:rPr>
              <w:t xml:space="preserve"> meeting</w:t>
            </w:r>
            <w:r w:rsidRPr="00072971">
              <w:rPr>
                <w:rFonts w:asciiTheme="majorHAnsi" w:hAnsiTheme="majorHAnsi"/>
                <w:sz w:val="24"/>
                <w:szCs w:val="24"/>
              </w:rPr>
              <w:t>.</w:t>
            </w:r>
          </w:p>
        </w:tc>
        <w:tc>
          <w:tcPr>
            <w:tcW w:w="2088" w:type="dxa"/>
          </w:tcPr>
          <w:p w:rsidR="004F04BE" w:rsidRPr="006E6A79" w:rsidRDefault="004F04BE" w:rsidP="00700B00">
            <w:pPr>
              <w:rPr>
                <w:rFonts w:asciiTheme="majorHAnsi" w:hAnsiTheme="majorHAnsi"/>
                <w:sz w:val="24"/>
                <w:szCs w:val="24"/>
              </w:rPr>
            </w:pPr>
            <w:r w:rsidRPr="006E6A79">
              <w:rPr>
                <w:rFonts w:asciiTheme="majorHAnsi" w:hAnsiTheme="majorHAnsi"/>
                <w:sz w:val="24"/>
                <w:szCs w:val="24"/>
              </w:rPr>
              <w:lastRenderedPageBreak/>
              <w:t>Sabrina Freewyn</w:t>
            </w:r>
            <w:r>
              <w:rPr>
                <w:rFonts w:asciiTheme="majorHAnsi" w:hAnsiTheme="majorHAnsi"/>
                <w:sz w:val="24"/>
                <w:szCs w:val="24"/>
              </w:rPr>
              <w:t>n</w:t>
            </w:r>
          </w:p>
        </w:tc>
      </w:tr>
      <w:tr w:rsidR="008D50F0" w:rsidRPr="006E6A79" w:rsidTr="00D468C1">
        <w:trPr>
          <w:trHeight w:val="890"/>
        </w:trPr>
        <w:tc>
          <w:tcPr>
            <w:tcW w:w="2808" w:type="dxa"/>
          </w:tcPr>
          <w:p w:rsidR="008D50F0" w:rsidRPr="006E6A79" w:rsidRDefault="008D50F0" w:rsidP="00700B00">
            <w:pPr>
              <w:rPr>
                <w:rFonts w:asciiTheme="majorHAnsi" w:hAnsiTheme="majorHAnsi"/>
                <w:b/>
                <w:bCs/>
                <w:sz w:val="24"/>
                <w:szCs w:val="24"/>
              </w:rPr>
            </w:pPr>
            <w:r w:rsidRPr="006E6A79">
              <w:rPr>
                <w:rFonts w:asciiTheme="majorHAnsi" w:hAnsiTheme="majorHAnsi"/>
                <w:sz w:val="24"/>
                <w:szCs w:val="24"/>
              </w:rPr>
              <w:lastRenderedPageBreak/>
              <w:t>Oregon Behavioral Risk Factors Surveillance System (BRFSS): County level data, 2010-2013</w:t>
            </w:r>
          </w:p>
          <w:p w:rsidR="008D50F0" w:rsidRPr="006E6A79" w:rsidRDefault="00035A30" w:rsidP="00700B00">
            <w:pPr>
              <w:rPr>
                <w:rFonts w:asciiTheme="majorHAnsi" w:hAnsiTheme="majorHAnsi"/>
                <w:color w:val="003300"/>
                <w:sz w:val="24"/>
                <w:szCs w:val="24"/>
              </w:rPr>
            </w:pPr>
            <w:r>
              <w:rPr>
                <w:rFonts w:asciiTheme="majorHAnsi" w:hAnsiTheme="majorHAnsi"/>
                <w:color w:val="003300"/>
                <w:sz w:val="24"/>
                <w:szCs w:val="24"/>
              </w:rPr>
              <w:t>Minutes (15</w:t>
            </w:r>
            <w:r w:rsidR="008D50F0" w:rsidRPr="006E6A79">
              <w:rPr>
                <w:rFonts w:asciiTheme="majorHAnsi" w:hAnsiTheme="majorHAnsi"/>
                <w:color w:val="003300"/>
                <w:sz w:val="24"/>
                <w:szCs w:val="24"/>
              </w:rPr>
              <w:t xml:space="preserve"> min)</w:t>
            </w:r>
          </w:p>
          <w:p w:rsidR="008D50F0" w:rsidRPr="006E6A79" w:rsidRDefault="008D50F0" w:rsidP="004F04BE">
            <w:pPr>
              <w:rPr>
                <w:rFonts w:asciiTheme="majorHAnsi" w:hAnsiTheme="majorHAnsi"/>
                <w:color w:val="003300"/>
                <w:sz w:val="24"/>
                <w:szCs w:val="24"/>
              </w:rPr>
            </w:pPr>
            <w:r>
              <w:rPr>
                <w:rFonts w:asciiTheme="majorHAnsi" w:hAnsiTheme="majorHAnsi"/>
                <w:color w:val="003300"/>
                <w:sz w:val="24"/>
                <w:szCs w:val="24"/>
              </w:rPr>
              <w:t>1:</w:t>
            </w:r>
            <w:r w:rsidR="00035A30">
              <w:rPr>
                <w:rFonts w:asciiTheme="majorHAnsi" w:hAnsiTheme="majorHAnsi"/>
                <w:color w:val="003300"/>
                <w:sz w:val="24"/>
                <w:szCs w:val="24"/>
              </w:rPr>
              <w:t>45-2:0</w:t>
            </w:r>
            <w:r w:rsidR="004F04BE">
              <w:rPr>
                <w:rFonts w:asciiTheme="majorHAnsi" w:hAnsiTheme="majorHAnsi"/>
                <w:color w:val="003300"/>
                <w:sz w:val="24"/>
                <w:szCs w:val="24"/>
              </w:rPr>
              <w:t>0</w:t>
            </w:r>
          </w:p>
        </w:tc>
        <w:tc>
          <w:tcPr>
            <w:tcW w:w="4140" w:type="dxa"/>
          </w:tcPr>
          <w:p w:rsidR="008D50F0" w:rsidRDefault="008D50F0" w:rsidP="00700B00">
            <w:pPr>
              <w:rPr>
                <w:rFonts w:asciiTheme="majorHAnsi" w:hAnsiTheme="majorHAnsi"/>
                <w:sz w:val="24"/>
                <w:szCs w:val="24"/>
              </w:rPr>
            </w:pPr>
            <w:r w:rsidRPr="006E6A79">
              <w:rPr>
                <w:rFonts w:asciiTheme="majorHAnsi" w:hAnsiTheme="majorHAnsi"/>
                <w:b/>
                <w:bCs/>
                <w:sz w:val="24"/>
                <w:szCs w:val="24"/>
              </w:rPr>
              <w:t xml:space="preserve">Background Information: </w:t>
            </w:r>
            <w:r w:rsidRPr="006E6A79">
              <w:rPr>
                <w:rFonts w:asciiTheme="majorHAnsi" w:hAnsiTheme="majorHAnsi"/>
                <w:sz w:val="24"/>
                <w:szCs w:val="24"/>
              </w:rPr>
              <w:t>Every other year, HPCDP creates a dataset to estimate the prevalence of chronic conditions, health risk factors, and preventive screening at the county level. The most current dataset available is almost complete and information will be available by the end of March, 2015.</w:t>
            </w:r>
          </w:p>
          <w:p w:rsidR="006E7534" w:rsidRPr="006E6A79" w:rsidRDefault="006E7534" w:rsidP="00700B00">
            <w:pPr>
              <w:rPr>
                <w:rFonts w:asciiTheme="majorHAnsi" w:hAnsiTheme="majorHAnsi"/>
                <w:b/>
                <w:bCs/>
                <w:sz w:val="24"/>
                <w:szCs w:val="24"/>
              </w:rPr>
            </w:pPr>
          </w:p>
          <w:p w:rsidR="008D50F0" w:rsidRPr="006E6A79" w:rsidRDefault="008D50F0" w:rsidP="00700B00">
            <w:pPr>
              <w:rPr>
                <w:rFonts w:asciiTheme="majorHAnsi" w:hAnsiTheme="majorHAnsi"/>
                <w:b/>
                <w:bCs/>
                <w:sz w:val="24"/>
                <w:szCs w:val="24"/>
              </w:rPr>
            </w:pPr>
            <w:r w:rsidRPr="006E6A79">
              <w:rPr>
                <w:rFonts w:asciiTheme="majorHAnsi" w:hAnsiTheme="majorHAnsi"/>
                <w:b/>
                <w:bCs/>
                <w:sz w:val="24"/>
                <w:szCs w:val="24"/>
              </w:rPr>
              <w:t>Objective:</w:t>
            </w:r>
            <w:r w:rsidRPr="006E6A79">
              <w:rPr>
                <w:rFonts w:asciiTheme="majorHAnsi" w:hAnsiTheme="majorHAnsi"/>
                <w:sz w:val="24"/>
                <w:szCs w:val="24"/>
              </w:rPr>
              <w:t xml:space="preserve"> Provide information about this dataset, including how it is collected and the methods for creating the dataset. A brief discuss</w:t>
            </w:r>
            <w:r>
              <w:rPr>
                <w:rFonts w:asciiTheme="majorHAnsi" w:hAnsiTheme="majorHAnsi"/>
                <w:sz w:val="24"/>
                <w:szCs w:val="24"/>
              </w:rPr>
              <w:t>ion on the limitations, use,</w:t>
            </w:r>
            <w:r w:rsidRPr="006E6A79">
              <w:rPr>
                <w:rFonts w:asciiTheme="majorHAnsi" w:hAnsiTheme="majorHAnsi"/>
                <w:sz w:val="24"/>
                <w:szCs w:val="24"/>
              </w:rPr>
              <w:t xml:space="preserve"> </w:t>
            </w:r>
            <w:r>
              <w:rPr>
                <w:rFonts w:asciiTheme="majorHAnsi" w:hAnsiTheme="majorHAnsi"/>
                <w:sz w:val="24"/>
                <w:szCs w:val="24"/>
              </w:rPr>
              <w:t xml:space="preserve">ways to share the information, and </w:t>
            </w:r>
            <w:r w:rsidRPr="006E6A79">
              <w:rPr>
                <w:rFonts w:asciiTheme="majorHAnsi" w:hAnsiTheme="majorHAnsi"/>
                <w:sz w:val="24"/>
                <w:szCs w:val="24"/>
              </w:rPr>
              <w:t xml:space="preserve">where to get the final results will also be presented. </w:t>
            </w:r>
          </w:p>
          <w:p w:rsidR="008D50F0" w:rsidRPr="006E6A79" w:rsidRDefault="008D50F0" w:rsidP="00700B00">
            <w:pPr>
              <w:pStyle w:val="NormalWeb"/>
              <w:spacing w:before="0" w:beforeAutospacing="0" w:after="0" w:afterAutospacing="0"/>
              <w:rPr>
                <w:rFonts w:asciiTheme="majorHAnsi" w:hAnsiTheme="majorHAnsi" w:cs="Times"/>
                <w:color w:val="000000"/>
              </w:rPr>
            </w:pPr>
          </w:p>
        </w:tc>
        <w:tc>
          <w:tcPr>
            <w:tcW w:w="5580" w:type="dxa"/>
          </w:tcPr>
          <w:p w:rsidR="008D50F0" w:rsidRPr="006E6A79" w:rsidRDefault="007630FB" w:rsidP="00762404">
            <w:pPr>
              <w:rPr>
                <w:rFonts w:asciiTheme="majorHAnsi" w:hAnsiTheme="majorHAnsi"/>
                <w:sz w:val="24"/>
                <w:szCs w:val="24"/>
              </w:rPr>
            </w:pPr>
            <w:r>
              <w:rPr>
                <w:rFonts w:asciiTheme="majorHAnsi" w:hAnsiTheme="majorHAnsi"/>
                <w:sz w:val="24"/>
                <w:szCs w:val="24"/>
              </w:rPr>
              <w:lastRenderedPageBreak/>
              <w:t xml:space="preserve">BRFSS is a survey that is conducted over the phone. It has been going on since 1998 in the state of Oregon. The survey is to learn about health status of our citizens on various health factors. County-level data to set will be up on the web by </w:t>
            </w:r>
            <w:r w:rsidR="00E77740">
              <w:rPr>
                <w:rFonts w:asciiTheme="majorHAnsi" w:hAnsiTheme="majorHAnsi"/>
                <w:sz w:val="24"/>
                <w:szCs w:val="24"/>
              </w:rPr>
              <w:t>mid-month</w:t>
            </w:r>
            <w:bookmarkStart w:id="0" w:name="_GoBack"/>
            <w:bookmarkEnd w:id="0"/>
            <w:r>
              <w:rPr>
                <w:rFonts w:asciiTheme="majorHAnsi" w:hAnsiTheme="majorHAnsi"/>
                <w:sz w:val="24"/>
                <w:szCs w:val="24"/>
              </w:rPr>
              <w:t xml:space="preserve">. Please continue to read </w:t>
            </w:r>
            <w:proofErr w:type="spellStart"/>
            <w:r>
              <w:rPr>
                <w:rFonts w:asciiTheme="majorHAnsi" w:hAnsiTheme="majorHAnsi"/>
                <w:sz w:val="24"/>
                <w:szCs w:val="24"/>
              </w:rPr>
              <w:t>listservs</w:t>
            </w:r>
            <w:proofErr w:type="spellEnd"/>
            <w:r>
              <w:rPr>
                <w:rFonts w:asciiTheme="majorHAnsi" w:hAnsiTheme="majorHAnsi"/>
                <w:sz w:val="24"/>
                <w:szCs w:val="24"/>
              </w:rPr>
              <w:t xml:space="preserve"> for more information</w:t>
            </w:r>
            <w:r w:rsidR="00E87FEC">
              <w:rPr>
                <w:rFonts w:asciiTheme="majorHAnsi" w:hAnsiTheme="majorHAnsi"/>
                <w:sz w:val="24"/>
                <w:szCs w:val="24"/>
              </w:rPr>
              <w:t>.</w:t>
            </w:r>
            <w:r w:rsidR="00D03585">
              <w:rPr>
                <w:rFonts w:asciiTheme="majorHAnsi" w:hAnsiTheme="majorHAnsi"/>
                <w:sz w:val="24"/>
                <w:szCs w:val="24"/>
              </w:rPr>
              <w:t xml:space="preserve"> </w:t>
            </w:r>
          </w:p>
        </w:tc>
        <w:tc>
          <w:tcPr>
            <w:tcW w:w="2088" w:type="dxa"/>
          </w:tcPr>
          <w:p w:rsidR="008D50F0" w:rsidRPr="006E6A79" w:rsidRDefault="008D50F0" w:rsidP="00700B00">
            <w:pPr>
              <w:rPr>
                <w:rFonts w:asciiTheme="majorHAnsi" w:hAnsiTheme="majorHAnsi"/>
                <w:sz w:val="24"/>
                <w:szCs w:val="24"/>
              </w:rPr>
            </w:pPr>
            <w:r w:rsidRPr="006E6A79">
              <w:rPr>
                <w:rFonts w:asciiTheme="majorHAnsi" w:hAnsiTheme="majorHAnsi"/>
                <w:sz w:val="24"/>
                <w:szCs w:val="24"/>
              </w:rPr>
              <w:t>Stacey Schubert</w:t>
            </w:r>
          </w:p>
        </w:tc>
      </w:tr>
      <w:tr w:rsidR="008D50F0" w:rsidRPr="006E6A79" w:rsidTr="00D468C1">
        <w:trPr>
          <w:trHeight w:val="890"/>
        </w:trPr>
        <w:tc>
          <w:tcPr>
            <w:tcW w:w="2808" w:type="dxa"/>
          </w:tcPr>
          <w:p w:rsidR="008D50F0" w:rsidRPr="006E6A79" w:rsidRDefault="004F04BE" w:rsidP="004F04BE">
            <w:pPr>
              <w:rPr>
                <w:rFonts w:asciiTheme="majorHAnsi" w:hAnsiTheme="majorHAnsi"/>
                <w:sz w:val="24"/>
                <w:szCs w:val="24"/>
              </w:rPr>
            </w:pPr>
            <w:r>
              <w:rPr>
                <w:rFonts w:asciiTheme="majorHAnsi" w:hAnsiTheme="majorHAnsi"/>
                <w:sz w:val="24"/>
                <w:szCs w:val="24"/>
              </w:rPr>
              <w:lastRenderedPageBreak/>
              <w:t>Stretch Break (5</w:t>
            </w:r>
            <w:r w:rsidR="008D50F0" w:rsidRPr="006E6A79">
              <w:rPr>
                <w:rFonts w:asciiTheme="majorHAnsi" w:hAnsiTheme="majorHAnsi"/>
                <w:sz w:val="24"/>
                <w:szCs w:val="24"/>
              </w:rPr>
              <w:t xml:space="preserve"> min) </w:t>
            </w:r>
            <w:r w:rsidR="00035A30">
              <w:rPr>
                <w:rFonts w:asciiTheme="majorHAnsi" w:hAnsiTheme="majorHAnsi"/>
                <w:sz w:val="24"/>
                <w:szCs w:val="24"/>
              </w:rPr>
              <w:t>2:00 – 2:05</w:t>
            </w:r>
            <w:r w:rsidR="008D50F0" w:rsidRPr="006E6A79">
              <w:rPr>
                <w:rFonts w:asciiTheme="majorHAnsi" w:hAnsiTheme="majorHAnsi"/>
                <w:sz w:val="24"/>
                <w:szCs w:val="24"/>
              </w:rPr>
              <w:t xml:space="preserve"> </w:t>
            </w:r>
          </w:p>
        </w:tc>
        <w:tc>
          <w:tcPr>
            <w:tcW w:w="4140" w:type="dxa"/>
          </w:tcPr>
          <w:p w:rsidR="008D50F0" w:rsidRPr="006E6A79" w:rsidRDefault="008D50F0" w:rsidP="00700B00">
            <w:pPr>
              <w:rPr>
                <w:rFonts w:asciiTheme="majorHAnsi" w:hAnsiTheme="majorHAnsi"/>
                <w:sz w:val="24"/>
                <w:szCs w:val="24"/>
              </w:rPr>
            </w:pPr>
          </w:p>
        </w:tc>
        <w:tc>
          <w:tcPr>
            <w:tcW w:w="5580" w:type="dxa"/>
          </w:tcPr>
          <w:p w:rsidR="008D50F0" w:rsidRPr="006E6A79" w:rsidRDefault="008D50F0" w:rsidP="00700B00">
            <w:pPr>
              <w:rPr>
                <w:rFonts w:asciiTheme="majorHAnsi" w:hAnsiTheme="majorHAnsi"/>
                <w:sz w:val="24"/>
                <w:szCs w:val="24"/>
              </w:rPr>
            </w:pPr>
          </w:p>
        </w:tc>
        <w:tc>
          <w:tcPr>
            <w:tcW w:w="2088" w:type="dxa"/>
          </w:tcPr>
          <w:p w:rsidR="008D50F0" w:rsidRPr="006E6A79" w:rsidRDefault="008D50F0" w:rsidP="00700B00">
            <w:pPr>
              <w:rPr>
                <w:rFonts w:asciiTheme="majorHAnsi" w:hAnsiTheme="majorHAnsi"/>
                <w:sz w:val="24"/>
                <w:szCs w:val="24"/>
              </w:rPr>
            </w:pPr>
            <w:r w:rsidRPr="006E6A79">
              <w:rPr>
                <w:rFonts w:asciiTheme="majorHAnsi" w:hAnsiTheme="majorHAnsi"/>
                <w:sz w:val="24"/>
                <w:szCs w:val="24"/>
              </w:rPr>
              <w:t>All</w:t>
            </w:r>
          </w:p>
        </w:tc>
      </w:tr>
      <w:tr w:rsidR="00FB7BAE" w:rsidRPr="006E6A79" w:rsidTr="00D468C1">
        <w:trPr>
          <w:trHeight w:val="692"/>
        </w:trPr>
        <w:tc>
          <w:tcPr>
            <w:tcW w:w="2808" w:type="dxa"/>
          </w:tcPr>
          <w:p w:rsidR="00FB7BAE" w:rsidRPr="006E6A79" w:rsidRDefault="00FB7BAE" w:rsidP="00700B00">
            <w:pPr>
              <w:rPr>
                <w:rFonts w:asciiTheme="majorHAnsi" w:hAnsiTheme="majorHAnsi"/>
                <w:bCs/>
                <w:sz w:val="24"/>
                <w:szCs w:val="24"/>
              </w:rPr>
            </w:pPr>
            <w:r w:rsidRPr="006E6A79">
              <w:rPr>
                <w:rFonts w:asciiTheme="majorHAnsi" w:hAnsiTheme="majorHAnsi"/>
                <w:bCs/>
                <w:sz w:val="24"/>
                <w:szCs w:val="24"/>
              </w:rPr>
              <w:t>Land Re-use and Brownfields Redevelopment Grant</w:t>
            </w:r>
          </w:p>
          <w:p w:rsidR="00FB7BAE" w:rsidRPr="006E6A79" w:rsidRDefault="00FB7BAE" w:rsidP="00700B00">
            <w:pPr>
              <w:rPr>
                <w:rFonts w:asciiTheme="majorHAnsi" w:hAnsiTheme="majorHAnsi"/>
                <w:bCs/>
                <w:sz w:val="24"/>
                <w:szCs w:val="24"/>
              </w:rPr>
            </w:pPr>
            <w:r w:rsidRPr="006E6A79">
              <w:rPr>
                <w:rFonts w:asciiTheme="majorHAnsi" w:hAnsiTheme="majorHAnsi"/>
                <w:bCs/>
                <w:sz w:val="24"/>
                <w:szCs w:val="24"/>
              </w:rPr>
              <w:t>(15 min.)</w:t>
            </w:r>
          </w:p>
          <w:p w:rsidR="00FB7BAE" w:rsidRPr="006E6A79" w:rsidRDefault="00FB7BAE" w:rsidP="004F04BE">
            <w:pPr>
              <w:rPr>
                <w:rFonts w:asciiTheme="majorHAnsi" w:hAnsiTheme="majorHAnsi"/>
                <w:sz w:val="24"/>
                <w:szCs w:val="24"/>
              </w:rPr>
            </w:pPr>
            <w:r>
              <w:rPr>
                <w:rFonts w:asciiTheme="majorHAnsi" w:hAnsiTheme="majorHAnsi"/>
                <w:bCs/>
                <w:sz w:val="24"/>
                <w:szCs w:val="24"/>
              </w:rPr>
              <w:t>2:05 – 2:20</w:t>
            </w:r>
          </w:p>
        </w:tc>
        <w:tc>
          <w:tcPr>
            <w:tcW w:w="4140" w:type="dxa"/>
          </w:tcPr>
          <w:p w:rsidR="00FB7BAE" w:rsidRPr="006E6A79" w:rsidRDefault="00FB7BAE" w:rsidP="00700B00">
            <w:pPr>
              <w:rPr>
                <w:rFonts w:asciiTheme="majorHAnsi" w:hAnsiTheme="majorHAnsi"/>
                <w:bCs/>
                <w:sz w:val="24"/>
                <w:szCs w:val="24"/>
              </w:rPr>
            </w:pPr>
            <w:r w:rsidRPr="006E6A79">
              <w:rPr>
                <w:rFonts w:asciiTheme="majorHAnsi" w:hAnsiTheme="majorHAnsi"/>
                <w:b/>
                <w:bCs/>
                <w:sz w:val="24"/>
                <w:szCs w:val="24"/>
              </w:rPr>
              <w:t>Background Information</w:t>
            </w:r>
            <w:r w:rsidRPr="006E6A79">
              <w:rPr>
                <w:rFonts w:asciiTheme="majorHAnsi" w:hAnsiTheme="majorHAnsi"/>
                <w:bCs/>
                <w:sz w:val="24"/>
                <w:szCs w:val="24"/>
              </w:rPr>
              <w:t xml:space="preserve"> – The Agency for Toxic Substances and Disease Registry will be releasing an FOA in March for community health proje</w:t>
            </w:r>
            <w:r>
              <w:rPr>
                <w:rFonts w:asciiTheme="majorHAnsi" w:hAnsiTheme="majorHAnsi"/>
                <w:bCs/>
                <w:sz w:val="24"/>
                <w:szCs w:val="24"/>
              </w:rPr>
              <w:t>cts related to land re-use and B</w:t>
            </w:r>
            <w:r w:rsidRPr="006E6A79">
              <w:rPr>
                <w:rFonts w:asciiTheme="majorHAnsi" w:hAnsiTheme="majorHAnsi"/>
                <w:bCs/>
                <w:sz w:val="24"/>
                <w:szCs w:val="24"/>
              </w:rPr>
              <w:t xml:space="preserve">rownfields redevelopment.  This has been the funding source for the state’s Brownfields work over the past </w:t>
            </w:r>
            <w:r>
              <w:rPr>
                <w:rFonts w:asciiTheme="majorHAnsi" w:hAnsiTheme="majorHAnsi"/>
                <w:bCs/>
                <w:sz w:val="24"/>
                <w:szCs w:val="24"/>
              </w:rPr>
              <w:t>four</w:t>
            </w:r>
            <w:r w:rsidRPr="006E6A79">
              <w:rPr>
                <w:rFonts w:asciiTheme="majorHAnsi" w:hAnsiTheme="majorHAnsi"/>
                <w:bCs/>
                <w:sz w:val="24"/>
                <w:szCs w:val="24"/>
              </w:rPr>
              <w:t xml:space="preserve"> years and for three county mini-grants in the last </w:t>
            </w:r>
            <w:r>
              <w:rPr>
                <w:rFonts w:asciiTheme="majorHAnsi" w:hAnsiTheme="majorHAnsi"/>
                <w:bCs/>
                <w:sz w:val="24"/>
                <w:szCs w:val="24"/>
              </w:rPr>
              <w:t>two</w:t>
            </w:r>
            <w:r w:rsidRPr="006E6A79">
              <w:rPr>
                <w:rFonts w:asciiTheme="majorHAnsi" w:hAnsiTheme="majorHAnsi"/>
                <w:bCs/>
                <w:sz w:val="24"/>
                <w:szCs w:val="24"/>
              </w:rPr>
              <w:t xml:space="preserve"> years.  We would like to fund county projects through this grant.  For the most competitive application, we need to identify these projects ahead of time. </w:t>
            </w:r>
          </w:p>
          <w:p w:rsidR="00FB7BAE" w:rsidRPr="006E6A79" w:rsidRDefault="00FB7BAE" w:rsidP="00700B00">
            <w:pPr>
              <w:rPr>
                <w:rFonts w:asciiTheme="majorHAnsi" w:hAnsiTheme="majorHAnsi"/>
                <w:bCs/>
                <w:sz w:val="24"/>
                <w:szCs w:val="24"/>
              </w:rPr>
            </w:pPr>
          </w:p>
          <w:p w:rsidR="00FB7BAE" w:rsidRPr="006E6A79" w:rsidRDefault="00FB7BAE" w:rsidP="00700B00">
            <w:pPr>
              <w:rPr>
                <w:rFonts w:asciiTheme="majorHAnsi" w:hAnsiTheme="majorHAnsi"/>
                <w:bCs/>
                <w:sz w:val="24"/>
                <w:szCs w:val="24"/>
              </w:rPr>
            </w:pPr>
            <w:r w:rsidRPr="006E6A79">
              <w:rPr>
                <w:rFonts w:asciiTheme="majorHAnsi" w:hAnsiTheme="majorHAnsi"/>
                <w:b/>
                <w:bCs/>
                <w:sz w:val="24"/>
                <w:szCs w:val="24"/>
              </w:rPr>
              <w:t>Objective</w:t>
            </w:r>
            <w:r w:rsidRPr="006E6A79">
              <w:rPr>
                <w:rFonts w:asciiTheme="majorHAnsi" w:hAnsiTheme="majorHAnsi"/>
                <w:bCs/>
                <w:sz w:val="24"/>
                <w:szCs w:val="24"/>
              </w:rPr>
              <w:t xml:space="preserve"> – To get feedback on a process by which we can select potential county projects to include in the grant application</w:t>
            </w:r>
          </w:p>
          <w:p w:rsidR="00FB7BAE" w:rsidRPr="006E6A79" w:rsidRDefault="00FB7BAE" w:rsidP="00700B00">
            <w:pPr>
              <w:pStyle w:val="ListParagraph"/>
              <w:contextualSpacing w:val="0"/>
              <w:rPr>
                <w:rFonts w:asciiTheme="majorHAnsi" w:hAnsiTheme="majorHAnsi" w:cs="Times"/>
                <w:sz w:val="24"/>
                <w:szCs w:val="24"/>
              </w:rPr>
            </w:pPr>
          </w:p>
        </w:tc>
        <w:tc>
          <w:tcPr>
            <w:tcW w:w="5580" w:type="dxa"/>
          </w:tcPr>
          <w:p w:rsidR="00FB7BAE" w:rsidRDefault="00FB7BAE" w:rsidP="0022181F">
            <w:pPr>
              <w:rPr>
                <w:rFonts w:asciiTheme="majorHAnsi" w:hAnsiTheme="majorHAnsi"/>
                <w:sz w:val="24"/>
                <w:szCs w:val="24"/>
              </w:rPr>
            </w:pPr>
            <w:r>
              <w:rPr>
                <w:rFonts w:asciiTheme="majorHAnsi" w:hAnsiTheme="majorHAnsi"/>
                <w:sz w:val="24"/>
                <w:szCs w:val="24"/>
              </w:rPr>
              <w:t xml:space="preserve">Since 2010, the state health department applies for a year to year nationally competitive ATSDR grant to fund the Brownfield Initiative.  </w:t>
            </w:r>
          </w:p>
          <w:p w:rsidR="00FB7BAE" w:rsidRDefault="00FB7BAE" w:rsidP="0022181F">
            <w:pPr>
              <w:rPr>
                <w:rFonts w:asciiTheme="majorHAnsi" w:hAnsiTheme="majorHAnsi"/>
                <w:sz w:val="24"/>
                <w:szCs w:val="24"/>
              </w:rPr>
            </w:pPr>
          </w:p>
          <w:p w:rsidR="00FB7BAE" w:rsidRDefault="00FB7BAE" w:rsidP="0022181F">
            <w:pPr>
              <w:rPr>
                <w:rFonts w:asciiTheme="majorHAnsi" w:hAnsiTheme="majorHAnsi"/>
                <w:bCs/>
                <w:sz w:val="24"/>
                <w:szCs w:val="24"/>
              </w:rPr>
            </w:pPr>
            <w:r>
              <w:rPr>
                <w:rFonts w:asciiTheme="majorHAnsi" w:hAnsiTheme="majorHAnsi"/>
                <w:sz w:val="24"/>
                <w:szCs w:val="24"/>
              </w:rPr>
              <w:t xml:space="preserve">In preparation to respond with another proposal for the next ATSDR FOA, the Brownfield Initiative is asking LHDs and tribal health authorities to let Kari Christensen know if </w:t>
            </w:r>
            <w:proofErr w:type="gramStart"/>
            <w:r>
              <w:rPr>
                <w:rFonts w:asciiTheme="majorHAnsi" w:hAnsiTheme="majorHAnsi"/>
                <w:sz w:val="24"/>
                <w:szCs w:val="24"/>
              </w:rPr>
              <w:t>your</w:t>
            </w:r>
            <w:proofErr w:type="gramEnd"/>
            <w:r>
              <w:rPr>
                <w:rFonts w:asciiTheme="majorHAnsi" w:hAnsiTheme="majorHAnsi"/>
                <w:sz w:val="24"/>
                <w:szCs w:val="24"/>
              </w:rPr>
              <w:t xml:space="preserve"> LHD or tribal health authority has </w:t>
            </w:r>
            <w:r>
              <w:rPr>
                <w:rFonts w:asciiTheme="majorHAnsi" w:hAnsiTheme="majorHAnsi"/>
                <w:bCs/>
                <w:sz w:val="24"/>
                <w:szCs w:val="24"/>
              </w:rPr>
              <w:t>interest in applying for a mini-grant for the next cycle of funding. If OHA is successful at obtaining funding LHD and tribal health authority mini-grant projects would be supported from 01/15/16-09/29/16 at $15,000-20,000 per project (2-3 projects will be selected).</w:t>
            </w:r>
          </w:p>
          <w:p w:rsidR="00FB7BAE" w:rsidRDefault="00FB7BAE" w:rsidP="0022181F">
            <w:pPr>
              <w:rPr>
                <w:rFonts w:asciiTheme="majorHAnsi" w:hAnsiTheme="majorHAnsi"/>
                <w:bCs/>
                <w:sz w:val="24"/>
                <w:szCs w:val="24"/>
              </w:rPr>
            </w:pPr>
          </w:p>
          <w:p w:rsidR="00FB7BAE" w:rsidRDefault="00FB7BAE" w:rsidP="0022181F">
            <w:pPr>
              <w:rPr>
                <w:rFonts w:asciiTheme="majorHAnsi" w:hAnsiTheme="majorHAnsi"/>
                <w:bCs/>
                <w:sz w:val="24"/>
                <w:szCs w:val="24"/>
              </w:rPr>
            </w:pPr>
            <w:r>
              <w:rPr>
                <w:rFonts w:asciiTheme="majorHAnsi" w:hAnsiTheme="majorHAnsi"/>
                <w:bCs/>
                <w:sz w:val="24"/>
                <w:szCs w:val="24"/>
              </w:rPr>
              <w:t xml:space="preserve">If you would like to do some Brownfield work, please respond to the email that will be </w:t>
            </w:r>
            <w:r w:rsidRPr="00072971">
              <w:rPr>
                <w:rFonts w:asciiTheme="majorHAnsi" w:hAnsiTheme="majorHAnsi"/>
                <w:bCs/>
                <w:sz w:val="24"/>
                <w:szCs w:val="24"/>
              </w:rPr>
              <w:t xml:space="preserve">forthcoming. The message will go </w:t>
            </w:r>
            <w:r w:rsidR="00351927" w:rsidRPr="00072971">
              <w:rPr>
                <w:rFonts w:asciiTheme="majorHAnsi" w:hAnsiTheme="majorHAnsi"/>
                <w:bCs/>
                <w:sz w:val="24"/>
                <w:szCs w:val="24"/>
              </w:rPr>
              <w:t xml:space="preserve">out </w:t>
            </w:r>
            <w:r w:rsidR="005936E8" w:rsidRPr="00072971">
              <w:rPr>
                <w:rFonts w:asciiTheme="majorHAnsi" w:hAnsiTheme="majorHAnsi"/>
                <w:bCs/>
                <w:sz w:val="24"/>
                <w:szCs w:val="24"/>
              </w:rPr>
              <w:t xml:space="preserve">to Health Administrators and Program Managers </w:t>
            </w:r>
            <w:r w:rsidRPr="00072971">
              <w:rPr>
                <w:rFonts w:asciiTheme="majorHAnsi" w:hAnsiTheme="majorHAnsi"/>
                <w:bCs/>
                <w:sz w:val="24"/>
                <w:szCs w:val="24"/>
              </w:rPr>
              <w:t>the</w:t>
            </w:r>
            <w:r>
              <w:rPr>
                <w:rFonts w:asciiTheme="majorHAnsi" w:hAnsiTheme="majorHAnsi"/>
                <w:bCs/>
                <w:sz w:val="24"/>
                <w:szCs w:val="24"/>
              </w:rPr>
              <w:t xml:space="preserve"> week of 3/16, and counties and tribes should reply with a letter of interest by 4/8. A template for your letter will be included in the email requesting your interest. Thank you!</w:t>
            </w:r>
          </w:p>
          <w:p w:rsidR="00FB7BAE" w:rsidRPr="006E6A79" w:rsidRDefault="00FB7BAE" w:rsidP="0022181F">
            <w:pPr>
              <w:rPr>
                <w:rFonts w:asciiTheme="majorHAnsi" w:hAnsiTheme="majorHAnsi"/>
                <w:sz w:val="24"/>
                <w:szCs w:val="24"/>
              </w:rPr>
            </w:pPr>
          </w:p>
        </w:tc>
        <w:tc>
          <w:tcPr>
            <w:tcW w:w="2088" w:type="dxa"/>
          </w:tcPr>
          <w:p w:rsidR="00FB7BAE" w:rsidRPr="006E6A79" w:rsidRDefault="00FB7BAE" w:rsidP="00700B00">
            <w:pPr>
              <w:rPr>
                <w:rFonts w:asciiTheme="majorHAnsi" w:hAnsiTheme="majorHAnsi"/>
                <w:sz w:val="24"/>
                <w:szCs w:val="24"/>
              </w:rPr>
            </w:pPr>
            <w:r w:rsidRPr="006E6A79">
              <w:rPr>
                <w:rFonts w:asciiTheme="majorHAnsi" w:hAnsiTheme="majorHAnsi"/>
                <w:bCs/>
                <w:sz w:val="24"/>
                <w:szCs w:val="24"/>
              </w:rPr>
              <w:t>Julie Early-</w:t>
            </w:r>
            <w:proofErr w:type="spellStart"/>
            <w:r w:rsidRPr="006E6A79">
              <w:rPr>
                <w:rFonts w:asciiTheme="majorHAnsi" w:hAnsiTheme="majorHAnsi"/>
                <w:bCs/>
                <w:sz w:val="24"/>
                <w:szCs w:val="24"/>
              </w:rPr>
              <w:t>Alberts</w:t>
            </w:r>
            <w:proofErr w:type="spellEnd"/>
            <w:r w:rsidRPr="006E6A79">
              <w:rPr>
                <w:rFonts w:asciiTheme="majorHAnsi" w:hAnsiTheme="majorHAnsi"/>
                <w:bCs/>
                <w:sz w:val="24"/>
                <w:szCs w:val="24"/>
              </w:rPr>
              <w:t>, Kari Christensen</w:t>
            </w:r>
          </w:p>
        </w:tc>
      </w:tr>
      <w:tr w:rsidR="00FB7BAE" w:rsidRPr="006E6A79" w:rsidTr="00D468C1">
        <w:trPr>
          <w:trHeight w:val="1160"/>
        </w:trPr>
        <w:tc>
          <w:tcPr>
            <w:tcW w:w="2808" w:type="dxa"/>
          </w:tcPr>
          <w:p w:rsidR="00FB7BAE" w:rsidRPr="006E6A79" w:rsidRDefault="00FB7BAE" w:rsidP="0001214E">
            <w:pPr>
              <w:rPr>
                <w:rFonts w:asciiTheme="majorHAnsi" w:hAnsiTheme="majorHAnsi"/>
                <w:sz w:val="24"/>
                <w:szCs w:val="24"/>
              </w:rPr>
            </w:pPr>
            <w:r>
              <w:rPr>
                <w:rFonts w:asciiTheme="majorHAnsi" w:hAnsiTheme="majorHAnsi"/>
                <w:sz w:val="24"/>
                <w:szCs w:val="24"/>
              </w:rPr>
              <w:t>Updates &amp; Announcements (20</w:t>
            </w:r>
            <w:r w:rsidRPr="006E6A79">
              <w:rPr>
                <w:rFonts w:asciiTheme="majorHAnsi" w:hAnsiTheme="majorHAnsi"/>
                <w:sz w:val="24"/>
                <w:szCs w:val="24"/>
              </w:rPr>
              <w:t xml:space="preserve"> min)</w:t>
            </w:r>
          </w:p>
          <w:p w:rsidR="00FB7BAE" w:rsidRPr="006E6A79" w:rsidRDefault="00FB7BAE" w:rsidP="0017000E">
            <w:pPr>
              <w:rPr>
                <w:rFonts w:asciiTheme="majorHAnsi" w:hAnsiTheme="majorHAnsi"/>
                <w:sz w:val="24"/>
                <w:szCs w:val="24"/>
              </w:rPr>
            </w:pPr>
            <w:r>
              <w:rPr>
                <w:rFonts w:asciiTheme="majorHAnsi" w:hAnsiTheme="majorHAnsi"/>
                <w:sz w:val="24"/>
                <w:szCs w:val="24"/>
              </w:rPr>
              <w:t>2:20</w:t>
            </w:r>
            <w:r w:rsidRPr="006E6A79">
              <w:rPr>
                <w:rFonts w:asciiTheme="majorHAnsi" w:hAnsiTheme="majorHAnsi"/>
                <w:sz w:val="24"/>
                <w:szCs w:val="24"/>
              </w:rPr>
              <w:t xml:space="preserve"> – </w:t>
            </w:r>
            <w:r>
              <w:rPr>
                <w:rFonts w:asciiTheme="majorHAnsi" w:hAnsiTheme="majorHAnsi"/>
                <w:sz w:val="24"/>
                <w:szCs w:val="24"/>
              </w:rPr>
              <w:t>2:40</w:t>
            </w:r>
          </w:p>
        </w:tc>
        <w:tc>
          <w:tcPr>
            <w:tcW w:w="4140" w:type="dxa"/>
          </w:tcPr>
          <w:p w:rsidR="00FB7BAE" w:rsidRPr="006E6A79" w:rsidRDefault="00FB7BAE" w:rsidP="0001214E">
            <w:pPr>
              <w:rPr>
                <w:rFonts w:asciiTheme="majorHAnsi" w:hAnsiTheme="majorHAnsi"/>
                <w:sz w:val="24"/>
                <w:szCs w:val="24"/>
              </w:rPr>
            </w:pPr>
          </w:p>
        </w:tc>
        <w:tc>
          <w:tcPr>
            <w:tcW w:w="5580" w:type="dxa"/>
          </w:tcPr>
          <w:p w:rsidR="00FB7BAE" w:rsidRPr="006E6A79" w:rsidRDefault="00FB7BAE">
            <w:pPr>
              <w:rPr>
                <w:rFonts w:asciiTheme="majorHAnsi" w:hAnsiTheme="majorHAnsi"/>
                <w:sz w:val="24"/>
                <w:szCs w:val="24"/>
              </w:rPr>
            </w:pPr>
          </w:p>
        </w:tc>
        <w:tc>
          <w:tcPr>
            <w:tcW w:w="2088" w:type="dxa"/>
          </w:tcPr>
          <w:p w:rsidR="00FB7BAE" w:rsidRPr="006E6A79" w:rsidRDefault="00FB7BAE" w:rsidP="0001214E">
            <w:pPr>
              <w:rPr>
                <w:rFonts w:asciiTheme="majorHAnsi" w:hAnsiTheme="majorHAnsi"/>
                <w:sz w:val="24"/>
                <w:szCs w:val="24"/>
              </w:rPr>
            </w:pPr>
            <w:r w:rsidRPr="006E6A79">
              <w:rPr>
                <w:rFonts w:asciiTheme="majorHAnsi" w:hAnsiTheme="majorHAnsi"/>
                <w:sz w:val="24"/>
                <w:szCs w:val="24"/>
              </w:rPr>
              <w:t>All</w:t>
            </w:r>
          </w:p>
        </w:tc>
      </w:tr>
      <w:tr w:rsidR="00FB7BAE" w:rsidRPr="006E6A79" w:rsidTr="00D468C1">
        <w:trPr>
          <w:trHeight w:val="278"/>
        </w:trPr>
        <w:tc>
          <w:tcPr>
            <w:tcW w:w="2808" w:type="dxa"/>
          </w:tcPr>
          <w:p w:rsidR="00FB7BAE" w:rsidRPr="006E6A79" w:rsidRDefault="00FB7BAE" w:rsidP="0001214E">
            <w:pPr>
              <w:rPr>
                <w:rFonts w:asciiTheme="majorHAnsi" w:hAnsiTheme="majorHAnsi"/>
                <w:sz w:val="24"/>
                <w:szCs w:val="24"/>
              </w:rPr>
            </w:pPr>
            <w:r w:rsidRPr="006E6A79">
              <w:rPr>
                <w:rFonts w:asciiTheme="majorHAnsi" w:hAnsiTheme="majorHAnsi"/>
                <w:sz w:val="24"/>
                <w:szCs w:val="24"/>
              </w:rPr>
              <w:t>Adjourn</w:t>
            </w:r>
          </w:p>
        </w:tc>
        <w:tc>
          <w:tcPr>
            <w:tcW w:w="4140" w:type="dxa"/>
          </w:tcPr>
          <w:p w:rsidR="00FB7BAE" w:rsidRPr="006E6A79" w:rsidRDefault="00FB7BAE" w:rsidP="0001214E">
            <w:pPr>
              <w:rPr>
                <w:rFonts w:asciiTheme="majorHAnsi" w:hAnsiTheme="majorHAnsi"/>
                <w:sz w:val="24"/>
                <w:szCs w:val="24"/>
              </w:rPr>
            </w:pPr>
          </w:p>
        </w:tc>
        <w:tc>
          <w:tcPr>
            <w:tcW w:w="5580" w:type="dxa"/>
          </w:tcPr>
          <w:p w:rsidR="00FB7BAE" w:rsidRPr="006E6A79" w:rsidRDefault="00FB7BAE" w:rsidP="0001214E">
            <w:pPr>
              <w:rPr>
                <w:rFonts w:asciiTheme="majorHAnsi" w:hAnsiTheme="majorHAnsi"/>
                <w:sz w:val="24"/>
                <w:szCs w:val="24"/>
              </w:rPr>
            </w:pPr>
            <w:r>
              <w:rPr>
                <w:rFonts w:asciiTheme="majorHAnsi" w:hAnsiTheme="majorHAnsi"/>
                <w:sz w:val="24"/>
                <w:szCs w:val="24"/>
              </w:rPr>
              <w:t>Adjourn 2:30</w:t>
            </w:r>
          </w:p>
        </w:tc>
        <w:tc>
          <w:tcPr>
            <w:tcW w:w="2088" w:type="dxa"/>
          </w:tcPr>
          <w:p w:rsidR="00FB7BAE" w:rsidRPr="006E6A79" w:rsidRDefault="00FB7BAE" w:rsidP="0001214E">
            <w:pPr>
              <w:rPr>
                <w:rFonts w:asciiTheme="majorHAnsi" w:hAnsiTheme="majorHAnsi"/>
                <w:sz w:val="24"/>
                <w:szCs w:val="24"/>
              </w:rPr>
            </w:pPr>
          </w:p>
        </w:tc>
      </w:tr>
    </w:tbl>
    <w:p w:rsidR="009B1451" w:rsidRPr="006E6A79" w:rsidRDefault="009B1451" w:rsidP="00E36A8C">
      <w:pPr>
        <w:rPr>
          <w:rFonts w:asciiTheme="majorHAnsi" w:hAnsiTheme="majorHAnsi"/>
          <w:sz w:val="24"/>
          <w:szCs w:val="24"/>
          <w:u w:val="single"/>
        </w:rPr>
      </w:pPr>
    </w:p>
    <w:p w:rsidR="009F36EB" w:rsidRPr="004F5E4F" w:rsidRDefault="00BD7097" w:rsidP="004F5E4F">
      <w:pPr>
        <w:rPr>
          <w:rFonts w:asciiTheme="majorHAnsi" w:hAnsiTheme="majorHAnsi"/>
          <w:sz w:val="24"/>
          <w:szCs w:val="24"/>
          <w:u w:val="single"/>
        </w:rPr>
      </w:pPr>
      <w:r w:rsidRPr="006E6A79">
        <w:rPr>
          <w:rFonts w:asciiTheme="majorHAnsi" w:hAnsiTheme="majorHAnsi"/>
          <w:sz w:val="24"/>
          <w:szCs w:val="24"/>
          <w:u w:val="single"/>
        </w:rPr>
        <w:t>Future</w:t>
      </w:r>
      <w:r w:rsidR="004F5E4F">
        <w:rPr>
          <w:rFonts w:asciiTheme="majorHAnsi" w:hAnsiTheme="majorHAnsi"/>
          <w:sz w:val="24"/>
          <w:szCs w:val="24"/>
          <w:u w:val="single"/>
        </w:rPr>
        <w:t xml:space="preserve"> Topics:</w:t>
      </w:r>
    </w:p>
    <w:p w:rsidR="00225301" w:rsidRPr="006E6A79" w:rsidRDefault="00225301" w:rsidP="00225301">
      <w:pPr>
        <w:rPr>
          <w:rFonts w:asciiTheme="majorHAnsi" w:hAnsiTheme="majorHAnsi"/>
          <w:sz w:val="24"/>
          <w:szCs w:val="24"/>
          <w:u w:val="single"/>
        </w:rPr>
      </w:pPr>
    </w:p>
    <w:p w:rsidR="00225301" w:rsidRPr="00840E0A" w:rsidRDefault="00225301" w:rsidP="00225301">
      <w:pPr>
        <w:rPr>
          <w:rFonts w:asciiTheme="majorHAnsi" w:hAnsiTheme="majorHAnsi"/>
          <w:sz w:val="24"/>
          <w:szCs w:val="24"/>
          <w:u w:val="single"/>
        </w:rPr>
      </w:pPr>
    </w:p>
    <w:p w:rsidR="00C662A4" w:rsidRPr="00840E0A" w:rsidRDefault="00E36A8C" w:rsidP="00690827">
      <w:pPr>
        <w:rPr>
          <w:rFonts w:asciiTheme="majorHAnsi" w:hAnsiTheme="majorHAnsi"/>
          <w:sz w:val="24"/>
          <w:szCs w:val="24"/>
          <w:u w:val="single"/>
        </w:rPr>
      </w:pPr>
      <w:r w:rsidRPr="00840E0A">
        <w:rPr>
          <w:rFonts w:asciiTheme="majorHAnsi" w:hAnsiTheme="majorHAnsi"/>
          <w:sz w:val="24"/>
          <w:szCs w:val="24"/>
          <w:u w:val="single"/>
        </w:rPr>
        <w:t xml:space="preserve">Announcements: </w:t>
      </w:r>
    </w:p>
    <w:p w:rsidR="00840E0A" w:rsidRPr="00840E0A" w:rsidRDefault="00840E0A" w:rsidP="00840E0A">
      <w:pPr>
        <w:rPr>
          <w:rFonts w:asciiTheme="majorHAnsi" w:hAnsiTheme="majorHAnsi"/>
          <w:bCs/>
          <w:sz w:val="24"/>
          <w:szCs w:val="24"/>
        </w:rPr>
      </w:pPr>
      <w:r w:rsidRPr="00840E0A">
        <w:rPr>
          <w:rFonts w:asciiTheme="majorHAnsi" w:hAnsiTheme="majorHAnsi"/>
          <w:b/>
          <w:sz w:val="24"/>
          <w:szCs w:val="24"/>
        </w:rPr>
        <w:t xml:space="preserve">Healthy Gardening: </w:t>
      </w:r>
      <w:r w:rsidRPr="00840E0A">
        <w:rPr>
          <w:rFonts w:asciiTheme="majorHAnsi" w:hAnsiTheme="majorHAnsi"/>
          <w:bCs/>
          <w:sz w:val="24"/>
          <w:szCs w:val="24"/>
        </w:rPr>
        <w:t xml:space="preserve">OHA-PHD released a healthy gardening fact sheet to promote gardening, with strategies that help to avoid the risks of common contaminants found in urban (and some rural) soils. This is a good time to feature this resource – it’s the beginning of the gardening season: </w:t>
      </w:r>
      <w:hyperlink r:id="rId8" w:history="1">
        <w:r w:rsidRPr="00840E0A">
          <w:rPr>
            <w:rStyle w:val="Hyperlink"/>
            <w:rFonts w:asciiTheme="majorHAnsi" w:hAnsiTheme="majorHAnsi" w:cs="Calibri"/>
            <w:sz w:val="24"/>
            <w:szCs w:val="24"/>
          </w:rPr>
          <w:t>http://public.health.oregon.gov/HealthyEnvironments/HealthyNeighborhoods/HealthyGardening/Pages/index.aspx</w:t>
        </w:r>
      </w:hyperlink>
    </w:p>
    <w:p w:rsidR="00840E0A" w:rsidRPr="00840E0A" w:rsidRDefault="00840E0A" w:rsidP="00840E0A">
      <w:pPr>
        <w:rPr>
          <w:rFonts w:asciiTheme="majorHAnsi" w:hAnsiTheme="majorHAnsi"/>
          <w:sz w:val="24"/>
          <w:szCs w:val="24"/>
        </w:rPr>
      </w:pPr>
    </w:p>
    <w:sectPr w:rsidR="00840E0A" w:rsidRPr="00840E0A" w:rsidSect="001F645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357" w:rsidRDefault="00EA6357" w:rsidP="003C38D2">
      <w:r>
        <w:separator/>
      </w:r>
    </w:p>
  </w:endnote>
  <w:endnote w:type="continuationSeparator" w:id="0">
    <w:p w:rsidR="00EA6357" w:rsidRDefault="00EA6357" w:rsidP="003C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357" w:rsidRDefault="00EA6357" w:rsidP="003C38D2">
      <w:r>
        <w:separator/>
      </w:r>
    </w:p>
  </w:footnote>
  <w:footnote w:type="continuationSeparator" w:id="0">
    <w:p w:rsidR="00EA6357" w:rsidRDefault="00EA6357"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B3CFC"/>
    <w:multiLevelType w:val="hybridMultilevel"/>
    <w:tmpl w:val="997C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1CD6F7D"/>
    <w:multiLevelType w:val="hybridMultilevel"/>
    <w:tmpl w:val="E1D2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1091E8F"/>
    <w:multiLevelType w:val="hybridMultilevel"/>
    <w:tmpl w:val="BFDE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4350AB1"/>
    <w:multiLevelType w:val="hybridMultilevel"/>
    <w:tmpl w:val="CB82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5"/>
  </w:num>
  <w:num w:numId="3">
    <w:abstractNumId w:val="10"/>
  </w:num>
  <w:num w:numId="4">
    <w:abstractNumId w:val="34"/>
  </w:num>
  <w:num w:numId="5">
    <w:abstractNumId w:val="35"/>
  </w:num>
  <w:num w:numId="6">
    <w:abstractNumId w:val="5"/>
  </w:num>
  <w:num w:numId="7">
    <w:abstractNumId w:val="31"/>
  </w:num>
  <w:num w:numId="8">
    <w:abstractNumId w:val="14"/>
  </w:num>
  <w:num w:numId="9">
    <w:abstractNumId w:val="4"/>
  </w:num>
  <w:num w:numId="10">
    <w:abstractNumId w:val="0"/>
  </w:num>
  <w:num w:numId="11">
    <w:abstractNumId w:val="22"/>
  </w:num>
  <w:num w:numId="12">
    <w:abstractNumId w:val="25"/>
  </w:num>
  <w:num w:numId="13">
    <w:abstractNumId w:val="23"/>
  </w:num>
  <w:num w:numId="14">
    <w:abstractNumId w:val="8"/>
  </w:num>
  <w:num w:numId="15">
    <w:abstractNumId w:val="26"/>
  </w:num>
  <w:num w:numId="16">
    <w:abstractNumId w:val="11"/>
  </w:num>
  <w:num w:numId="17">
    <w:abstractNumId w:val="33"/>
  </w:num>
  <w:num w:numId="18">
    <w:abstractNumId w:val="13"/>
  </w:num>
  <w:num w:numId="19">
    <w:abstractNumId w:val="32"/>
  </w:num>
  <w:num w:numId="20">
    <w:abstractNumId w:val="18"/>
  </w:num>
  <w:num w:numId="21">
    <w:abstractNumId w:val="21"/>
  </w:num>
  <w:num w:numId="22">
    <w:abstractNumId w:val="24"/>
  </w:num>
  <w:num w:numId="23">
    <w:abstractNumId w:val="3"/>
  </w:num>
  <w:num w:numId="24">
    <w:abstractNumId w:val="19"/>
  </w:num>
  <w:num w:numId="25">
    <w:abstractNumId w:val="27"/>
  </w:num>
  <w:num w:numId="26">
    <w:abstractNumId w:val="17"/>
  </w:num>
  <w:num w:numId="27">
    <w:abstractNumId w:val="29"/>
  </w:num>
  <w:num w:numId="28">
    <w:abstractNumId w:val="9"/>
  </w:num>
  <w:num w:numId="29">
    <w:abstractNumId w:val="16"/>
  </w:num>
  <w:num w:numId="30">
    <w:abstractNumId w:val="30"/>
  </w:num>
  <w:num w:numId="31">
    <w:abstractNumId w:val="12"/>
  </w:num>
  <w:num w:numId="32">
    <w:abstractNumId w:val="1"/>
  </w:num>
  <w:num w:numId="33">
    <w:abstractNumId w:val="20"/>
  </w:num>
  <w:num w:numId="34">
    <w:abstractNumId w:val="6"/>
  </w:num>
  <w:num w:numId="35">
    <w:abstractNumId w:val="7"/>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8693D"/>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A30"/>
    <w:rsid w:val="00035B8A"/>
    <w:rsid w:val="00037D12"/>
    <w:rsid w:val="00042FEA"/>
    <w:rsid w:val="000430C5"/>
    <w:rsid w:val="0005024C"/>
    <w:rsid w:val="00064E68"/>
    <w:rsid w:val="00072971"/>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49F2"/>
    <w:rsid w:val="000C0573"/>
    <w:rsid w:val="000C589D"/>
    <w:rsid w:val="000D23E6"/>
    <w:rsid w:val="000D4BDA"/>
    <w:rsid w:val="000D660A"/>
    <w:rsid w:val="000E27D1"/>
    <w:rsid w:val="000E2EEC"/>
    <w:rsid w:val="000E47EF"/>
    <w:rsid w:val="000E69CF"/>
    <w:rsid w:val="000E7A30"/>
    <w:rsid w:val="000F02DE"/>
    <w:rsid w:val="000F1305"/>
    <w:rsid w:val="000F4511"/>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00E"/>
    <w:rsid w:val="00170F1E"/>
    <w:rsid w:val="0017243C"/>
    <w:rsid w:val="001766EC"/>
    <w:rsid w:val="00182E1F"/>
    <w:rsid w:val="00184026"/>
    <w:rsid w:val="00186524"/>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507C"/>
    <w:rsid w:val="001D682A"/>
    <w:rsid w:val="001D6B19"/>
    <w:rsid w:val="001D6E4E"/>
    <w:rsid w:val="001D7C26"/>
    <w:rsid w:val="001E4B1C"/>
    <w:rsid w:val="001E5399"/>
    <w:rsid w:val="001F081C"/>
    <w:rsid w:val="001F44A7"/>
    <w:rsid w:val="001F4665"/>
    <w:rsid w:val="001F4F6D"/>
    <w:rsid w:val="001F5E4C"/>
    <w:rsid w:val="001F6450"/>
    <w:rsid w:val="001F6799"/>
    <w:rsid w:val="001F6BB1"/>
    <w:rsid w:val="002043A6"/>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D41A5"/>
    <w:rsid w:val="002E15CD"/>
    <w:rsid w:val="002E7EAF"/>
    <w:rsid w:val="002F1F4D"/>
    <w:rsid w:val="002F22B7"/>
    <w:rsid w:val="003004CB"/>
    <w:rsid w:val="00301910"/>
    <w:rsid w:val="00301A25"/>
    <w:rsid w:val="003045BA"/>
    <w:rsid w:val="00304619"/>
    <w:rsid w:val="00314E46"/>
    <w:rsid w:val="00321769"/>
    <w:rsid w:val="00321787"/>
    <w:rsid w:val="00321ACC"/>
    <w:rsid w:val="00323CE3"/>
    <w:rsid w:val="00325CCE"/>
    <w:rsid w:val="00325E7E"/>
    <w:rsid w:val="003319EF"/>
    <w:rsid w:val="0033611C"/>
    <w:rsid w:val="003416CB"/>
    <w:rsid w:val="0034172D"/>
    <w:rsid w:val="00343301"/>
    <w:rsid w:val="00346BBC"/>
    <w:rsid w:val="00350A68"/>
    <w:rsid w:val="00351927"/>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D07"/>
    <w:rsid w:val="003F2831"/>
    <w:rsid w:val="003F7D89"/>
    <w:rsid w:val="00400381"/>
    <w:rsid w:val="00403E43"/>
    <w:rsid w:val="004110E7"/>
    <w:rsid w:val="00412627"/>
    <w:rsid w:val="00413106"/>
    <w:rsid w:val="00413F69"/>
    <w:rsid w:val="00414107"/>
    <w:rsid w:val="00414115"/>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3069"/>
    <w:rsid w:val="004E51E3"/>
    <w:rsid w:val="004F04BE"/>
    <w:rsid w:val="004F1C10"/>
    <w:rsid w:val="004F3A9B"/>
    <w:rsid w:val="004F5E4F"/>
    <w:rsid w:val="00500483"/>
    <w:rsid w:val="005107A0"/>
    <w:rsid w:val="00512C66"/>
    <w:rsid w:val="00513009"/>
    <w:rsid w:val="005146B0"/>
    <w:rsid w:val="00514717"/>
    <w:rsid w:val="005207A1"/>
    <w:rsid w:val="00522F94"/>
    <w:rsid w:val="00526A04"/>
    <w:rsid w:val="00527D89"/>
    <w:rsid w:val="00531D74"/>
    <w:rsid w:val="005347E0"/>
    <w:rsid w:val="00535A75"/>
    <w:rsid w:val="00536C1A"/>
    <w:rsid w:val="00536E03"/>
    <w:rsid w:val="005423FF"/>
    <w:rsid w:val="00543175"/>
    <w:rsid w:val="00544ACA"/>
    <w:rsid w:val="00544D7E"/>
    <w:rsid w:val="00550FB3"/>
    <w:rsid w:val="00552139"/>
    <w:rsid w:val="00554A67"/>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36E8"/>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D0DEC"/>
    <w:rsid w:val="005D1337"/>
    <w:rsid w:val="005D246C"/>
    <w:rsid w:val="005D79A5"/>
    <w:rsid w:val="005E1ED1"/>
    <w:rsid w:val="005E609D"/>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B8B"/>
    <w:rsid w:val="006D1C5F"/>
    <w:rsid w:val="006D3831"/>
    <w:rsid w:val="006D55F3"/>
    <w:rsid w:val="006E0E79"/>
    <w:rsid w:val="006E1564"/>
    <w:rsid w:val="006E1B5B"/>
    <w:rsid w:val="006E21F5"/>
    <w:rsid w:val="006E330F"/>
    <w:rsid w:val="006E3CA6"/>
    <w:rsid w:val="006E5026"/>
    <w:rsid w:val="006E6A79"/>
    <w:rsid w:val="006E7534"/>
    <w:rsid w:val="006F1794"/>
    <w:rsid w:val="006F38B6"/>
    <w:rsid w:val="006F4BD1"/>
    <w:rsid w:val="006F6689"/>
    <w:rsid w:val="006F72BE"/>
    <w:rsid w:val="0070009E"/>
    <w:rsid w:val="00700B00"/>
    <w:rsid w:val="00704E41"/>
    <w:rsid w:val="00705746"/>
    <w:rsid w:val="00705ACF"/>
    <w:rsid w:val="00717571"/>
    <w:rsid w:val="00721955"/>
    <w:rsid w:val="00730163"/>
    <w:rsid w:val="0073043A"/>
    <w:rsid w:val="00740C57"/>
    <w:rsid w:val="00745CFB"/>
    <w:rsid w:val="00751194"/>
    <w:rsid w:val="00752C74"/>
    <w:rsid w:val="00755C0F"/>
    <w:rsid w:val="00757930"/>
    <w:rsid w:val="00757CBB"/>
    <w:rsid w:val="00760C6E"/>
    <w:rsid w:val="00761D4F"/>
    <w:rsid w:val="00762404"/>
    <w:rsid w:val="007630FB"/>
    <w:rsid w:val="00764D88"/>
    <w:rsid w:val="00767A0E"/>
    <w:rsid w:val="00770E6B"/>
    <w:rsid w:val="00772B57"/>
    <w:rsid w:val="00777D4F"/>
    <w:rsid w:val="00783ABB"/>
    <w:rsid w:val="00787169"/>
    <w:rsid w:val="00787488"/>
    <w:rsid w:val="00787BA4"/>
    <w:rsid w:val="00796DEE"/>
    <w:rsid w:val="007A256A"/>
    <w:rsid w:val="007A3E7C"/>
    <w:rsid w:val="007A4B86"/>
    <w:rsid w:val="007B4BAB"/>
    <w:rsid w:val="007B52C2"/>
    <w:rsid w:val="007B5485"/>
    <w:rsid w:val="007B618D"/>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0E0A"/>
    <w:rsid w:val="0084241C"/>
    <w:rsid w:val="008459E4"/>
    <w:rsid w:val="00847051"/>
    <w:rsid w:val="0085184E"/>
    <w:rsid w:val="00861FE8"/>
    <w:rsid w:val="00862FB5"/>
    <w:rsid w:val="008653C8"/>
    <w:rsid w:val="00866FF1"/>
    <w:rsid w:val="00867B51"/>
    <w:rsid w:val="008747BF"/>
    <w:rsid w:val="008768DA"/>
    <w:rsid w:val="00876DE1"/>
    <w:rsid w:val="008807C4"/>
    <w:rsid w:val="00883446"/>
    <w:rsid w:val="00884F6E"/>
    <w:rsid w:val="00885065"/>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50F0"/>
    <w:rsid w:val="008D6438"/>
    <w:rsid w:val="008E06F2"/>
    <w:rsid w:val="008E62EB"/>
    <w:rsid w:val="008F2516"/>
    <w:rsid w:val="008F50B2"/>
    <w:rsid w:val="0090265F"/>
    <w:rsid w:val="00904407"/>
    <w:rsid w:val="00911CE2"/>
    <w:rsid w:val="00911DA7"/>
    <w:rsid w:val="009137F1"/>
    <w:rsid w:val="009145A2"/>
    <w:rsid w:val="009163D1"/>
    <w:rsid w:val="009230DC"/>
    <w:rsid w:val="00923DB2"/>
    <w:rsid w:val="009247C3"/>
    <w:rsid w:val="00924C7B"/>
    <w:rsid w:val="00932748"/>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761E"/>
    <w:rsid w:val="009F14D6"/>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439"/>
    <w:rsid w:val="00A9077E"/>
    <w:rsid w:val="00A92128"/>
    <w:rsid w:val="00A96837"/>
    <w:rsid w:val="00AA0004"/>
    <w:rsid w:val="00AA1299"/>
    <w:rsid w:val="00AA401F"/>
    <w:rsid w:val="00AA46D2"/>
    <w:rsid w:val="00AB0C3C"/>
    <w:rsid w:val="00AB3518"/>
    <w:rsid w:val="00AB40AB"/>
    <w:rsid w:val="00AB44B1"/>
    <w:rsid w:val="00AB5FFF"/>
    <w:rsid w:val="00AB7EF6"/>
    <w:rsid w:val="00AC00A2"/>
    <w:rsid w:val="00AC0EB3"/>
    <w:rsid w:val="00AC391D"/>
    <w:rsid w:val="00AC41BA"/>
    <w:rsid w:val="00AD2AC5"/>
    <w:rsid w:val="00AD7C5E"/>
    <w:rsid w:val="00AE1204"/>
    <w:rsid w:val="00AE6BB8"/>
    <w:rsid w:val="00AF7613"/>
    <w:rsid w:val="00B015B0"/>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0584"/>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4717"/>
    <w:rsid w:val="00BC435C"/>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AEC"/>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62A4"/>
    <w:rsid w:val="00C671D1"/>
    <w:rsid w:val="00C67AC5"/>
    <w:rsid w:val="00C72A6E"/>
    <w:rsid w:val="00C85920"/>
    <w:rsid w:val="00C862DC"/>
    <w:rsid w:val="00C91559"/>
    <w:rsid w:val="00C928D8"/>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3585"/>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49DB"/>
    <w:rsid w:val="00D466CD"/>
    <w:rsid w:val="00D468C1"/>
    <w:rsid w:val="00D47517"/>
    <w:rsid w:val="00D47E5B"/>
    <w:rsid w:val="00D5657C"/>
    <w:rsid w:val="00D61BBB"/>
    <w:rsid w:val="00D63475"/>
    <w:rsid w:val="00D638EC"/>
    <w:rsid w:val="00D6475D"/>
    <w:rsid w:val="00D64F3B"/>
    <w:rsid w:val="00D64F5D"/>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3BB9"/>
    <w:rsid w:val="00DA58EE"/>
    <w:rsid w:val="00DA6419"/>
    <w:rsid w:val="00DA6B70"/>
    <w:rsid w:val="00DB29F1"/>
    <w:rsid w:val="00DB44EE"/>
    <w:rsid w:val="00DC2DA3"/>
    <w:rsid w:val="00DC4E04"/>
    <w:rsid w:val="00DC744B"/>
    <w:rsid w:val="00DC7B21"/>
    <w:rsid w:val="00DD3CDF"/>
    <w:rsid w:val="00DD71BA"/>
    <w:rsid w:val="00DF321C"/>
    <w:rsid w:val="00DF323A"/>
    <w:rsid w:val="00DF5CDF"/>
    <w:rsid w:val="00E01D67"/>
    <w:rsid w:val="00E06E54"/>
    <w:rsid w:val="00E12651"/>
    <w:rsid w:val="00E22A78"/>
    <w:rsid w:val="00E2672E"/>
    <w:rsid w:val="00E30845"/>
    <w:rsid w:val="00E30E9E"/>
    <w:rsid w:val="00E30FE5"/>
    <w:rsid w:val="00E335AD"/>
    <w:rsid w:val="00E3412C"/>
    <w:rsid w:val="00E34A4D"/>
    <w:rsid w:val="00E34C01"/>
    <w:rsid w:val="00E36A8C"/>
    <w:rsid w:val="00E41190"/>
    <w:rsid w:val="00E420A8"/>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77740"/>
    <w:rsid w:val="00E80322"/>
    <w:rsid w:val="00E826EC"/>
    <w:rsid w:val="00E82793"/>
    <w:rsid w:val="00E848B2"/>
    <w:rsid w:val="00E87FEC"/>
    <w:rsid w:val="00E95A19"/>
    <w:rsid w:val="00E95D1F"/>
    <w:rsid w:val="00E975F7"/>
    <w:rsid w:val="00E97786"/>
    <w:rsid w:val="00E97C06"/>
    <w:rsid w:val="00EA09D5"/>
    <w:rsid w:val="00EA1DA9"/>
    <w:rsid w:val="00EA2E01"/>
    <w:rsid w:val="00EA2FF1"/>
    <w:rsid w:val="00EA5456"/>
    <w:rsid w:val="00EA6357"/>
    <w:rsid w:val="00EA77F6"/>
    <w:rsid w:val="00EA7A7B"/>
    <w:rsid w:val="00EB04D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0816"/>
    <w:rsid w:val="00F34504"/>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74839"/>
    <w:rsid w:val="00F837CA"/>
    <w:rsid w:val="00F86626"/>
    <w:rsid w:val="00F86A8B"/>
    <w:rsid w:val="00F87664"/>
    <w:rsid w:val="00F908A1"/>
    <w:rsid w:val="00F9181D"/>
    <w:rsid w:val="00F949F5"/>
    <w:rsid w:val="00F95C9E"/>
    <w:rsid w:val="00FA025B"/>
    <w:rsid w:val="00FA3B0C"/>
    <w:rsid w:val="00FA73F0"/>
    <w:rsid w:val="00FB4BF7"/>
    <w:rsid w:val="00FB4D46"/>
    <w:rsid w:val="00FB69D4"/>
    <w:rsid w:val="00FB7BAE"/>
    <w:rsid w:val="00FC2F29"/>
    <w:rsid w:val="00FC4019"/>
    <w:rsid w:val="00FC4C2C"/>
    <w:rsid w:val="00FC4C4D"/>
    <w:rsid w:val="00FC5D85"/>
    <w:rsid w:val="00FD0E6B"/>
    <w:rsid w:val="00FD0ED3"/>
    <w:rsid w:val="00FD21EA"/>
    <w:rsid w:val="00FD368C"/>
    <w:rsid w:val="00FD5CFC"/>
    <w:rsid w:val="00FD5DF9"/>
    <w:rsid w:val="00FD6C56"/>
    <w:rsid w:val="00FE04FA"/>
    <w:rsid w:val="00FE1D21"/>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21477841">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health.oregon.gov/HealthyEnvironments/HealthyNeighborhoods/HealthyGardening/Pages/index.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E0182-639E-48CF-81F8-0A8D1E27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MHKHT</cp:lastModifiedBy>
  <cp:revision>2</cp:revision>
  <cp:lastPrinted>2015-03-25T21:53:00Z</cp:lastPrinted>
  <dcterms:created xsi:type="dcterms:W3CDTF">2015-04-02T20:22:00Z</dcterms:created>
  <dcterms:modified xsi:type="dcterms:W3CDTF">2015-04-02T20:22:00Z</dcterms:modified>
</cp:coreProperties>
</file>