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6E6A79" w:rsidRDefault="00DC4E04" w:rsidP="00544ACA">
      <w:pPr>
        <w:jc w:val="center"/>
        <w:rPr>
          <w:rFonts w:asciiTheme="majorHAnsi" w:hAnsiTheme="majorHAnsi"/>
          <w:sz w:val="24"/>
          <w:szCs w:val="24"/>
        </w:rPr>
      </w:pPr>
      <w:r w:rsidRPr="006E6A79">
        <w:rPr>
          <w:rFonts w:asciiTheme="majorHAnsi" w:hAnsiTheme="majorHAnsi"/>
          <w:sz w:val="24"/>
          <w:szCs w:val="24"/>
        </w:rPr>
        <w:t xml:space="preserve">CLHO </w:t>
      </w:r>
      <w:r w:rsidR="00ED2BFA" w:rsidRPr="006E6A79">
        <w:rPr>
          <w:rFonts w:asciiTheme="majorHAnsi" w:hAnsiTheme="majorHAnsi"/>
          <w:sz w:val="24"/>
          <w:szCs w:val="24"/>
        </w:rPr>
        <w:t xml:space="preserve">Healthy Communities </w:t>
      </w:r>
      <w:r w:rsidRPr="006E6A79">
        <w:rPr>
          <w:rFonts w:asciiTheme="majorHAnsi" w:hAnsiTheme="majorHAnsi"/>
          <w:sz w:val="24"/>
          <w:szCs w:val="24"/>
        </w:rPr>
        <w:t xml:space="preserve">Committee Meeting </w:t>
      </w:r>
    </w:p>
    <w:p w:rsidR="009B54A7" w:rsidRPr="006E6A79" w:rsidRDefault="00DC4E04" w:rsidP="00A764F2">
      <w:pPr>
        <w:jc w:val="center"/>
        <w:rPr>
          <w:rFonts w:asciiTheme="majorHAnsi" w:hAnsiTheme="majorHAnsi"/>
          <w:sz w:val="24"/>
          <w:szCs w:val="24"/>
        </w:rPr>
      </w:pPr>
      <w:r w:rsidRPr="006E6A79">
        <w:rPr>
          <w:rFonts w:asciiTheme="majorHAnsi" w:hAnsiTheme="majorHAnsi"/>
          <w:sz w:val="24"/>
          <w:szCs w:val="24"/>
        </w:rPr>
        <w:t>Date</w:t>
      </w:r>
      <w:r w:rsidR="00ED2BFA" w:rsidRPr="006E6A79">
        <w:rPr>
          <w:rFonts w:asciiTheme="majorHAnsi" w:hAnsiTheme="majorHAnsi"/>
          <w:sz w:val="24"/>
          <w:szCs w:val="24"/>
        </w:rPr>
        <w:t xml:space="preserve">:  Thursday, </w:t>
      </w:r>
      <w:r w:rsidR="00C22AEC" w:rsidRPr="006E6A79">
        <w:rPr>
          <w:rFonts w:asciiTheme="majorHAnsi" w:hAnsiTheme="majorHAnsi"/>
          <w:sz w:val="24"/>
          <w:szCs w:val="24"/>
        </w:rPr>
        <w:t>March 5, 2015</w:t>
      </w:r>
    </w:p>
    <w:p w:rsidR="00ED2BFA" w:rsidRPr="006E6A79" w:rsidRDefault="00ED2BFA" w:rsidP="00A764F2">
      <w:pPr>
        <w:jc w:val="center"/>
        <w:rPr>
          <w:rFonts w:asciiTheme="majorHAnsi" w:hAnsiTheme="majorHAnsi"/>
          <w:sz w:val="24"/>
          <w:szCs w:val="24"/>
        </w:rPr>
      </w:pPr>
      <w:r w:rsidRPr="006E6A79">
        <w:rPr>
          <w:rFonts w:asciiTheme="majorHAnsi" w:hAnsiTheme="majorHAnsi"/>
          <w:sz w:val="24"/>
          <w:szCs w:val="24"/>
        </w:rPr>
        <w:t>1:00 – 3:00 pm</w:t>
      </w:r>
    </w:p>
    <w:p w:rsidR="00576C4D" w:rsidRPr="006E6A79" w:rsidRDefault="00576C4D" w:rsidP="00A764F2">
      <w:pPr>
        <w:jc w:val="center"/>
        <w:rPr>
          <w:rFonts w:asciiTheme="majorHAnsi" w:hAnsiTheme="majorHAnsi"/>
          <w:sz w:val="24"/>
          <w:szCs w:val="24"/>
        </w:rPr>
      </w:pPr>
      <w:r w:rsidRPr="006E6A79">
        <w:rPr>
          <w:rFonts w:asciiTheme="majorHAnsi" w:hAnsiTheme="majorHAnsi"/>
          <w:sz w:val="24"/>
          <w:szCs w:val="24"/>
        </w:rPr>
        <w:t xml:space="preserve">PSOB Room </w:t>
      </w:r>
      <w:r w:rsidR="00C22AEC" w:rsidRPr="006E6A79">
        <w:rPr>
          <w:rFonts w:asciiTheme="majorHAnsi" w:hAnsiTheme="majorHAnsi"/>
          <w:sz w:val="24"/>
          <w:szCs w:val="24"/>
        </w:rPr>
        <w:t>705C</w:t>
      </w:r>
      <w:r w:rsidRPr="006E6A79">
        <w:rPr>
          <w:rFonts w:asciiTheme="majorHAnsi" w:hAnsiTheme="majorHAnsi"/>
          <w:sz w:val="24"/>
          <w:szCs w:val="24"/>
        </w:rPr>
        <w:t xml:space="preserve"> or </w:t>
      </w:r>
      <w:r w:rsidR="00923DB2" w:rsidRPr="006E6A79">
        <w:rPr>
          <w:rFonts w:asciiTheme="majorHAnsi" w:hAnsiTheme="majorHAnsi"/>
          <w:sz w:val="24"/>
          <w:szCs w:val="24"/>
        </w:rPr>
        <w:t>by</w:t>
      </w:r>
    </w:p>
    <w:p w:rsidR="008B441B" w:rsidRPr="006E6A79" w:rsidRDefault="00923DB2" w:rsidP="00576C4D">
      <w:pPr>
        <w:jc w:val="center"/>
        <w:rPr>
          <w:rFonts w:asciiTheme="majorHAnsi" w:hAnsiTheme="majorHAnsi" w:cstheme="minorHAnsi"/>
          <w:sz w:val="24"/>
          <w:szCs w:val="24"/>
        </w:rPr>
      </w:pPr>
      <w:r w:rsidRPr="006E6A79">
        <w:rPr>
          <w:rFonts w:asciiTheme="majorHAnsi" w:hAnsiTheme="majorHAnsi" w:cstheme="minorHAnsi"/>
          <w:sz w:val="24"/>
          <w:szCs w:val="24"/>
        </w:rPr>
        <w:t>Conference call number:</w:t>
      </w:r>
    </w:p>
    <w:p w:rsidR="00576C4D" w:rsidRPr="006E6A79" w:rsidRDefault="008B441B" w:rsidP="00576C4D">
      <w:pPr>
        <w:jc w:val="center"/>
        <w:rPr>
          <w:rFonts w:asciiTheme="majorHAnsi" w:hAnsiTheme="majorHAnsi" w:cstheme="minorHAnsi"/>
          <w:sz w:val="24"/>
          <w:szCs w:val="24"/>
        </w:rPr>
      </w:pPr>
      <w:r w:rsidRPr="006E6A79">
        <w:rPr>
          <w:rFonts w:asciiTheme="majorHAnsi" w:hAnsiTheme="majorHAnsi" w:cstheme="minorHAnsi"/>
          <w:sz w:val="24"/>
          <w:szCs w:val="24"/>
        </w:rPr>
        <w:t>Dial: (888) 363-4735</w:t>
      </w:r>
    </w:p>
    <w:p w:rsidR="00576C4D" w:rsidRPr="006E6A79" w:rsidRDefault="008B441B" w:rsidP="00576C4D">
      <w:pPr>
        <w:jc w:val="center"/>
        <w:rPr>
          <w:rFonts w:asciiTheme="majorHAnsi" w:hAnsiTheme="majorHAnsi" w:cstheme="minorHAnsi"/>
          <w:sz w:val="24"/>
          <w:szCs w:val="24"/>
        </w:rPr>
      </w:pPr>
      <w:r w:rsidRPr="006E6A79">
        <w:rPr>
          <w:rFonts w:asciiTheme="majorHAnsi" w:hAnsiTheme="majorHAnsi" w:cstheme="minorHAnsi"/>
          <w:sz w:val="24"/>
          <w:szCs w:val="24"/>
        </w:rPr>
        <w:t>Participant: 868346</w:t>
      </w:r>
    </w:p>
    <w:p w:rsidR="00B12572" w:rsidRPr="006E6A79" w:rsidRDefault="008B441B" w:rsidP="00B12572">
      <w:pPr>
        <w:jc w:val="center"/>
        <w:rPr>
          <w:rFonts w:asciiTheme="majorHAnsi" w:hAnsiTheme="majorHAnsi" w:cstheme="minorHAnsi"/>
          <w:sz w:val="24"/>
          <w:szCs w:val="24"/>
        </w:rPr>
      </w:pPr>
      <w:r w:rsidRPr="006E6A79">
        <w:rPr>
          <w:rFonts w:asciiTheme="majorHAnsi" w:hAnsiTheme="majorHAnsi" w:cstheme="minorHAnsi"/>
          <w:sz w:val="24"/>
          <w:szCs w:val="24"/>
        </w:rPr>
        <w:t>Host: (Portland): 862516</w:t>
      </w:r>
    </w:p>
    <w:p w:rsidR="009B54A7" w:rsidRPr="006E6A79" w:rsidRDefault="009B54A7" w:rsidP="00A764F2">
      <w:pPr>
        <w:jc w:val="center"/>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6210"/>
        <w:gridCol w:w="3510"/>
        <w:gridCol w:w="2088"/>
      </w:tblGrid>
      <w:tr w:rsidR="009B54A7" w:rsidRPr="006E6A79" w:rsidTr="00314E46">
        <w:tc>
          <w:tcPr>
            <w:tcW w:w="14616" w:type="dxa"/>
            <w:gridSpan w:val="4"/>
          </w:tcPr>
          <w:p w:rsidR="009B54A7" w:rsidRPr="006E6A79" w:rsidRDefault="00752C74" w:rsidP="00BD7F91">
            <w:pPr>
              <w:jc w:val="center"/>
              <w:rPr>
                <w:rFonts w:asciiTheme="majorHAnsi" w:hAnsiTheme="majorHAnsi"/>
                <w:sz w:val="24"/>
                <w:szCs w:val="24"/>
              </w:rPr>
            </w:pPr>
            <w:r w:rsidRPr="006E6A79">
              <w:rPr>
                <w:rFonts w:asciiTheme="majorHAnsi" w:hAnsiTheme="majorHAnsi"/>
                <w:sz w:val="24"/>
                <w:szCs w:val="24"/>
              </w:rPr>
              <w:t>Agenda</w:t>
            </w:r>
          </w:p>
        </w:tc>
      </w:tr>
      <w:tr w:rsidR="009B54A7" w:rsidRPr="006E6A79" w:rsidTr="00314E46">
        <w:trPr>
          <w:trHeight w:val="170"/>
        </w:trPr>
        <w:tc>
          <w:tcPr>
            <w:tcW w:w="2808"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Agenda Item</w:t>
            </w:r>
          </w:p>
        </w:tc>
        <w:tc>
          <w:tcPr>
            <w:tcW w:w="6210"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Detail</w:t>
            </w:r>
          </w:p>
        </w:tc>
        <w:tc>
          <w:tcPr>
            <w:tcW w:w="3510"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Action Item</w:t>
            </w:r>
          </w:p>
        </w:tc>
        <w:tc>
          <w:tcPr>
            <w:tcW w:w="2088" w:type="dxa"/>
          </w:tcPr>
          <w:p w:rsidR="009B54A7" w:rsidRPr="006E6A79" w:rsidRDefault="009B54A7" w:rsidP="00BD7F91">
            <w:pPr>
              <w:jc w:val="center"/>
              <w:rPr>
                <w:rFonts w:asciiTheme="majorHAnsi" w:hAnsiTheme="majorHAnsi"/>
                <w:sz w:val="24"/>
                <w:szCs w:val="24"/>
              </w:rPr>
            </w:pPr>
            <w:r w:rsidRPr="006E6A79">
              <w:rPr>
                <w:rFonts w:asciiTheme="majorHAnsi" w:hAnsiTheme="majorHAnsi"/>
                <w:sz w:val="24"/>
                <w:szCs w:val="24"/>
              </w:rPr>
              <w:t>Responsible Party</w:t>
            </w:r>
          </w:p>
        </w:tc>
      </w:tr>
      <w:tr w:rsidR="00DF5CDF" w:rsidRPr="006E6A79" w:rsidTr="00314E46">
        <w:trPr>
          <w:trHeight w:val="692"/>
        </w:trPr>
        <w:tc>
          <w:tcPr>
            <w:tcW w:w="2808" w:type="dxa"/>
          </w:tcPr>
          <w:p w:rsidR="00DF5CDF" w:rsidRPr="006E6A79" w:rsidRDefault="00783ABB" w:rsidP="00783ABB">
            <w:pPr>
              <w:rPr>
                <w:rFonts w:asciiTheme="majorHAnsi" w:hAnsiTheme="majorHAnsi"/>
                <w:sz w:val="24"/>
                <w:szCs w:val="24"/>
              </w:rPr>
            </w:pPr>
            <w:r w:rsidRPr="006E6A79">
              <w:rPr>
                <w:rFonts w:asciiTheme="majorHAnsi" w:hAnsiTheme="majorHAnsi"/>
                <w:sz w:val="24"/>
                <w:szCs w:val="24"/>
              </w:rPr>
              <w:t xml:space="preserve">Welcome &amp; Introductions </w:t>
            </w:r>
            <w:r w:rsidR="00BD7097" w:rsidRPr="006E6A79">
              <w:rPr>
                <w:rFonts w:asciiTheme="majorHAnsi" w:hAnsiTheme="majorHAnsi"/>
                <w:sz w:val="24"/>
                <w:szCs w:val="24"/>
              </w:rPr>
              <w:t>(5 min</w:t>
            </w:r>
            <w:r w:rsidR="00F540EE" w:rsidRPr="006E6A79">
              <w:rPr>
                <w:rFonts w:asciiTheme="majorHAnsi" w:hAnsiTheme="majorHAnsi"/>
                <w:sz w:val="24"/>
                <w:szCs w:val="24"/>
              </w:rPr>
              <w:t>) 1:00 – 1:05</w:t>
            </w:r>
          </w:p>
        </w:tc>
        <w:tc>
          <w:tcPr>
            <w:tcW w:w="6210" w:type="dxa"/>
          </w:tcPr>
          <w:p w:rsidR="00DF5CDF" w:rsidRPr="006E6A79" w:rsidRDefault="00783ABB" w:rsidP="00E6249B">
            <w:pPr>
              <w:rPr>
                <w:rFonts w:asciiTheme="majorHAnsi" w:hAnsiTheme="majorHAnsi"/>
                <w:sz w:val="24"/>
                <w:szCs w:val="24"/>
              </w:rPr>
            </w:pPr>
            <w:r w:rsidRPr="006E6A79">
              <w:rPr>
                <w:rFonts w:asciiTheme="majorHAnsi" w:hAnsiTheme="majorHAnsi"/>
                <w:sz w:val="24"/>
                <w:szCs w:val="24"/>
              </w:rPr>
              <w:t>Attendance</w:t>
            </w:r>
          </w:p>
        </w:tc>
        <w:tc>
          <w:tcPr>
            <w:tcW w:w="3510" w:type="dxa"/>
          </w:tcPr>
          <w:p w:rsidR="00E30E9E" w:rsidRPr="006E6A79" w:rsidRDefault="00E30E9E" w:rsidP="00E30E9E">
            <w:pPr>
              <w:rPr>
                <w:rFonts w:asciiTheme="majorHAnsi" w:hAnsiTheme="majorHAnsi"/>
                <w:sz w:val="24"/>
                <w:szCs w:val="24"/>
              </w:rPr>
            </w:pPr>
          </w:p>
        </w:tc>
        <w:tc>
          <w:tcPr>
            <w:tcW w:w="2088" w:type="dxa"/>
          </w:tcPr>
          <w:p w:rsidR="00DF5CDF" w:rsidRPr="006E6A79" w:rsidRDefault="009230DC" w:rsidP="003E0C0E">
            <w:pPr>
              <w:rPr>
                <w:rFonts w:asciiTheme="majorHAnsi" w:hAnsiTheme="majorHAnsi"/>
                <w:sz w:val="24"/>
                <w:szCs w:val="24"/>
              </w:rPr>
            </w:pPr>
            <w:r w:rsidRPr="006E6A79">
              <w:rPr>
                <w:rFonts w:asciiTheme="majorHAnsi" w:hAnsiTheme="majorHAnsi"/>
                <w:sz w:val="24"/>
                <w:szCs w:val="24"/>
              </w:rPr>
              <w:t>Tanya Phillips</w:t>
            </w:r>
            <w:r w:rsidR="006E6A79">
              <w:rPr>
                <w:rFonts w:asciiTheme="majorHAnsi" w:hAnsiTheme="majorHAnsi"/>
                <w:sz w:val="24"/>
                <w:szCs w:val="24"/>
              </w:rPr>
              <w:t xml:space="preserve"> and Charlie Fautin</w:t>
            </w:r>
          </w:p>
        </w:tc>
      </w:tr>
      <w:tr w:rsidR="00DF5CDF" w:rsidRPr="006E6A79" w:rsidTr="00314E46">
        <w:trPr>
          <w:trHeight w:val="863"/>
        </w:trPr>
        <w:tc>
          <w:tcPr>
            <w:tcW w:w="2808" w:type="dxa"/>
          </w:tcPr>
          <w:p w:rsidR="009230DC" w:rsidRPr="006E6A79" w:rsidRDefault="00783ABB" w:rsidP="00783ABB">
            <w:pPr>
              <w:rPr>
                <w:rFonts w:asciiTheme="majorHAnsi" w:hAnsiTheme="majorHAnsi"/>
                <w:sz w:val="24"/>
                <w:szCs w:val="24"/>
              </w:rPr>
            </w:pPr>
            <w:r w:rsidRPr="006E6A79">
              <w:rPr>
                <w:rFonts w:asciiTheme="majorHAnsi" w:hAnsiTheme="majorHAnsi"/>
                <w:sz w:val="24"/>
                <w:szCs w:val="24"/>
              </w:rPr>
              <w:t>Review of Prior Month’s Minutes</w:t>
            </w:r>
            <w:r w:rsidR="00DF5CDF" w:rsidRPr="006E6A79">
              <w:rPr>
                <w:rFonts w:asciiTheme="majorHAnsi" w:hAnsiTheme="majorHAnsi"/>
                <w:sz w:val="24"/>
                <w:szCs w:val="24"/>
              </w:rPr>
              <w:t xml:space="preserve"> </w:t>
            </w:r>
            <w:r w:rsidRPr="006E6A79">
              <w:rPr>
                <w:rFonts w:asciiTheme="majorHAnsi" w:hAnsiTheme="majorHAnsi"/>
                <w:sz w:val="24"/>
                <w:szCs w:val="24"/>
              </w:rPr>
              <w:t>(5</w:t>
            </w:r>
            <w:r w:rsidR="00BD7097" w:rsidRPr="006E6A79">
              <w:rPr>
                <w:rFonts w:asciiTheme="majorHAnsi" w:hAnsiTheme="majorHAnsi"/>
                <w:sz w:val="24"/>
                <w:szCs w:val="24"/>
              </w:rPr>
              <w:t xml:space="preserve"> min</w:t>
            </w:r>
            <w:r w:rsidR="00DF5CDF" w:rsidRPr="006E6A79">
              <w:rPr>
                <w:rFonts w:asciiTheme="majorHAnsi" w:hAnsiTheme="majorHAnsi"/>
                <w:sz w:val="24"/>
                <w:szCs w:val="24"/>
              </w:rPr>
              <w:t>)</w:t>
            </w:r>
            <w:r w:rsidR="00F540EE" w:rsidRPr="006E6A79">
              <w:rPr>
                <w:rFonts w:asciiTheme="majorHAnsi" w:hAnsiTheme="majorHAnsi"/>
                <w:sz w:val="24"/>
                <w:szCs w:val="24"/>
              </w:rPr>
              <w:t xml:space="preserve"> </w:t>
            </w:r>
          </w:p>
          <w:p w:rsidR="00DF5CDF" w:rsidRPr="006E6A79" w:rsidRDefault="00F540EE" w:rsidP="00783ABB">
            <w:pPr>
              <w:rPr>
                <w:rFonts w:asciiTheme="majorHAnsi" w:hAnsiTheme="majorHAnsi"/>
                <w:sz w:val="24"/>
                <w:szCs w:val="24"/>
              </w:rPr>
            </w:pPr>
            <w:r w:rsidRPr="006E6A79">
              <w:rPr>
                <w:rFonts w:asciiTheme="majorHAnsi" w:hAnsiTheme="majorHAnsi"/>
                <w:sz w:val="24"/>
                <w:szCs w:val="24"/>
              </w:rPr>
              <w:t>1:</w:t>
            </w:r>
            <w:r w:rsidR="00012097" w:rsidRPr="006E6A79">
              <w:rPr>
                <w:rFonts w:asciiTheme="majorHAnsi" w:hAnsiTheme="majorHAnsi"/>
                <w:sz w:val="24"/>
                <w:szCs w:val="24"/>
              </w:rPr>
              <w:t>0</w:t>
            </w:r>
            <w:r w:rsidRPr="006E6A79">
              <w:rPr>
                <w:rFonts w:asciiTheme="majorHAnsi" w:hAnsiTheme="majorHAnsi"/>
                <w:sz w:val="24"/>
                <w:szCs w:val="24"/>
              </w:rPr>
              <w:t>5 – 1:</w:t>
            </w:r>
            <w:r w:rsidR="00E6249B" w:rsidRPr="006E6A79">
              <w:rPr>
                <w:rFonts w:asciiTheme="majorHAnsi" w:hAnsiTheme="majorHAnsi"/>
                <w:sz w:val="24"/>
                <w:szCs w:val="24"/>
              </w:rPr>
              <w:t>1</w:t>
            </w:r>
            <w:r w:rsidR="00783ABB" w:rsidRPr="006E6A79">
              <w:rPr>
                <w:rFonts w:asciiTheme="majorHAnsi" w:hAnsiTheme="majorHAnsi"/>
                <w:sz w:val="24"/>
                <w:szCs w:val="24"/>
              </w:rPr>
              <w:t>0</w:t>
            </w:r>
          </w:p>
        </w:tc>
        <w:tc>
          <w:tcPr>
            <w:tcW w:w="6210" w:type="dxa"/>
          </w:tcPr>
          <w:p w:rsidR="00DF5CDF" w:rsidRPr="006E6A79" w:rsidRDefault="00561B6A" w:rsidP="00403E43">
            <w:pPr>
              <w:rPr>
                <w:rFonts w:asciiTheme="majorHAnsi" w:hAnsiTheme="majorHAnsi"/>
                <w:sz w:val="24"/>
                <w:szCs w:val="24"/>
              </w:rPr>
            </w:pPr>
            <w:r w:rsidRPr="006E6A79">
              <w:rPr>
                <w:rFonts w:asciiTheme="majorHAnsi" w:hAnsiTheme="majorHAnsi"/>
                <w:sz w:val="24"/>
                <w:szCs w:val="24"/>
              </w:rPr>
              <w:t xml:space="preserve">The Committee will have an opportunity to </w:t>
            </w:r>
            <w:r w:rsidR="00A61D28" w:rsidRPr="006E6A79">
              <w:rPr>
                <w:rFonts w:asciiTheme="majorHAnsi" w:hAnsiTheme="majorHAnsi"/>
                <w:sz w:val="24"/>
                <w:szCs w:val="24"/>
              </w:rPr>
              <w:t xml:space="preserve">review </w:t>
            </w:r>
            <w:r w:rsidR="00AD7C5E" w:rsidRPr="006E6A79">
              <w:rPr>
                <w:rFonts w:asciiTheme="majorHAnsi" w:hAnsiTheme="majorHAnsi"/>
                <w:sz w:val="24"/>
                <w:szCs w:val="24"/>
              </w:rPr>
              <w:t xml:space="preserve">minutes from the </w:t>
            </w:r>
            <w:r w:rsidR="00403E43">
              <w:rPr>
                <w:rFonts w:asciiTheme="majorHAnsi" w:hAnsiTheme="majorHAnsi"/>
                <w:sz w:val="24"/>
                <w:szCs w:val="24"/>
              </w:rPr>
              <w:t>last meeting</w:t>
            </w:r>
            <w:r w:rsidR="00AD7C5E" w:rsidRPr="006E6A79">
              <w:rPr>
                <w:rFonts w:asciiTheme="majorHAnsi" w:hAnsiTheme="majorHAnsi"/>
                <w:sz w:val="24"/>
                <w:szCs w:val="24"/>
              </w:rPr>
              <w:t>,</w:t>
            </w:r>
            <w:r w:rsidRPr="006E6A79">
              <w:rPr>
                <w:rFonts w:asciiTheme="majorHAnsi" w:hAnsiTheme="majorHAnsi"/>
                <w:sz w:val="24"/>
                <w:szCs w:val="24"/>
              </w:rPr>
              <w:t xml:space="preserve"> make changes and/or adopt the minutes.</w:t>
            </w:r>
          </w:p>
        </w:tc>
        <w:tc>
          <w:tcPr>
            <w:tcW w:w="3510" w:type="dxa"/>
          </w:tcPr>
          <w:p w:rsidR="00E30E9E" w:rsidRPr="006E6A79" w:rsidRDefault="00E30E9E" w:rsidP="00FF6566">
            <w:pPr>
              <w:rPr>
                <w:rFonts w:asciiTheme="majorHAnsi" w:hAnsiTheme="majorHAnsi"/>
                <w:sz w:val="24"/>
                <w:szCs w:val="24"/>
              </w:rPr>
            </w:pPr>
          </w:p>
        </w:tc>
        <w:tc>
          <w:tcPr>
            <w:tcW w:w="2088" w:type="dxa"/>
          </w:tcPr>
          <w:p w:rsidR="00DF5CDF" w:rsidRPr="006E6A79" w:rsidRDefault="009230DC" w:rsidP="00354A29">
            <w:pPr>
              <w:rPr>
                <w:rFonts w:asciiTheme="majorHAnsi" w:hAnsiTheme="majorHAnsi"/>
                <w:sz w:val="24"/>
                <w:szCs w:val="24"/>
              </w:rPr>
            </w:pPr>
            <w:r w:rsidRPr="006E6A79">
              <w:rPr>
                <w:rFonts w:asciiTheme="majorHAnsi" w:hAnsiTheme="majorHAnsi"/>
                <w:sz w:val="24"/>
                <w:szCs w:val="24"/>
              </w:rPr>
              <w:t>Tanya Phillips</w:t>
            </w:r>
            <w:r w:rsidR="006E6A79">
              <w:rPr>
                <w:rFonts w:asciiTheme="majorHAnsi" w:hAnsiTheme="majorHAnsi"/>
                <w:sz w:val="24"/>
                <w:szCs w:val="24"/>
              </w:rPr>
              <w:t xml:space="preserve"> and Charlie Fautin</w:t>
            </w:r>
          </w:p>
        </w:tc>
      </w:tr>
      <w:tr w:rsidR="004F04BE" w:rsidRPr="00972F8A" w:rsidTr="00646899">
        <w:trPr>
          <w:trHeight w:val="692"/>
        </w:trPr>
        <w:tc>
          <w:tcPr>
            <w:tcW w:w="2808" w:type="dxa"/>
          </w:tcPr>
          <w:p w:rsidR="004F04BE" w:rsidRPr="00972F8A" w:rsidRDefault="004F04BE" w:rsidP="00646899">
            <w:pPr>
              <w:rPr>
                <w:rFonts w:asciiTheme="majorHAnsi" w:hAnsiTheme="majorHAnsi"/>
                <w:color w:val="003300"/>
                <w:sz w:val="24"/>
                <w:szCs w:val="24"/>
              </w:rPr>
            </w:pPr>
            <w:r>
              <w:rPr>
                <w:rFonts w:asciiTheme="majorHAnsi" w:hAnsiTheme="majorHAnsi"/>
                <w:color w:val="003300"/>
                <w:sz w:val="24"/>
                <w:szCs w:val="24"/>
              </w:rPr>
              <w:t>Legislative update (10</w:t>
            </w:r>
            <w:r w:rsidRPr="00972F8A">
              <w:rPr>
                <w:rFonts w:asciiTheme="majorHAnsi" w:hAnsiTheme="majorHAnsi"/>
                <w:color w:val="003300"/>
                <w:sz w:val="24"/>
                <w:szCs w:val="24"/>
              </w:rPr>
              <w:t xml:space="preserve"> min)</w:t>
            </w:r>
          </w:p>
          <w:p w:rsidR="004F04BE" w:rsidRPr="00972F8A" w:rsidRDefault="004F04BE" w:rsidP="00646899">
            <w:pPr>
              <w:rPr>
                <w:rFonts w:asciiTheme="majorHAnsi" w:hAnsiTheme="majorHAnsi"/>
                <w:color w:val="003300"/>
                <w:sz w:val="24"/>
                <w:szCs w:val="24"/>
              </w:rPr>
            </w:pPr>
            <w:r>
              <w:rPr>
                <w:rFonts w:asciiTheme="majorHAnsi" w:hAnsiTheme="majorHAnsi"/>
                <w:color w:val="003300"/>
                <w:sz w:val="24"/>
                <w:szCs w:val="24"/>
              </w:rPr>
              <w:t>1:10 – 1:20</w:t>
            </w:r>
          </w:p>
        </w:tc>
        <w:tc>
          <w:tcPr>
            <w:tcW w:w="6210" w:type="dxa"/>
          </w:tcPr>
          <w:p w:rsidR="004F04BE" w:rsidRDefault="004F04BE" w:rsidP="00646899">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The 2015 legislative session is underway. There have been a number of bills introduced that pertain to the work of this committee.</w:t>
            </w:r>
          </w:p>
          <w:p w:rsidR="004F04BE" w:rsidRDefault="004F04BE" w:rsidP="00646899">
            <w:pPr>
              <w:rPr>
                <w:rFonts w:asciiTheme="majorHAnsi" w:hAnsiTheme="majorHAnsi"/>
                <w:sz w:val="24"/>
                <w:szCs w:val="24"/>
              </w:rPr>
            </w:pPr>
          </w:p>
          <w:p w:rsidR="004F04BE" w:rsidRPr="005E3B07" w:rsidRDefault="004F04BE" w:rsidP="00646899">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Provide information about the bills HPCDP is tracking. Provide an opportunity for committee members to share bills or topics they are tracking. </w:t>
            </w:r>
          </w:p>
        </w:tc>
        <w:tc>
          <w:tcPr>
            <w:tcW w:w="3510" w:type="dxa"/>
          </w:tcPr>
          <w:p w:rsidR="004F04BE" w:rsidRPr="00414115" w:rsidRDefault="004F04BE" w:rsidP="00646899">
            <w:pPr>
              <w:rPr>
                <w:rFonts w:asciiTheme="majorHAnsi" w:hAnsiTheme="majorHAnsi"/>
                <w:sz w:val="24"/>
                <w:szCs w:val="24"/>
              </w:rPr>
            </w:pPr>
          </w:p>
        </w:tc>
        <w:tc>
          <w:tcPr>
            <w:tcW w:w="2088" w:type="dxa"/>
          </w:tcPr>
          <w:p w:rsidR="004F04BE" w:rsidRPr="00972F8A" w:rsidRDefault="004F04BE" w:rsidP="00646899">
            <w:pPr>
              <w:rPr>
                <w:rFonts w:asciiTheme="majorHAnsi" w:hAnsiTheme="majorHAnsi"/>
                <w:sz w:val="24"/>
                <w:szCs w:val="24"/>
              </w:rPr>
            </w:pPr>
            <w:r>
              <w:rPr>
                <w:rFonts w:asciiTheme="majorHAnsi" w:hAnsiTheme="majorHAnsi"/>
                <w:sz w:val="24"/>
                <w:szCs w:val="24"/>
              </w:rPr>
              <w:t>Karen Girard</w:t>
            </w:r>
          </w:p>
        </w:tc>
      </w:tr>
      <w:tr w:rsidR="004F04BE" w:rsidRPr="006E6A79" w:rsidTr="00646899">
        <w:trPr>
          <w:trHeight w:val="539"/>
        </w:trPr>
        <w:tc>
          <w:tcPr>
            <w:tcW w:w="2808" w:type="dxa"/>
          </w:tcPr>
          <w:p w:rsidR="004F04BE" w:rsidRDefault="00035A30" w:rsidP="00646899">
            <w:pPr>
              <w:rPr>
                <w:rFonts w:asciiTheme="majorHAnsi" w:hAnsiTheme="majorHAnsi"/>
                <w:sz w:val="24"/>
                <w:szCs w:val="24"/>
              </w:rPr>
            </w:pPr>
            <w:r>
              <w:rPr>
                <w:rFonts w:asciiTheme="majorHAnsi" w:hAnsiTheme="majorHAnsi"/>
                <w:sz w:val="24"/>
                <w:szCs w:val="24"/>
              </w:rPr>
              <w:t>Healthy Communities grant (25</w:t>
            </w:r>
            <w:r w:rsidR="004F04BE">
              <w:rPr>
                <w:rFonts w:asciiTheme="majorHAnsi" w:hAnsiTheme="majorHAnsi"/>
                <w:sz w:val="24"/>
                <w:szCs w:val="24"/>
              </w:rPr>
              <w:t xml:space="preserve"> minutes)</w:t>
            </w:r>
          </w:p>
          <w:p w:rsidR="004F04BE" w:rsidRPr="006E6A79" w:rsidRDefault="00035A30" w:rsidP="00646899">
            <w:pPr>
              <w:rPr>
                <w:rFonts w:asciiTheme="majorHAnsi" w:hAnsiTheme="majorHAnsi"/>
                <w:sz w:val="24"/>
                <w:szCs w:val="24"/>
              </w:rPr>
            </w:pPr>
            <w:r>
              <w:rPr>
                <w:rFonts w:asciiTheme="majorHAnsi" w:hAnsiTheme="majorHAnsi"/>
                <w:sz w:val="24"/>
                <w:szCs w:val="24"/>
              </w:rPr>
              <w:t>1:20 – 1:45</w:t>
            </w:r>
          </w:p>
        </w:tc>
        <w:tc>
          <w:tcPr>
            <w:tcW w:w="6210" w:type="dxa"/>
          </w:tcPr>
          <w:p w:rsidR="004F04BE" w:rsidRDefault="004F04BE" w:rsidP="00646899">
            <w:pPr>
              <w:rPr>
                <w:rFonts w:asciiTheme="majorHAnsi" w:hAnsiTheme="majorHAnsi"/>
                <w:b/>
                <w:sz w:val="24"/>
                <w:szCs w:val="24"/>
              </w:rPr>
            </w:pPr>
            <w:r>
              <w:rPr>
                <w:rFonts w:asciiTheme="majorHAnsi" w:hAnsiTheme="majorHAnsi"/>
                <w:b/>
                <w:sz w:val="24"/>
                <w:szCs w:val="24"/>
              </w:rPr>
              <w:t xml:space="preserve">Background information: </w:t>
            </w:r>
            <w:r w:rsidRPr="00AB40AB">
              <w:rPr>
                <w:rFonts w:asciiTheme="majorHAnsi" w:hAnsiTheme="majorHAnsi"/>
                <w:sz w:val="24"/>
                <w:szCs w:val="24"/>
              </w:rPr>
              <w:t xml:space="preserve">HPCDP anticipated releasing a three-year, competitive RFP for Healthy Communities to begin in July, 2015. </w:t>
            </w:r>
            <w:r>
              <w:rPr>
                <w:rFonts w:asciiTheme="majorHAnsi" w:hAnsiTheme="majorHAnsi"/>
                <w:sz w:val="24"/>
                <w:szCs w:val="24"/>
              </w:rPr>
              <w:t xml:space="preserve">Due to funding constraints and evolving funding discussions between OHA and </w:t>
            </w:r>
            <w:r w:rsidR="00F87664" w:rsidRPr="00F87664">
              <w:rPr>
                <w:rFonts w:asciiTheme="majorHAnsi" w:hAnsiTheme="majorHAnsi"/>
                <w:sz w:val="24"/>
                <w:szCs w:val="24"/>
              </w:rPr>
              <w:t>CLHO</w:t>
            </w:r>
            <w:r>
              <w:rPr>
                <w:rFonts w:asciiTheme="majorHAnsi" w:hAnsiTheme="majorHAnsi"/>
                <w:sz w:val="24"/>
                <w:szCs w:val="24"/>
              </w:rPr>
              <w:t xml:space="preserve">, HPCDP will delay the release of a competitive </w:t>
            </w:r>
            <w:r w:rsidR="00554A67">
              <w:rPr>
                <w:rFonts w:asciiTheme="majorHAnsi" w:hAnsiTheme="majorHAnsi"/>
                <w:sz w:val="24"/>
                <w:szCs w:val="24"/>
              </w:rPr>
              <w:t>H</w:t>
            </w:r>
            <w:r>
              <w:rPr>
                <w:rFonts w:asciiTheme="majorHAnsi" w:hAnsiTheme="majorHAnsi"/>
                <w:sz w:val="24"/>
                <w:szCs w:val="24"/>
              </w:rPr>
              <w:t xml:space="preserve">ealthy Communities RFP for at least one year. Instead, current Healthy Communities grantees will have the </w:t>
            </w:r>
            <w:r w:rsidRPr="00AB40AB">
              <w:rPr>
                <w:rFonts w:asciiTheme="majorHAnsi" w:hAnsiTheme="majorHAnsi"/>
                <w:sz w:val="24"/>
                <w:szCs w:val="24"/>
              </w:rPr>
              <w:t>opportunity to request a one year extension of their current grant.</w:t>
            </w:r>
            <w:r w:rsidRPr="00AB40AB">
              <w:rPr>
                <w:rFonts w:asciiTheme="majorHAnsi" w:hAnsiTheme="majorHAnsi"/>
                <w:b/>
                <w:sz w:val="24"/>
                <w:szCs w:val="24"/>
              </w:rPr>
              <w:t xml:space="preserve"> </w:t>
            </w:r>
          </w:p>
          <w:p w:rsidR="004F04BE" w:rsidRPr="00AB40AB" w:rsidRDefault="004F04BE" w:rsidP="00646899">
            <w:pPr>
              <w:rPr>
                <w:rFonts w:asciiTheme="majorHAnsi" w:hAnsiTheme="majorHAnsi"/>
                <w:b/>
                <w:sz w:val="24"/>
                <w:szCs w:val="24"/>
              </w:rPr>
            </w:pPr>
          </w:p>
          <w:p w:rsidR="004F04BE" w:rsidRPr="007B4BAB" w:rsidRDefault="004F04BE" w:rsidP="00646899">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Share the reasoning behind this change of course, answer questions and concerns, and discuss the opportunities this approach provides. </w:t>
            </w:r>
          </w:p>
        </w:tc>
        <w:tc>
          <w:tcPr>
            <w:tcW w:w="3510" w:type="dxa"/>
          </w:tcPr>
          <w:p w:rsidR="004F04BE" w:rsidRPr="006E6A79" w:rsidRDefault="004F04BE" w:rsidP="00646899">
            <w:pPr>
              <w:rPr>
                <w:rFonts w:asciiTheme="majorHAnsi" w:hAnsiTheme="majorHAnsi"/>
                <w:sz w:val="24"/>
                <w:szCs w:val="24"/>
              </w:rPr>
            </w:pPr>
          </w:p>
        </w:tc>
        <w:tc>
          <w:tcPr>
            <w:tcW w:w="2088" w:type="dxa"/>
          </w:tcPr>
          <w:p w:rsidR="004F04BE" w:rsidRPr="006E6A79" w:rsidRDefault="004F04BE" w:rsidP="00646899">
            <w:pPr>
              <w:rPr>
                <w:rFonts w:asciiTheme="majorHAnsi" w:hAnsiTheme="majorHAnsi"/>
                <w:sz w:val="24"/>
                <w:szCs w:val="24"/>
              </w:rPr>
            </w:pPr>
            <w:r w:rsidRPr="006E6A79">
              <w:rPr>
                <w:rFonts w:asciiTheme="majorHAnsi" w:hAnsiTheme="majorHAnsi"/>
                <w:sz w:val="24"/>
                <w:szCs w:val="24"/>
              </w:rPr>
              <w:t>Sabrina Freewyn</w:t>
            </w:r>
            <w:r>
              <w:rPr>
                <w:rFonts w:asciiTheme="majorHAnsi" w:hAnsiTheme="majorHAnsi"/>
                <w:sz w:val="24"/>
                <w:szCs w:val="24"/>
              </w:rPr>
              <w:t>n</w:t>
            </w:r>
          </w:p>
        </w:tc>
      </w:tr>
      <w:tr w:rsidR="008D50F0" w:rsidRPr="006E6A79" w:rsidTr="00FC53D9">
        <w:trPr>
          <w:trHeight w:val="890"/>
        </w:trPr>
        <w:tc>
          <w:tcPr>
            <w:tcW w:w="2808" w:type="dxa"/>
          </w:tcPr>
          <w:p w:rsidR="008D50F0" w:rsidRPr="006E6A79" w:rsidRDefault="008D50F0" w:rsidP="00FC53D9">
            <w:pPr>
              <w:rPr>
                <w:rFonts w:asciiTheme="majorHAnsi" w:hAnsiTheme="majorHAnsi"/>
                <w:b/>
                <w:bCs/>
                <w:sz w:val="24"/>
                <w:szCs w:val="24"/>
              </w:rPr>
            </w:pPr>
            <w:r w:rsidRPr="006E6A79">
              <w:rPr>
                <w:rFonts w:asciiTheme="majorHAnsi" w:hAnsiTheme="majorHAnsi"/>
                <w:sz w:val="24"/>
                <w:szCs w:val="24"/>
              </w:rPr>
              <w:lastRenderedPageBreak/>
              <w:t>Oregon Behavioral Risk Factors Surveillance System (BRFSS): County level data, 2010-2013</w:t>
            </w:r>
          </w:p>
          <w:p w:rsidR="008D50F0" w:rsidRPr="006E6A79" w:rsidRDefault="00035A30" w:rsidP="00FC53D9">
            <w:pPr>
              <w:rPr>
                <w:rFonts w:asciiTheme="majorHAnsi" w:hAnsiTheme="majorHAnsi"/>
                <w:color w:val="003300"/>
                <w:sz w:val="24"/>
                <w:szCs w:val="24"/>
              </w:rPr>
            </w:pPr>
            <w:r>
              <w:rPr>
                <w:rFonts w:asciiTheme="majorHAnsi" w:hAnsiTheme="majorHAnsi"/>
                <w:color w:val="003300"/>
                <w:sz w:val="24"/>
                <w:szCs w:val="24"/>
              </w:rPr>
              <w:t>Minutes (15</w:t>
            </w:r>
            <w:r w:rsidR="008D50F0" w:rsidRPr="006E6A79">
              <w:rPr>
                <w:rFonts w:asciiTheme="majorHAnsi" w:hAnsiTheme="majorHAnsi"/>
                <w:color w:val="003300"/>
                <w:sz w:val="24"/>
                <w:szCs w:val="24"/>
              </w:rPr>
              <w:t xml:space="preserve"> min)</w:t>
            </w:r>
          </w:p>
          <w:p w:rsidR="008D50F0" w:rsidRPr="006E6A79" w:rsidRDefault="008D50F0" w:rsidP="004F04BE">
            <w:pPr>
              <w:rPr>
                <w:rFonts w:asciiTheme="majorHAnsi" w:hAnsiTheme="majorHAnsi"/>
                <w:color w:val="003300"/>
                <w:sz w:val="24"/>
                <w:szCs w:val="24"/>
              </w:rPr>
            </w:pPr>
            <w:r>
              <w:rPr>
                <w:rFonts w:asciiTheme="majorHAnsi" w:hAnsiTheme="majorHAnsi"/>
                <w:color w:val="003300"/>
                <w:sz w:val="24"/>
                <w:szCs w:val="24"/>
              </w:rPr>
              <w:t>1:</w:t>
            </w:r>
            <w:r w:rsidR="00035A30">
              <w:rPr>
                <w:rFonts w:asciiTheme="majorHAnsi" w:hAnsiTheme="majorHAnsi"/>
                <w:color w:val="003300"/>
                <w:sz w:val="24"/>
                <w:szCs w:val="24"/>
              </w:rPr>
              <w:t>45-2:0</w:t>
            </w:r>
            <w:r w:rsidR="004F04BE">
              <w:rPr>
                <w:rFonts w:asciiTheme="majorHAnsi" w:hAnsiTheme="majorHAnsi"/>
                <w:color w:val="003300"/>
                <w:sz w:val="24"/>
                <w:szCs w:val="24"/>
              </w:rPr>
              <w:t>0</w:t>
            </w:r>
          </w:p>
        </w:tc>
        <w:tc>
          <w:tcPr>
            <w:tcW w:w="6210" w:type="dxa"/>
          </w:tcPr>
          <w:p w:rsidR="008D50F0" w:rsidRDefault="008D50F0" w:rsidP="00FC53D9">
            <w:pPr>
              <w:rPr>
                <w:rFonts w:asciiTheme="majorHAnsi" w:hAnsiTheme="majorHAnsi"/>
                <w:sz w:val="24"/>
                <w:szCs w:val="24"/>
              </w:rPr>
            </w:pPr>
            <w:r w:rsidRPr="006E6A79">
              <w:rPr>
                <w:rFonts w:asciiTheme="majorHAnsi" w:hAnsiTheme="majorHAnsi"/>
                <w:b/>
                <w:bCs/>
                <w:sz w:val="24"/>
                <w:szCs w:val="24"/>
              </w:rPr>
              <w:t xml:space="preserve">Background Information: </w:t>
            </w:r>
            <w:r w:rsidRPr="006E6A79">
              <w:rPr>
                <w:rFonts w:asciiTheme="majorHAnsi" w:hAnsiTheme="majorHAnsi"/>
                <w:sz w:val="24"/>
                <w:szCs w:val="24"/>
              </w:rPr>
              <w:t>Every other year, HPCDP creates a dataset to estimate the prevalence of chronic conditions, health risk factors, and preventive screening at the county level. The most current dataset available is almost complete and information will be available by the end of March, 2015.</w:t>
            </w:r>
          </w:p>
          <w:p w:rsidR="006E7534" w:rsidRPr="006E6A79" w:rsidRDefault="006E7534" w:rsidP="00FC53D9">
            <w:pPr>
              <w:rPr>
                <w:rFonts w:asciiTheme="majorHAnsi" w:hAnsiTheme="majorHAnsi"/>
                <w:b/>
                <w:bCs/>
                <w:sz w:val="24"/>
                <w:szCs w:val="24"/>
              </w:rPr>
            </w:pPr>
          </w:p>
          <w:p w:rsidR="008D50F0" w:rsidRPr="006E6A79" w:rsidRDefault="008D50F0" w:rsidP="00FC53D9">
            <w:pPr>
              <w:rPr>
                <w:rFonts w:asciiTheme="majorHAnsi" w:hAnsiTheme="majorHAnsi"/>
                <w:b/>
                <w:bCs/>
                <w:sz w:val="24"/>
                <w:szCs w:val="24"/>
              </w:rPr>
            </w:pPr>
            <w:r w:rsidRPr="006E6A79">
              <w:rPr>
                <w:rFonts w:asciiTheme="majorHAnsi" w:hAnsiTheme="majorHAnsi"/>
                <w:b/>
                <w:bCs/>
                <w:sz w:val="24"/>
                <w:szCs w:val="24"/>
              </w:rPr>
              <w:t>Objective:</w:t>
            </w:r>
            <w:r w:rsidRPr="006E6A79">
              <w:rPr>
                <w:rFonts w:asciiTheme="majorHAnsi" w:hAnsiTheme="majorHAnsi"/>
                <w:sz w:val="24"/>
                <w:szCs w:val="24"/>
              </w:rPr>
              <w:t xml:space="preserve"> Provide information about this dataset, including how it is collected and the methods for creating the dataset. A brief discuss</w:t>
            </w:r>
            <w:r>
              <w:rPr>
                <w:rFonts w:asciiTheme="majorHAnsi" w:hAnsiTheme="majorHAnsi"/>
                <w:sz w:val="24"/>
                <w:szCs w:val="24"/>
              </w:rPr>
              <w:t>ion on the limitations, use,</w:t>
            </w:r>
            <w:r w:rsidRPr="006E6A79">
              <w:rPr>
                <w:rFonts w:asciiTheme="majorHAnsi" w:hAnsiTheme="majorHAnsi"/>
                <w:sz w:val="24"/>
                <w:szCs w:val="24"/>
              </w:rPr>
              <w:t xml:space="preserve"> </w:t>
            </w:r>
            <w:r>
              <w:rPr>
                <w:rFonts w:asciiTheme="majorHAnsi" w:hAnsiTheme="majorHAnsi"/>
                <w:sz w:val="24"/>
                <w:szCs w:val="24"/>
              </w:rPr>
              <w:t xml:space="preserve">ways to share the information, and </w:t>
            </w:r>
            <w:r w:rsidRPr="006E6A79">
              <w:rPr>
                <w:rFonts w:asciiTheme="majorHAnsi" w:hAnsiTheme="majorHAnsi"/>
                <w:sz w:val="24"/>
                <w:szCs w:val="24"/>
              </w:rPr>
              <w:t xml:space="preserve">where to get the final results will also be presented. </w:t>
            </w:r>
          </w:p>
          <w:p w:rsidR="008D50F0" w:rsidRPr="006E6A79" w:rsidRDefault="008D50F0" w:rsidP="00FC53D9">
            <w:pPr>
              <w:pStyle w:val="NormalWeb"/>
              <w:spacing w:before="0" w:beforeAutospacing="0" w:after="0" w:afterAutospacing="0"/>
              <w:rPr>
                <w:rFonts w:asciiTheme="majorHAnsi" w:hAnsiTheme="majorHAnsi" w:cs="Times"/>
                <w:color w:val="000000"/>
              </w:rPr>
            </w:pPr>
          </w:p>
        </w:tc>
        <w:tc>
          <w:tcPr>
            <w:tcW w:w="3510" w:type="dxa"/>
          </w:tcPr>
          <w:p w:rsidR="008D50F0" w:rsidRPr="006E6A79" w:rsidRDefault="008D50F0" w:rsidP="00FC53D9">
            <w:pPr>
              <w:rPr>
                <w:rFonts w:asciiTheme="majorHAnsi" w:hAnsiTheme="majorHAnsi"/>
                <w:sz w:val="24"/>
                <w:szCs w:val="24"/>
              </w:rPr>
            </w:pPr>
          </w:p>
        </w:tc>
        <w:tc>
          <w:tcPr>
            <w:tcW w:w="2088" w:type="dxa"/>
          </w:tcPr>
          <w:p w:rsidR="008D50F0" w:rsidRPr="006E6A79" w:rsidRDefault="008D50F0" w:rsidP="00FC53D9">
            <w:pPr>
              <w:rPr>
                <w:rFonts w:asciiTheme="majorHAnsi" w:hAnsiTheme="majorHAnsi"/>
                <w:sz w:val="24"/>
                <w:szCs w:val="24"/>
              </w:rPr>
            </w:pPr>
            <w:r w:rsidRPr="006E6A79">
              <w:rPr>
                <w:rFonts w:asciiTheme="majorHAnsi" w:hAnsiTheme="majorHAnsi"/>
                <w:sz w:val="24"/>
                <w:szCs w:val="24"/>
              </w:rPr>
              <w:t>Stacey Schubert</w:t>
            </w:r>
          </w:p>
        </w:tc>
      </w:tr>
      <w:tr w:rsidR="008D50F0" w:rsidRPr="006E6A79" w:rsidTr="00FC53D9">
        <w:trPr>
          <w:trHeight w:val="890"/>
        </w:trPr>
        <w:tc>
          <w:tcPr>
            <w:tcW w:w="2808" w:type="dxa"/>
          </w:tcPr>
          <w:p w:rsidR="008D50F0" w:rsidRPr="006E6A79" w:rsidRDefault="004F04BE" w:rsidP="004F04BE">
            <w:pPr>
              <w:rPr>
                <w:rFonts w:asciiTheme="majorHAnsi" w:hAnsiTheme="majorHAnsi"/>
                <w:sz w:val="24"/>
                <w:szCs w:val="24"/>
              </w:rPr>
            </w:pPr>
            <w:r>
              <w:rPr>
                <w:rFonts w:asciiTheme="majorHAnsi" w:hAnsiTheme="majorHAnsi"/>
                <w:sz w:val="24"/>
                <w:szCs w:val="24"/>
              </w:rPr>
              <w:t>Stretch Break (5</w:t>
            </w:r>
            <w:r w:rsidR="008D50F0" w:rsidRPr="006E6A79">
              <w:rPr>
                <w:rFonts w:asciiTheme="majorHAnsi" w:hAnsiTheme="majorHAnsi"/>
                <w:sz w:val="24"/>
                <w:szCs w:val="24"/>
              </w:rPr>
              <w:t xml:space="preserve"> min) </w:t>
            </w:r>
            <w:r w:rsidR="00035A30">
              <w:rPr>
                <w:rFonts w:asciiTheme="majorHAnsi" w:hAnsiTheme="majorHAnsi"/>
                <w:sz w:val="24"/>
                <w:szCs w:val="24"/>
              </w:rPr>
              <w:t>2:00 – 2:05</w:t>
            </w:r>
            <w:r w:rsidR="008D50F0" w:rsidRPr="006E6A79">
              <w:rPr>
                <w:rFonts w:asciiTheme="majorHAnsi" w:hAnsiTheme="majorHAnsi"/>
                <w:sz w:val="24"/>
                <w:szCs w:val="24"/>
              </w:rPr>
              <w:t xml:space="preserve"> </w:t>
            </w:r>
          </w:p>
        </w:tc>
        <w:tc>
          <w:tcPr>
            <w:tcW w:w="6210" w:type="dxa"/>
          </w:tcPr>
          <w:p w:rsidR="008D50F0" w:rsidRPr="006E6A79" w:rsidRDefault="008D50F0" w:rsidP="00FC53D9">
            <w:pPr>
              <w:rPr>
                <w:rFonts w:asciiTheme="majorHAnsi" w:hAnsiTheme="majorHAnsi"/>
                <w:sz w:val="24"/>
                <w:szCs w:val="24"/>
              </w:rPr>
            </w:pPr>
          </w:p>
        </w:tc>
        <w:tc>
          <w:tcPr>
            <w:tcW w:w="3510" w:type="dxa"/>
          </w:tcPr>
          <w:p w:rsidR="008D50F0" w:rsidRPr="006E6A79" w:rsidRDefault="008D50F0" w:rsidP="00FC53D9">
            <w:pPr>
              <w:rPr>
                <w:rFonts w:asciiTheme="majorHAnsi" w:hAnsiTheme="majorHAnsi"/>
                <w:sz w:val="24"/>
                <w:szCs w:val="24"/>
              </w:rPr>
            </w:pPr>
          </w:p>
        </w:tc>
        <w:tc>
          <w:tcPr>
            <w:tcW w:w="2088" w:type="dxa"/>
          </w:tcPr>
          <w:p w:rsidR="008D50F0" w:rsidRPr="006E6A79" w:rsidRDefault="008D50F0" w:rsidP="00FC53D9">
            <w:pPr>
              <w:rPr>
                <w:rFonts w:asciiTheme="majorHAnsi" w:hAnsiTheme="majorHAnsi"/>
                <w:sz w:val="24"/>
                <w:szCs w:val="24"/>
              </w:rPr>
            </w:pPr>
            <w:r w:rsidRPr="006E6A79">
              <w:rPr>
                <w:rFonts w:asciiTheme="majorHAnsi" w:hAnsiTheme="majorHAnsi"/>
                <w:sz w:val="24"/>
                <w:szCs w:val="24"/>
              </w:rPr>
              <w:t>All</w:t>
            </w:r>
          </w:p>
        </w:tc>
      </w:tr>
      <w:tr w:rsidR="004F04BE" w:rsidRPr="006E6A79" w:rsidTr="00646899">
        <w:trPr>
          <w:trHeight w:val="692"/>
        </w:trPr>
        <w:tc>
          <w:tcPr>
            <w:tcW w:w="2808" w:type="dxa"/>
          </w:tcPr>
          <w:p w:rsidR="004F04BE" w:rsidRPr="006E6A79" w:rsidRDefault="004F04BE" w:rsidP="00646899">
            <w:pPr>
              <w:rPr>
                <w:rFonts w:asciiTheme="majorHAnsi" w:hAnsiTheme="majorHAnsi"/>
                <w:bCs/>
                <w:sz w:val="24"/>
                <w:szCs w:val="24"/>
              </w:rPr>
            </w:pPr>
            <w:r w:rsidRPr="006E6A79">
              <w:rPr>
                <w:rFonts w:asciiTheme="majorHAnsi" w:hAnsiTheme="majorHAnsi"/>
                <w:bCs/>
                <w:sz w:val="24"/>
                <w:szCs w:val="24"/>
              </w:rPr>
              <w:t>Land Re-use and Brownfields Redevelopment Grant</w:t>
            </w:r>
          </w:p>
          <w:p w:rsidR="004F04BE" w:rsidRPr="006E6A79" w:rsidRDefault="004F04BE" w:rsidP="00646899">
            <w:pPr>
              <w:rPr>
                <w:rFonts w:asciiTheme="majorHAnsi" w:hAnsiTheme="majorHAnsi"/>
                <w:bCs/>
                <w:sz w:val="24"/>
                <w:szCs w:val="24"/>
              </w:rPr>
            </w:pPr>
            <w:r w:rsidRPr="006E6A79">
              <w:rPr>
                <w:rFonts w:asciiTheme="majorHAnsi" w:hAnsiTheme="majorHAnsi"/>
                <w:bCs/>
                <w:sz w:val="24"/>
                <w:szCs w:val="24"/>
              </w:rPr>
              <w:t>(15 min.)</w:t>
            </w:r>
          </w:p>
          <w:p w:rsidR="004F04BE" w:rsidRPr="006E6A79" w:rsidRDefault="00035A30" w:rsidP="004F04BE">
            <w:pPr>
              <w:rPr>
                <w:rFonts w:asciiTheme="majorHAnsi" w:hAnsiTheme="majorHAnsi"/>
                <w:sz w:val="24"/>
                <w:szCs w:val="24"/>
              </w:rPr>
            </w:pPr>
            <w:r>
              <w:rPr>
                <w:rFonts w:asciiTheme="majorHAnsi" w:hAnsiTheme="majorHAnsi"/>
                <w:bCs/>
                <w:sz w:val="24"/>
                <w:szCs w:val="24"/>
              </w:rPr>
              <w:t>2:05 – 2:20</w:t>
            </w:r>
          </w:p>
        </w:tc>
        <w:tc>
          <w:tcPr>
            <w:tcW w:w="6210" w:type="dxa"/>
          </w:tcPr>
          <w:p w:rsidR="004F04BE" w:rsidRPr="006E6A79" w:rsidRDefault="004F04BE" w:rsidP="00646899">
            <w:pPr>
              <w:rPr>
                <w:rFonts w:asciiTheme="majorHAnsi" w:hAnsiTheme="majorHAnsi"/>
                <w:bCs/>
                <w:sz w:val="24"/>
                <w:szCs w:val="24"/>
              </w:rPr>
            </w:pPr>
            <w:r w:rsidRPr="006E6A79">
              <w:rPr>
                <w:rFonts w:asciiTheme="majorHAnsi" w:hAnsiTheme="majorHAnsi"/>
                <w:b/>
                <w:bCs/>
                <w:sz w:val="24"/>
                <w:szCs w:val="24"/>
              </w:rPr>
              <w:t>Background Information</w:t>
            </w:r>
            <w:r w:rsidRPr="006E6A79">
              <w:rPr>
                <w:rFonts w:asciiTheme="majorHAnsi" w:hAnsiTheme="majorHAnsi"/>
                <w:bCs/>
                <w:sz w:val="24"/>
                <w:szCs w:val="24"/>
              </w:rPr>
              <w:t xml:space="preserve"> – The Agency for Toxic Substances and Disease Registry will be releasing an FOA in March for community health proje</w:t>
            </w:r>
            <w:r>
              <w:rPr>
                <w:rFonts w:asciiTheme="majorHAnsi" w:hAnsiTheme="majorHAnsi"/>
                <w:bCs/>
                <w:sz w:val="24"/>
                <w:szCs w:val="24"/>
              </w:rPr>
              <w:t>cts related to land re-use and B</w:t>
            </w:r>
            <w:r w:rsidRPr="006E6A79">
              <w:rPr>
                <w:rFonts w:asciiTheme="majorHAnsi" w:hAnsiTheme="majorHAnsi"/>
                <w:bCs/>
                <w:sz w:val="24"/>
                <w:szCs w:val="24"/>
              </w:rPr>
              <w:t xml:space="preserve">rownfields redevelopment.  This has been the funding source for the state’s Brownfields work over the past </w:t>
            </w:r>
            <w:r>
              <w:rPr>
                <w:rFonts w:asciiTheme="majorHAnsi" w:hAnsiTheme="majorHAnsi"/>
                <w:bCs/>
                <w:sz w:val="24"/>
                <w:szCs w:val="24"/>
              </w:rPr>
              <w:t>four</w:t>
            </w:r>
            <w:r w:rsidRPr="006E6A79">
              <w:rPr>
                <w:rFonts w:asciiTheme="majorHAnsi" w:hAnsiTheme="majorHAnsi"/>
                <w:bCs/>
                <w:sz w:val="24"/>
                <w:szCs w:val="24"/>
              </w:rPr>
              <w:t xml:space="preserve"> years and for three county mini-grants in the last </w:t>
            </w:r>
            <w:r>
              <w:rPr>
                <w:rFonts w:asciiTheme="majorHAnsi" w:hAnsiTheme="majorHAnsi"/>
                <w:bCs/>
                <w:sz w:val="24"/>
                <w:szCs w:val="24"/>
              </w:rPr>
              <w:t>two</w:t>
            </w:r>
            <w:r w:rsidRPr="006E6A79">
              <w:rPr>
                <w:rFonts w:asciiTheme="majorHAnsi" w:hAnsiTheme="majorHAnsi"/>
                <w:bCs/>
                <w:sz w:val="24"/>
                <w:szCs w:val="24"/>
              </w:rPr>
              <w:t xml:space="preserve"> years.  We would like to fund county projects through this grant.  For the most competitive application, we need to identify these projects ahead of time. </w:t>
            </w:r>
          </w:p>
          <w:p w:rsidR="004F04BE" w:rsidRPr="006E6A79" w:rsidRDefault="004F04BE" w:rsidP="00646899">
            <w:pPr>
              <w:rPr>
                <w:rFonts w:asciiTheme="majorHAnsi" w:hAnsiTheme="majorHAnsi"/>
                <w:bCs/>
                <w:sz w:val="24"/>
                <w:szCs w:val="24"/>
              </w:rPr>
            </w:pPr>
          </w:p>
          <w:p w:rsidR="004F04BE" w:rsidRPr="006E6A79" w:rsidRDefault="004F04BE" w:rsidP="00646899">
            <w:pPr>
              <w:rPr>
                <w:rFonts w:asciiTheme="majorHAnsi" w:hAnsiTheme="majorHAnsi"/>
                <w:bCs/>
                <w:sz w:val="24"/>
                <w:szCs w:val="24"/>
              </w:rPr>
            </w:pPr>
            <w:r w:rsidRPr="006E6A79">
              <w:rPr>
                <w:rFonts w:asciiTheme="majorHAnsi" w:hAnsiTheme="majorHAnsi"/>
                <w:b/>
                <w:bCs/>
                <w:sz w:val="24"/>
                <w:szCs w:val="24"/>
              </w:rPr>
              <w:t>Objective</w:t>
            </w:r>
            <w:r w:rsidRPr="006E6A79">
              <w:rPr>
                <w:rFonts w:asciiTheme="majorHAnsi" w:hAnsiTheme="majorHAnsi"/>
                <w:bCs/>
                <w:sz w:val="24"/>
                <w:szCs w:val="24"/>
              </w:rPr>
              <w:t xml:space="preserve"> – To get feedback on a process by which we can select potential county projects to include in the grant application</w:t>
            </w:r>
          </w:p>
          <w:p w:rsidR="004F04BE" w:rsidRPr="006E6A79" w:rsidRDefault="004F04BE" w:rsidP="00646899">
            <w:pPr>
              <w:pStyle w:val="ListParagraph"/>
              <w:contextualSpacing w:val="0"/>
              <w:rPr>
                <w:rFonts w:asciiTheme="majorHAnsi" w:hAnsiTheme="majorHAnsi" w:cs="Times"/>
                <w:sz w:val="24"/>
                <w:szCs w:val="24"/>
              </w:rPr>
            </w:pPr>
          </w:p>
        </w:tc>
        <w:tc>
          <w:tcPr>
            <w:tcW w:w="3510" w:type="dxa"/>
          </w:tcPr>
          <w:p w:rsidR="004F04BE" w:rsidRPr="006E6A79" w:rsidRDefault="004F04BE" w:rsidP="00646899">
            <w:pPr>
              <w:rPr>
                <w:rFonts w:asciiTheme="majorHAnsi" w:hAnsiTheme="majorHAnsi"/>
                <w:sz w:val="24"/>
                <w:szCs w:val="24"/>
              </w:rPr>
            </w:pPr>
          </w:p>
        </w:tc>
        <w:tc>
          <w:tcPr>
            <w:tcW w:w="2088" w:type="dxa"/>
          </w:tcPr>
          <w:p w:rsidR="004F04BE" w:rsidRPr="006E6A79" w:rsidRDefault="004F04BE" w:rsidP="00646899">
            <w:pPr>
              <w:rPr>
                <w:rFonts w:asciiTheme="majorHAnsi" w:hAnsiTheme="majorHAnsi"/>
                <w:sz w:val="24"/>
                <w:szCs w:val="24"/>
              </w:rPr>
            </w:pPr>
            <w:r w:rsidRPr="006E6A79">
              <w:rPr>
                <w:rFonts w:asciiTheme="majorHAnsi" w:hAnsiTheme="majorHAnsi"/>
                <w:bCs/>
                <w:sz w:val="24"/>
                <w:szCs w:val="24"/>
              </w:rPr>
              <w:t>Julie Early-Alberts, Kari Christensen</w:t>
            </w:r>
          </w:p>
        </w:tc>
      </w:tr>
      <w:tr w:rsidR="00C928D8" w:rsidRPr="006E6A79" w:rsidTr="00314E46">
        <w:trPr>
          <w:trHeight w:val="1160"/>
        </w:trPr>
        <w:tc>
          <w:tcPr>
            <w:tcW w:w="2808" w:type="dxa"/>
          </w:tcPr>
          <w:p w:rsidR="00C928D8" w:rsidRPr="006E6A79" w:rsidRDefault="00035A30" w:rsidP="0001214E">
            <w:pPr>
              <w:rPr>
                <w:rFonts w:asciiTheme="majorHAnsi" w:hAnsiTheme="majorHAnsi"/>
                <w:sz w:val="24"/>
                <w:szCs w:val="24"/>
              </w:rPr>
            </w:pPr>
            <w:r>
              <w:rPr>
                <w:rFonts w:asciiTheme="majorHAnsi" w:hAnsiTheme="majorHAnsi"/>
                <w:sz w:val="24"/>
                <w:szCs w:val="24"/>
              </w:rPr>
              <w:t>Updates &amp; Announcements (20</w:t>
            </w:r>
            <w:r w:rsidR="00C928D8" w:rsidRPr="006E6A79">
              <w:rPr>
                <w:rFonts w:asciiTheme="majorHAnsi" w:hAnsiTheme="majorHAnsi"/>
                <w:sz w:val="24"/>
                <w:szCs w:val="24"/>
              </w:rPr>
              <w:t xml:space="preserve"> min)</w:t>
            </w:r>
          </w:p>
          <w:p w:rsidR="00C928D8" w:rsidRPr="006E6A79" w:rsidRDefault="00035A30" w:rsidP="0017000E">
            <w:pPr>
              <w:rPr>
                <w:rFonts w:asciiTheme="majorHAnsi" w:hAnsiTheme="majorHAnsi"/>
                <w:sz w:val="24"/>
                <w:szCs w:val="24"/>
              </w:rPr>
            </w:pPr>
            <w:r>
              <w:rPr>
                <w:rFonts w:asciiTheme="majorHAnsi" w:hAnsiTheme="majorHAnsi"/>
                <w:sz w:val="24"/>
                <w:szCs w:val="24"/>
              </w:rPr>
              <w:t>2:2</w:t>
            </w:r>
            <w:r w:rsidR="004F04BE">
              <w:rPr>
                <w:rFonts w:asciiTheme="majorHAnsi" w:hAnsiTheme="majorHAnsi"/>
                <w:sz w:val="24"/>
                <w:szCs w:val="24"/>
              </w:rPr>
              <w:t>0</w:t>
            </w:r>
            <w:r w:rsidR="00C928D8" w:rsidRPr="006E6A79">
              <w:rPr>
                <w:rFonts w:asciiTheme="majorHAnsi" w:hAnsiTheme="majorHAnsi"/>
                <w:sz w:val="24"/>
                <w:szCs w:val="24"/>
              </w:rPr>
              <w:t xml:space="preserve"> – </w:t>
            </w:r>
            <w:r>
              <w:rPr>
                <w:rFonts w:asciiTheme="majorHAnsi" w:hAnsiTheme="majorHAnsi"/>
                <w:sz w:val="24"/>
                <w:szCs w:val="24"/>
              </w:rPr>
              <w:t>2:40</w:t>
            </w:r>
            <w:bookmarkStart w:id="0" w:name="_GoBack"/>
            <w:bookmarkEnd w:id="0"/>
          </w:p>
        </w:tc>
        <w:tc>
          <w:tcPr>
            <w:tcW w:w="6210" w:type="dxa"/>
          </w:tcPr>
          <w:p w:rsidR="00C928D8" w:rsidRPr="006E6A79" w:rsidRDefault="00C928D8" w:rsidP="0001214E">
            <w:pPr>
              <w:rPr>
                <w:rFonts w:asciiTheme="majorHAnsi" w:hAnsiTheme="majorHAnsi"/>
                <w:sz w:val="24"/>
                <w:szCs w:val="24"/>
              </w:rPr>
            </w:pPr>
          </w:p>
        </w:tc>
        <w:tc>
          <w:tcPr>
            <w:tcW w:w="3510" w:type="dxa"/>
          </w:tcPr>
          <w:p w:rsidR="00C928D8" w:rsidRPr="006E6A79" w:rsidRDefault="00C928D8">
            <w:pPr>
              <w:rPr>
                <w:rFonts w:asciiTheme="majorHAnsi" w:hAnsiTheme="majorHAnsi"/>
                <w:sz w:val="24"/>
                <w:szCs w:val="24"/>
              </w:rPr>
            </w:pPr>
          </w:p>
        </w:tc>
        <w:tc>
          <w:tcPr>
            <w:tcW w:w="2088" w:type="dxa"/>
          </w:tcPr>
          <w:p w:rsidR="00C928D8" w:rsidRPr="006E6A79" w:rsidRDefault="00C928D8" w:rsidP="0001214E">
            <w:pPr>
              <w:rPr>
                <w:rFonts w:asciiTheme="majorHAnsi" w:hAnsiTheme="majorHAnsi"/>
                <w:sz w:val="24"/>
                <w:szCs w:val="24"/>
              </w:rPr>
            </w:pPr>
            <w:r w:rsidRPr="006E6A79">
              <w:rPr>
                <w:rFonts w:asciiTheme="majorHAnsi" w:hAnsiTheme="majorHAnsi"/>
                <w:sz w:val="24"/>
                <w:szCs w:val="24"/>
              </w:rPr>
              <w:t>All</w:t>
            </w:r>
          </w:p>
        </w:tc>
      </w:tr>
      <w:tr w:rsidR="00C928D8" w:rsidRPr="006E6A79" w:rsidTr="00314E46">
        <w:trPr>
          <w:trHeight w:val="278"/>
        </w:trPr>
        <w:tc>
          <w:tcPr>
            <w:tcW w:w="2808" w:type="dxa"/>
          </w:tcPr>
          <w:p w:rsidR="00C928D8" w:rsidRPr="006E6A79" w:rsidRDefault="00C928D8" w:rsidP="0001214E">
            <w:pPr>
              <w:rPr>
                <w:rFonts w:asciiTheme="majorHAnsi" w:hAnsiTheme="majorHAnsi"/>
                <w:sz w:val="24"/>
                <w:szCs w:val="24"/>
              </w:rPr>
            </w:pPr>
            <w:r w:rsidRPr="006E6A79">
              <w:rPr>
                <w:rFonts w:asciiTheme="majorHAnsi" w:hAnsiTheme="majorHAnsi"/>
                <w:sz w:val="24"/>
                <w:szCs w:val="24"/>
              </w:rPr>
              <w:t>Adjourn</w:t>
            </w:r>
          </w:p>
        </w:tc>
        <w:tc>
          <w:tcPr>
            <w:tcW w:w="6210" w:type="dxa"/>
          </w:tcPr>
          <w:p w:rsidR="00C928D8" w:rsidRPr="006E6A79" w:rsidRDefault="00C928D8" w:rsidP="0001214E">
            <w:pPr>
              <w:rPr>
                <w:rFonts w:asciiTheme="majorHAnsi" w:hAnsiTheme="majorHAnsi"/>
                <w:sz w:val="24"/>
                <w:szCs w:val="24"/>
              </w:rPr>
            </w:pPr>
          </w:p>
        </w:tc>
        <w:tc>
          <w:tcPr>
            <w:tcW w:w="3510" w:type="dxa"/>
          </w:tcPr>
          <w:p w:rsidR="00C928D8" w:rsidRPr="006E6A79" w:rsidRDefault="00C928D8" w:rsidP="0001214E">
            <w:pPr>
              <w:rPr>
                <w:rFonts w:asciiTheme="majorHAnsi" w:hAnsiTheme="majorHAnsi"/>
                <w:sz w:val="24"/>
                <w:szCs w:val="24"/>
              </w:rPr>
            </w:pPr>
          </w:p>
        </w:tc>
        <w:tc>
          <w:tcPr>
            <w:tcW w:w="2088" w:type="dxa"/>
          </w:tcPr>
          <w:p w:rsidR="00C928D8" w:rsidRPr="006E6A79" w:rsidRDefault="00C928D8" w:rsidP="0001214E">
            <w:pPr>
              <w:rPr>
                <w:rFonts w:asciiTheme="majorHAnsi" w:hAnsiTheme="majorHAnsi"/>
                <w:sz w:val="24"/>
                <w:szCs w:val="24"/>
              </w:rPr>
            </w:pPr>
          </w:p>
        </w:tc>
      </w:tr>
    </w:tbl>
    <w:p w:rsidR="004F5E4F" w:rsidRDefault="004F5E4F" w:rsidP="00E36A8C">
      <w:pPr>
        <w:rPr>
          <w:rFonts w:asciiTheme="majorHAnsi" w:hAnsiTheme="majorHAnsi"/>
          <w:sz w:val="24"/>
          <w:szCs w:val="24"/>
          <w:u w:val="single"/>
        </w:rPr>
      </w:pPr>
    </w:p>
    <w:p w:rsidR="004F5E4F" w:rsidRDefault="004F5E4F">
      <w:pPr>
        <w:rPr>
          <w:rFonts w:asciiTheme="majorHAnsi" w:hAnsiTheme="majorHAnsi"/>
          <w:sz w:val="24"/>
          <w:szCs w:val="24"/>
          <w:u w:val="single"/>
        </w:rPr>
      </w:pPr>
      <w:r>
        <w:rPr>
          <w:rFonts w:asciiTheme="majorHAnsi" w:hAnsiTheme="majorHAnsi"/>
          <w:sz w:val="24"/>
          <w:szCs w:val="24"/>
          <w:u w:val="single"/>
        </w:rPr>
        <w:br w:type="page"/>
      </w:r>
    </w:p>
    <w:p w:rsidR="009B1451" w:rsidRPr="006E6A79" w:rsidRDefault="009B1451" w:rsidP="00E36A8C">
      <w:pPr>
        <w:rPr>
          <w:rFonts w:asciiTheme="majorHAnsi" w:hAnsiTheme="majorHAnsi"/>
          <w:sz w:val="24"/>
          <w:szCs w:val="24"/>
          <w:u w:val="single"/>
        </w:rPr>
      </w:pPr>
    </w:p>
    <w:p w:rsidR="009F36EB" w:rsidRPr="004F5E4F" w:rsidRDefault="00BD7097" w:rsidP="004F5E4F">
      <w:pPr>
        <w:rPr>
          <w:rFonts w:asciiTheme="majorHAnsi" w:hAnsiTheme="majorHAnsi"/>
          <w:sz w:val="24"/>
          <w:szCs w:val="24"/>
          <w:u w:val="single"/>
        </w:rPr>
      </w:pPr>
      <w:r w:rsidRPr="006E6A79">
        <w:rPr>
          <w:rFonts w:asciiTheme="majorHAnsi" w:hAnsiTheme="majorHAnsi"/>
          <w:sz w:val="24"/>
          <w:szCs w:val="24"/>
          <w:u w:val="single"/>
        </w:rPr>
        <w:t>Future</w:t>
      </w:r>
      <w:r w:rsidR="004F5E4F">
        <w:rPr>
          <w:rFonts w:asciiTheme="majorHAnsi" w:hAnsiTheme="majorHAnsi"/>
          <w:sz w:val="24"/>
          <w:szCs w:val="24"/>
          <w:u w:val="single"/>
        </w:rPr>
        <w:t xml:space="preserve"> Topics:</w:t>
      </w:r>
    </w:p>
    <w:p w:rsidR="00225301" w:rsidRPr="006E6A79" w:rsidRDefault="00225301" w:rsidP="00225301">
      <w:pPr>
        <w:rPr>
          <w:rFonts w:asciiTheme="majorHAnsi" w:hAnsiTheme="majorHAnsi"/>
          <w:sz w:val="24"/>
          <w:szCs w:val="24"/>
          <w:u w:val="single"/>
        </w:rPr>
      </w:pPr>
    </w:p>
    <w:p w:rsidR="00225301" w:rsidRPr="00840E0A" w:rsidRDefault="00225301" w:rsidP="00225301">
      <w:pPr>
        <w:rPr>
          <w:rFonts w:asciiTheme="majorHAnsi" w:hAnsiTheme="majorHAnsi"/>
          <w:sz w:val="24"/>
          <w:szCs w:val="24"/>
          <w:u w:val="single"/>
        </w:rPr>
      </w:pPr>
    </w:p>
    <w:p w:rsidR="00C662A4" w:rsidRPr="00840E0A" w:rsidRDefault="00E36A8C" w:rsidP="00690827">
      <w:pPr>
        <w:rPr>
          <w:rFonts w:asciiTheme="majorHAnsi" w:hAnsiTheme="majorHAnsi"/>
          <w:sz w:val="24"/>
          <w:szCs w:val="24"/>
          <w:u w:val="single"/>
        </w:rPr>
      </w:pPr>
      <w:r w:rsidRPr="00840E0A">
        <w:rPr>
          <w:rFonts w:asciiTheme="majorHAnsi" w:hAnsiTheme="majorHAnsi"/>
          <w:sz w:val="24"/>
          <w:szCs w:val="24"/>
          <w:u w:val="single"/>
        </w:rPr>
        <w:t xml:space="preserve">Announcements: </w:t>
      </w:r>
    </w:p>
    <w:p w:rsidR="00840E0A" w:rsidRPr="00840E0A" w:rsidRDefault="00840E0A" w:rsidP="00840E0A">
      <w:pPr>
        <w:rPr>
          <w:rFonts w:asciiTheme="majorHAnsi" w:hAnsiTheme="majorHAnsi"/>
          <w:bCs/>
          <w:sz w:val="24"/>
          <w:szCs w:val="24"/>
        </w:rPr>
      </w:pPr>
      <w:r w:rsidRPr="00840E0A">
        <w:rPr>
          <w:rFonts w:asciiTheme="majorHAnsi" w:hAnsiTheme="majorHAnsi"/>
          <w:b/>
          <w:sz w:val="24"/>
          <w:szCs w:val="24"/>
        </w:rPr>
        <w:t xml:space="preserve">Healthy Gardening: </w:t>
      </w:r>
      <w:r w:rsidRPr="00840E0A">
        <w:rPr>
          <w:rFonts w:asciiTheme="majorHAnsi" w:hAnsiTheme="majorHAnsi"/>
          <w:bCs/>
          <w:sz w:val="24"/>
          <w:szCs w:val="24"/>
        </w:rPr>
        <w:t xml:space="preserve">OHA-PHD released a healthy gardening fact sheet to promote gardening, with strategies that help to avoid the risks of common contaminants found in urban (and some rural) soils. This is a good time to feature this resource – it’s the beginning of the gardening season: </w:t>
      </w:r>
      <w:hyperlink r:id="rId8" w:history="1">
        <w:r w:rsidRPr="00840E0A">
          <w:rPr>
            <w:rStyle w:val="Hyperlink"/>
            <w:rFonts w:asciiTheme="majorHAnsi" w:hAnsiTheme="majorHAnsi" w:cs="Calibri"/>
            <w:sz w:val="24"/>
            <w:szCs w:val="24"/>
          </w:rPr>
          <w:t>http://public.health.oregon.gov/HealthyEnvironments/HealthyNeighborhoods/HealthyGardening/Pages/index.aspx</w:t>
        </w:r>
      </w:hyperlink>
    </w:p>
    <w:p w:rsidR="00840E0A" w:rsidRPr="00840E0A" w:rsidRDefault="00840E0A" w:rsidP="00840E0A">
      <w:pPr>
        <w:rPr>
          <w:rFonts w:asciiTheme="majorHAnsi" w:hAnsiTheme="majorHAnsi"/>
          <w:sz w:val="24"/>
          <w:szCs w:val="24"/>
        </w:rPr>
      </w:pPr>
    </w:p>
    <w:sectPr w:rsidR="00840E0A" w:rsidRPr="00840E0A"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BAB" w:rsidRDefault="007B4BAB" w:rsidP="003C38D2">
      <w:r>
        <w:separator/>
      </w:r>
    </w:p>
  </w:endnote>
  <w:endnote w:type="continuationSeparator" w:id="0">
    <w:p w:rsidR="007B4BAB" w:rsidRDefault="007B4BAB"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BAB" w:rsidRDefault="007B4BAB" w:rsidP="003C38D2">
      <w:r>
        <w:separator/>
      </w:r>
    </w:p>
  </w:footnote>
  <w:footnote w:type="continuationSeparator" w:id="0">
    <w:p w:rsidR="007B4BAB" w:rsidRDefault="007B4BAB"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B3CFC"/>
    <w:multiLevelType w:val="hybridMultilevel"/>
    <w:tmpl w:val="997C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CD6F7D"/>
    <w:multiLevelType w:val="hybridMultilevel"/>
    <w:tmpl w:val="E1D2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1091E8F"/>
    <w:multiLevelType w:val="hybridMultilevel"/>
    <w:tmpl w:val="BFDE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350AB1"/>
    <w:multiLevelType w:val="hybridMultilevel"/>
    <w:tmpl w:val="CB82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10"/>
  </w:num>
  <w:num w:numId="4">
    <w:abstractNumId w:val="34"/>
  </w:num>
  <w:num w:numId="5">
    <w:abstractNumId w:val="35"/>
  </w:num>
  <w:num w:numId="6">
    <w:abstractNumId w:val="5"/>
  </w:num>
  <w:num w:numId="7">
    <w:abstractNumId w:val="31"/>
  </w:num>
  <w:num w:numId="8">
    <w:abstractNumId w:val="14"/>
  </w:num>
  <w:num w:numId="9">
    <w:abstractNumId w:val="4"/>
  </w:num>
  <w:num w:numId="10">
    <w:abstractNumId w:val="0"/>
  </w:num>
  <w:num w:numId="11">
    <w:abstractNumId w:val="22"/>
  </w:num>
  <w:num w:numId="12">
    <w:abstractNumId w:val="25"/>
  </w:num>
  <w:num w:numId="13">
    <w:abstractNumId w:val="23"/>
  </w:num>
  <w:num w:numId="14">
    <w:abstractNumId w:val="8"/>
  </w:num>
  <w:num w:numId="15">
    <w:abstractNumId w:val="26"/>
  </w:num>
  <w:num w:numId="16">
    <w:abstractNumId w:val="11"/>
  </w:num>
  <w:num w:numId="17">
    <w:abstractNumId w:val="33"/>
  </w:num>
  <w:num w:numId="18">
    <w:abstractNumId w:val="13"/>
  </w:num>
  <w:num w:numId="19">
    <w:abstractNumId w:val="32"/>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9"/>
  </w:num>
  <w:num w:numId="28">
    <w:abstractNumId w:val="9"/>
  </w:num>
  <w:num w:numId="29">
    <w:abstractNumId w:val="16"/>
  </w:num>
  <w:num w:numId="30">
    <w:abstractNumId w:val="30"/>
  </w:num>
  <w:num w:numId="31">
    <w:abstractNumId w:val="12"/>
  </w:num>
  <w:num w:numId="32">
    <w:abstractNumId w:val="1"/>
  </w:num>
  <w:num w:numId="33">
    <w:abstractNumId w:val="20"/>
  </w:num>
  <w:num w:numId="34">
    <w:abstractNumId w:val="6"/>
  </w:num>
  <w:num w:numId="35">
    <w:abstractNumId w:val="7"/>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A30"/>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4D0C"/>
    <w:rsid w:val="00127CD9"/>
    <w:rsid w:val="00130175"/>
    <w:rsid w:val="001321E6"/>
    <w:rsid w:val="00144D70"/>
    <w:rsid w:val="00146CED"/>
    <w:rsid w:val="00146F70"/>
    <w:rsid w:val="00150B86"/>
    <w:rsid w:val="001549C5"/>
    <w:rsid w:val="00155130"/>
    <w:rsid w:val="0015688B"/>
    <w:rsid w:val="00156E8B"/>
    <w:rsid w:val="0017000E"/>
    <w:rsid w:val="00170F1E"/>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43A6"/>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14E46"/>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03E43"/>
    <w:rsid w:val="004110E7"/>
    <w:rsid w:val="00412627"/>
    <w:rsid w:val="00413106"/>
    <w:rsid w:val="00413F69"/>
    <w:rsid w:val="00414107"/>
    <w:rsid w:val="00414115"/>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04BE"/>
    <w:rsid w:val="004F1C10"/>
    <w:rsid w:val="004F3A9B"/>
    <w:rsid w:val="004F5E4F"/>
    <w:rsid w:val="00500483"/>
    <w:rsid w:val="005107A0"/>
    <w:rsid w:val="00512BA5"/>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54A67"/>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B8B"/>
    <w:rsid w:val="006D1C5F"/>
    <w:rsid w:val="006D3831"/>
    <w:rsid w:val="006D55F3"/>
    <w:rsid w:val="006E0E79"/>
    <w:rsid w:val="006E1564"/>
    <w:rsid w:val="006E1B5B"/>
    <w:rsid w:val="006E21F5"/>
    <w:rsid w:val="006E330F"/>
    <w:rsid w:val="006E3CA6"/>
    <w:rsid w:val="006E5026"/>
    <w:rsid w:val="006E6A79"/>
    <w:rsid w:val="006E7534"/>
    <w:rsid w:val="006F1794"/>
    <w:rsid w:val="006F38B6"/>
    <w:rsid w:val="006F4BD1"/>
    <w:rsid w:val="006F6689"/>
    <w:rsid w:val="006F72BE"/>
    <w:rsid w:val="0070009E"/>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4BAB"/>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0E0A"/>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065"/>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50F0"/>
    <w:rsid w:val="008D6438"/>
    <w:rsid w:val="008E06F2"/>
    <w:rsid w:val="008E62EB"/>
    <w:rsid w:val="008F2516"/>
    <w:rsid w:val="008F50B2"/>
    <w:rsid w:val="0090265F"/>
    <w:rsid w:val="00904407"/>
    <w:rsid w:val="00911CE2"/>
    <w:rsid w:val="00911DA7"/>
    <w:rsid w:val="009137F1"/>
    <w:rsid w:val="009145A2"/>
    <w:rsid w:val="009163D1"/>
    <w:rsid w:val="009230DC"/>
    <w:rsid w:val="00923DB2"/>
    <w:rsid w:val="009247C3"/>
    <w:rsid w:val="00924C7B"/>
    <w:rsid w:val="00932748"/>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0AB"/>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0584"/>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AEC"/>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28D8"/>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87664"/>
    <w:rsid w:val="00F908A1"/>
    <w:rsid w:val="00F9181D"/>
    <w:rsid w:val="00F949F5"/>
    <w:rsid w:val="00F95C9E"/>
    <w:rsid w:val="00FA025B"/>
    <w:rsid w:val="00FA3B0C"/>
    <w:rsid w:val="00FA73F0"/>
    <w:rsid w:val="00FB4BF7"/>
    <w:rsid w:val="00FB4D46"/>
    <w:rsid w:val="00FB69D4"/>
    <w:rsid w:val="00FC2F29"/>
    <w:rsid w:val="00FC4019"/>
    <w:rsid w:val="00FC4C2C"/>
    <w:rsid w:val="00FC4C4D"/>
    <w:rsid w:val="00FC5D85"/>
    <w:rsid w:val="00FD0E6B"/>
    <w:rsid w:val="00FD0ED3"/>
    <w:rsid w:val="00FD21EA"/>
    <w:rsid w:val="00FD368C"/>
    <w:rsid w:val="00FD5CFC"/>
    <w:rsid w:val="00FD5DF9"/>
    <w:rsid w:val="00FE04FA"/>
    <w:rsid w:val="00FE1D21"/>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21477841">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health.oregon.gov/HealthyEnvironments/HealthyNeighborhoods/HealthyGardening/Pages/index.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0A12-50C6-481A-816C-EFA947A7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2015-02-26T21:12:00Z</cp:lastPrinted>
  <dcterms:created xsi:type="dcterms:W3CDTF">2015-03-03T17:54:00Z</dcterms:created>
  <dcterms:modified xsi:type="dcterms:W3CDTF">2015-03-03T17:54:00Z</dcterms:modified>
</cp:coreProperties>
</file>