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334" w:rsidRDefault="009E6334" w:rsidP="009E6334">
      <w:pPr>
        <w:pStyle w:val="NormalWeb"/>
        <w:rPr>
          <w:rFonts w:ascii="Calibri" w:hAnsi="Calibri" w:cs="Calibri"/>
          <w:color w:val="000000"/>
        </w:rPr>
      </w:pPr>
      <w:r>
        <w:rPr>
          <w:rFonts w:ascii="Calibri" w:hAnsi="Calibri" w:cs="Calibri"/>
          <w:color w:val="000000"/>
        </w:rPr>
        <w:t xml:space="preserve">The Indoor Clean Air Act (ICAA) Rules Advisory </w:t>
      </w:r>
      <w:r w:rsidRPr="002D2A5E">
        <w:rPr>
          <w:rFonts w:ascii="Calibri" w:hAnsi="Calibri" w:cs="Calibri"/>
          <w:color w:val="000000"/>
        </w:rPr>
        <w:t>Committee (RAC) is</w:t>
      </w:r>
      <w:r>
        <w:rPr>
          <w:rFonts w:ascii="Calibri" w:hAnsi="Calibri" w:cs="Calibri"/>
          <w:color w:val="000000"/>
        </w:rPr>
        <w:t xml:space="preserve"> addressing changes to the ICAA based on the definitions of “Inhalant Delivery Systems” (IDS) and “inhalants” that were set forth by the legislature in statute. Throughout the ICAA, where there is language around prohibiting smoking, we </w:t>
      </w:r>
      <w:r w:rsidR="006A01EA">
        <w:rPr>
          <w:rFonts w:ascii="Calibri" w:hAnsi="Calibri" w:cs="Calibri"/>
          <w:color w:val="000000"/>
        </w:rPr>
        <w:t xml:space="preserve">revising the rules </w:t>
      </w:r>
      <w:r>
        <w:rPr>
          <w:rFonts w:ascii="Calibri" w:hAnsi="Calibri" w:cs="Calibri"/>
          <w:color w:val="000000"/>
        </w:rPr>
        <w:t xml:space="preserve">to include aerosolizing and vaporizing. </w:t>
      </w:r>
    </w:p>
    <w:p w:rsidR="009E6334" w:rsidRDefault="009E6334" w:rsidP="009E6334">
      <w:pPr>
        <w:pStyle w:val="NormalWeb"/>
        <w:rPr>
          <w:rFonts w:ascii="Calibri" w:hAnsi="Calibri" w:cs="Calibri"/>
          <w:color w:val="000000"/>
        </w:rPr>
      </w:pPr>
    </w:p>
    <w:p w:rsidR="009E6334" w:rsidRDefault="009E6334" w:rsidP="009E6334">
      <w:pPr>
        <w:pStyle w:val="PlainText"/>
        <w:rPr>
          <w:sz w:val="24"/>
          <w:szCs w:val="24"/>
        </w:rPr>
      </w:pPr>
      <w:r>
        <w:rPr>
          <w:color w:val="000000"/>
          <w:sz w:val="24"/>
          <w:szCs w:val="24"/>
        </w:rPr>
        <w:t>The most significant area for RAC is around the definition of “enclosed area,” which was withdrawn from statute, with authority given to OHA to write the definition in rule.</w:t>
      </w:r>
      <w:r>
        <w:rPr>
          <w:sz w:val="24"/>
          <w:szCs w:val="24"/>
        </w:rPr>
        <w:t xml:space="preserve"> </w:t>
      </w:r>
    </w:p>
    <w:p w:rsidR="006A01EA" w:rsidRDefault="006A01EA" w:rsidP="00627B3D">
      <w:pPr>
        <w:pStyle w:val="PlainText"/>
        <w:rPr>
          <w:b/>
          <w:sz w:val="24"/>
        </w:rPr>
      </w:pPr>
    </w:p>
    <w:p w:rsidR="00627B3D" w:rsidRDefault="008E0130" w:rsidP="00627B3D">
      <w:pPr>
        <w:pStyle w:val="PlainText"/>
        <w:rPr>
          <w:sz w:val="24"/>
        </w:rPr>
      </w:pPr>
      <w:r w:rsidRPr="008E0130">
        <w:rPr>
          <w:b/>
          <w:sz w:val="24"/>
        </w:rPr>
        <w:t>Current definition</w:t>
      </w:r>
      <w:r w:rsidRPr="008E0130">
        <w:rPr>
          <w:sz w:val="24"/>
        </w:rPr>
        <w:t xml:space="preserve"> of </w:t>
      </w:r>
      <w:r w:rsidRPr="008E0130">
        <w:rPr>
          <w:sz w:val="24"/>
          <w:u w:val="single"/>
        </w:rPr>
        <w:t>enclosed area</w:t>
      </w:r>
      <w:r w:rsidRPr="008E0130">
        <w:rPr>
          <w:sz w:val="24"/>
        </w:rPr>
        <w:t xml:space="preserve"> in rule: all space between a floor and a ceiling that is enclosed on three or more sides by permanent or temporary wall or windows, exclusive of doors or </w:t>
      </w:r>
      <w:r>
        <w:rPr>
          <w:sz w:val="24"/>
        </w:rPr>
        <w:t>passage</w:t>
      </w:r>
      <w:r w:rsidRPr="008E0130">
        <w:rPr>
          <w:sz w:val="24"/>
        </w:rPr>
        <w:t>ways that extend from the floor to the ceiling.</w:t>
      </w:r>
      <w:r w:rsidR="009E6334">
        <w:rPr>
          <w:sz w:val="24"/>
        </w:rPr>
        <w:t xml:space="preserve"> </w:t>
      </w:r>
    </w:p>
    <w:p w:rsidR="00627B3D" w:rsidRDefault="00627B3D" w:rsidP="00627B3D">
      <w:pPr>
        <w:pStyle w:val="PlainText"/>
        <w:rPr>
          <w:sz w:val="24"/>
        </w:rPr>
      </w:pPr>
    </w:p>
    <w:p w:rsidR="00627B3D" w:rsidRPr="00627B3D" w:rsidRDefault="00984039" w:rsidP="00627B3D">
      <w:pPr>
        <w:tabs>
          <w:tab w:val="left" w:pos="360"/>
          <w:tab w:val="left" w:pos="6660"/>
        </w:tabs>
        <w:rPr>
          <w:sz w:val="24"/>
        </w:rPr>
      </w:pPr>
      <w:r>
        <w:rPr>
          <w:sz w:val="24"/>
          <w:szCs w:val="24"/>
        </w:rPr>
        <w:t xml:space="preserve">The current definition, as it is worded in statute, </w:t>
      </w:r>
      <w:r w:rsidR="00627B3D" w:rsidRPr="00627B3D">
        <w:rPr>
          <w:sz w:val="24"/>
          <w:szCs w:val="24"/>
        </w:rPr>
        <w:t>is difficult to enforce</w:t>
      </w:r>
      <w:r w:rsidR="006E7D68">
        <w:rPr>
          <w:sz w:val="24"/>
          <w:szCs w:val="24"/>
        </w:rPr>
        <w:t>.</w:t>
      </w:r>
      <w:r w:rsidR="00627B3D" w:rsidRPr="00627B3D">
        <w:rPr>
          <w:sz w:val="24"/>
          <w:szCs w:val="24"/>
        </w:rPr>
        <w:t xml:space="preserve">  </w:t>
      </w:r>
      <w:r w:rsidR="00627B3D" w:rsidRPr="00627B3D">
        <w:rPr>
          <w:sz w:val="24"/>
        </w:rPr>
        <w:t xml:space="preserve">In 2014, OHA received 593 </w:t>
      </w:r>
      <w:r w:rsidR="00627B3D">
        <w:rPr>
          <w:sz w:val="24"/>
        </w:rPr>
        <w:t xml:space="preserve">complaints, many of which were not valid because they didn’t violate the </w:t>
      </w:r>
      <w:r w:rsidR="006E7D68">
        <w:rPr>
          <w:sz w:val="24"/>
        </w:rPr>
        <w:t xml:space="preserve">ICAA </w:t>
      </w:r>
      <w:r w:rsidR="00627B3D">
        <w:rPr>
          <w:sz w:val="24"/>
        </w:rPr>
        <w:t>(e.g.</w:t>
      </w:r>
      <w:r w:rsidR="00F806DB">
        <w:rPr>
          <w:sz w:val="24"/>
        </w:rPr>
        <w:t>,</w:t>
      </w:r>
      <w:r w:rsidR="00627B3D">
        <w:rPr>
          <w:sz w:val="24"/>
        </w:rPr>
        <w:t xml:space="preserve"> not smoking in an enclosed area).  </w:t>
      </w:r>
      <w:r w:rsidR="00627B3D" w:rsidRPr="00627B3D">
        <w:rPr>
          <w:sz w:val="24"/>
        </w:rPr>
        <w:t xml:space="preserve">  </w:t>
      </w:r>
    </w:p>
    <w:p w:rsidR="00984039" w:rsidRPr="00984039" w:rsidRDefault="00984039" w:rsidP="00627B3D">
      <w:pPr>
        <w:pStyle w:val="PlainText"/>
        <w:rPr>
          <w:sz w:val="24"/>
          <w:szCs w:val="24"/>
        </w:rPr>
      </w:pPr>
      <w:r w:rsidRPr="00984039">
        <w:rPr>
          <w:sz w:val="24"/>
          <w:szCs w:val="24"/>
        </w:rPr>
        <w:t>The new definition of “enclosed area” will clarify that areas such as those shown below are enclosed.</w:t>
      </w:r>
    </w:p>
    <w:p w:rsidR="009E6334" w:rsidRDefault="009E6334" w:rsidP="008E0130">
      <w:pPr>
        <w:tabs>
          <w:tab w:val="left" w:pos="360"/>
          <w:tab w:val="left" w:pos="6660"/>
        </w:tabs>
        <w:rPr>
          <w:b/>
          <w:sz w:val="24"/>
        </w:rPr>
      </w:pPr>
    </w:p>
    <w:p w:rsidR="009E6334" w:rsidRDefault="009E6334" w:rsidP="008E0130">
      <w:pPr>
        <w:tabs>
          <w:tab w:val="left" w:pos="360"/>
          <w:tab w:val="left" w:pos="6660"/>
        </w:tabs>
        <w:rPr>
          <w:b/>
          <w:sz w:val="24"/>
        </w:rPr>
      </w:pPr>
      <w:r>
        <w:rPr>
          <w:b/>
          <w:sz w:val="24"/>
        </w:rPr>
        <w:t xml:space="preserve"> </w:t>
      </w:r>
      <w:r w:rsidRPr="007A0C3F">
        <w:rPr>
          <w:noProof/>
        </w:rPr>
        <w:drawing>
          <wp:inline distT="0" distB="0" distL="0" distR="0">
            <wp:extent cx="2099925" cy="1438090"/>
            <wp:effectExtent l="0" t="0" r="0" b="0"/>
            <wp:docPr id="2765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3" name="Picture 2"/>
                    <pic:cNvPicPr>
                      <a:picLocks noGrp="1" noChangeAspect="1" noChangeArrowheads="1"/>
                    </pic:cNvPicPr>
                  </pic:nvPicPr>
                  <pic:blipFill>
                    <a:blip r:embed="rId8" cstate="print"/>
                    <a:srcRect/>
                    <a:stretch>
                      <a:fillRect/>
                    </a:stretch>
                  </pic:blipFill>
                  <pic:spPr bwMode="auto">
                    <a:xfrm>
                      <a:off x="0" y="0"/>
                      <a:ext cx="2109887" cy="1444912"/>
                    </a:xfrm>
                    <a:prstGeom prst="rect">
                      <a:avLst/>
                    </a:prstGeom>
                    <a:noFill/>
                    <a:ln w="9525">
                      <a:noFill/>
                      <a:miter lim="800000"/>
                      <a:headEnd/>
                      <a:tailEnd/>
                    </a:ln>
                  </pic:spPr>
                </pic:pic>
              </a:graphicData>
            </a:graphic>
          </wp:inline>
        </w:drawing>
      </w:r>
      <w:r w:rsidR="00627B3D">
        <w:rPr>
          <w:b/>
          <w:sz w:val="24"/>
        </w:rPr>
        <w:t xml:space="preserve">      </w:t>
      </w:r>
      <w:r w:rsidR="006A01EA">
        <w:rPr>
          <w:b/>
          <w:sz w:val="24"/>
        </w:rPr>
        <w:t xml:space="preserve">  </w:t>
      </w:r>
      <w:r w:rsidR="00627B3D" w:rsidRPr="00627B3D">
        <w:rPr>
          <w:b/>
          <w:noProof/>
          <w:sz w:val="24"/>
        </w:rPr>
        <w:drawing>
          <wp:inline distT="0" distB="0" distL="0" distR="0">
            <wp:extent cx="1914313" cy="1435735"/>
            <wp:effectExtent l="0" t="0" r="0" b="0"/>
            <wp:docPr id="2662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9" name="Picture 2"/>
                    <pic:cNvPicPr>
                      <a:picLocks noGrp="1" noChangeAspect="1" noChangeArrowheads="1"/>
                    </pic:cNvPicPr>
                  </pic:nvPicPr>
                  <pic:blipFill>
                    <a:blip r:embed="rId9" cstate="print"/>
                    <a:srcRect/>
                    <a:stretch>
                      <a:fillRect/>
                    </a:stretch>
                  </pic:blipFill>
                  <pic:spPr bwMode="auto">
                    <a:xfrm>
                      <a:off x="0" y="0"/>
                      <a:ext cx="1924995" cy="1443747"/>
                    </a:xfrm>
                    <a:prstGeom prst="rect">
                      <a:avLst/>
                    </a:prstGeom>
                    <a:noFill/>
                    <a:ln w="9525">
                      <a:noFill/>
                      <a:miter lim="800000"/>
                      <a:headEnd/>
                      <a:tailEnd/>
                    </a:ln>
                  </pic:spPr>
                </pic:pic>
              </a:graphicData>
            </a:graphic>
          </wp:inline>
        </w:drawing>
      </w:r>
      <w:r w:rsidR="006A01EA">
        <w:rPr>
          <w:b/>
          <w:sz w:val="24"/>
        </w:rPr>
        <w:t xml:space="preserve">      </w:t>
      </w:r>
    </w:p>
    <w:p w:rsidR="008E0130" w:rsidRPr="00F5102D" w:rsidRDefault="008E0130" w:rsidP="00627B3D">
      <w:pPr>
        <w:tabs>
          <w:tab w:val="left" w:pos="360"/>
          <w:tab w:val="left" w:pos="6660"/>
        </w:tabs>
        <w:rPr>
          <w:sz w:val="24"/>
        </w:rPr>
      </w:pPr>
      <w:r w:rsidRPr="008E0130">
        <w:rPr>
          <w:b/>
          <w:sz w:val="24"/>
        </w:rPr>
        <w:t>Proposed definition</w:t>
      </w:r>
      <w:r w:rsidRPr="008E0130">
        <w:rPr>
          <w:sz w:val="24"/>
        </w:rPr>
        <w:t xml:space="preserve"> of </w:t>
      </w:r>
      <w:r w:rsidRPr="008E0130">
        <w:rPr>
          <w:sz w:val="24"/>
          <w:u w:val="single"/>
        </w:rPr>
        <w:t>enclosed area</w:t>
      </w:r>
      <w:r w:rsidRPr="008E0130">
        <w:rPr>
          <w:sz w:val="24"/>
        </w:rPr>
        <w:t xml:space="preserve">: </w:t>
      </w:r>
      <w:r>
        <w:rPr>
          <w:sz w:val="24"/>
        </w:rPr>
        <w:t>a</w:t>
      </w:r>
      <w:r w:rsidRPr="008E0130">
        <w:rPr>
          <w:sz w:val="24"/>
        </w:rPr>
        <w:t xml:space="preserve">ll space between a floor and a ceiling that is enclosed on two or more sides by permanent or temporary walls or windows, exclusive of doors or passageways.  If no ceiling is present, “enclosed area” means all space that is included by </w:t>
      </w:r>
      <w:r>
        <w:rPr>
          <w:sz w:val="24"/>
        </w:rPr>
        <w:t>three</w:t>
      </w:r>
      <w:r w:rsidRPr="008E0130">
        <w:rPr>
          <w:sz w:val="24"/>
        </w:rPr>
        <w:t xml:space="preserve"> or more sides by permanent or temporary walls or windows, exclusive of doors or passageways.</w:t>
      </w:r>
      <w:r w:rsidR="00EC3305">
        <w:rPr>
          <w:sz w:val="24"/>
        </w:rPr>
        <w:t xml:space="preserve"> </w:t>
      </w:r>
    </w:p>
    <w:p w:rsidR="009E6334" w:rsidRPr="00627B3D" w:rsidRDefault="00D82B45" w:rsidP="00627B3D">
      <w:pPr>
        <w:tabs>
          <w:tab w:val="left" w:pos="360"/>
          <w:tab w:val="left" w:pos="6660"/>
        </w:tabs>
        <w:rPr>
          <w:sz w:val="24"/>
        </w:rPr>
      </w:pPr>
      <w:r>
        <w:rPr>
          <w:sz w:val="24"/>
          <w:szCs w:val="24"/>
        </w:rPr>
        <w:t>The prop</w:t>
      </w:r>
      <w:r w:rsidR="002D2A5E">
        <w:rPr>
          <w:sz w:val="24"/>
          <w:szCs w:val="24"/>
        </w:rPr>
        <w:t xml:space="preserve">osed definition adds courtyards, which is similar to Benton County’s </w:t>
      </w:r>
      <w:r w:rsidR="00590231">
        <w:rPr>
          <w:sz w:val="24"/>
          <w:szCs w:val="24"/>
        </w:rPr>
        <w:t xml:space="preserve">ICAA </w:t>
      </w:r>
      <w:r w:rsidR="002D2A5E">
        <w:rPr>
          <w:sz w:val="24"/>
          <w:szCs w:val="24"/>
        </w:rPr>
        <w:t xml:space="preserve">ordinance. </w:t>
      </w:r>
      <w:r>
        <w:rPr>
          <w:sz w:val="24"/>
          <w:szCs w:val="24"/>
        </w:rPr>
        <w:t xml:space="preserve"> </w:t>
      </w:r>
      <w:r w:rsidR="009E6334" w:rsidRPr="00627B3D">
        <w:rPr>
          <w:sz w:val="24"/>
          <w:szCs w:val="24"/>
        </w:rPr>
        <w:t>Compared to the prior definition, this is both stronger to protect public health and clearer for businesses to understand.</w:t>
      </w:r>
    </w:p>
    <w:p w:rsidR="007A0C3F" w:rsidRPr="006A01EA" w:rsidRDefault="006A01EA">
      <w:pPr>
        <w:rPr>
          <w:b/>
        </w:rPr>
      </w:pPr>
      <w:r>
        <w:t xml:space="preserve">      </w:t>
      </w:r>
      <w:r w:rsidRPr="006A01EA">
        <w:rPr>
          <w:b/>
        </w:rPr>
        <w:t xml:space="preserve">3 walls with no ceiling </w:t>
      </w:r>
      <w:r w:rsidRPr="006A01EA">
        <w:rPr>
          <w:b/>
        </w:rPr>
        <w:tab/>
      </w:r>
      <w:r w:rsidRPr="006A01EA">
        <w:rPr>
          <w:b/>
        </w:rPr>
        <w:tab/>
        <w:t xml:space="preserve">       2 walls and a ce</w:t>
      </w:r>
      <w:r w:rsidR="003638DC">
        <w:rPr>
          <w:b/>
        </w:rPr>
        <w:t>i</w:t>
      </w:r>
      <w:r w:rsidRPr="006A01EA">
        <w:rPr>
          <w:b/>
        </w:rPr>
        <w:t>ling</w:t>
      </w:r>
      <w:r w:rsidRPr="006A01EA">
        <w:rPr>
          <w:b/>
        </w:rPr>
        <w:tab/>
      </w:r>
      <w:r w:rsidRPr="006A01EA">
        <w:rPr>
          <w:b/>
        </w:rPr>
        <w:tab/>
        <w:t xml:space="preserve">    </w:t>
      </w:r>
      <w:r>
        <w:rPr>
          <w:b/>
        </w:rPr>
        <w:t xml:space="preserve">     </w:t>
      </w:r>
    </w:p>
    <w:p w:rsidR="007A0C3F" w:rsidRDefault="00E26A77">
      <w:r w:rsidRPr="00E26A77">
        <w:rPr>
          <w:noProof/>
        </w:rPr>
        <w:drawing>
          <wp:inline distT="0" distB="0" distL="0" distR="0">
            <wp:extent cx="1924050" cy="18732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250" cy="1939649"/>
                    </a:xfrm>
                    <a:prstGeom prst="rect">
                      <a:avLst/>
                    </a:prstGeom>
                    <a:noFill/>
                    <a:ln>
                      <a:noFill/>
                    </a:ln>
                    <a:extLst/>
                  </pic:spPr>
                </pic:pic>
              </a:graphicData>
            </a:graphic>
          </wp:inline>
        </w:drawing>
      </w:r>
      <w:r w:rsidR="007A0C3F">
        <w:tab/>
      </w:r>
      <w:r w:rsidR="006A01EA">
        <w:t xml:space="preserve">          </w:t>
      </w:r>
      <w:bookmarkStart w:id="0" w:name="_GoBack"/>
      <w:r>
        <w:rPr>
          <w:noProof/>
        </w:rPr>
        <w:drawing>
          <wp:inline distT="0" distB="0" distL="0" distR="0">
            <wp:extent cx="1842135" cy="1952162"/>
            <wp:effectExtent l="2223" t="0" r="7937" b="7938"/>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rot="5400000">
                      <a:off x="0" y="0"/>
                      <a:ext cx="1852123" cy="1962747"/>
                    </a:xfrm>
                    <a:prstGeom prst="rect">
                      <a:avLst/>
                    </a:prstGeom>
                    <a:noFill/>
                    <a:ln>
                      <a:noFill/>
                    </a:ln>
                    <a:extLst/>
                  </pic:spPr>
                </pic:pic>
              </a:graphicData>
            </a:graphic>
          </wp:inline>
        </w:drawing>
      </w:r>
      <w:bookmarkEnd w:id="0"/>
    </w:p>
    <w:sectPr w:rsidR="007A0C3F" w:rsidSect="005316E0">
      <w:headerReference w:type="default" r:id="rId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6E0" w:rsidRDefault="005316E0" w:rsidP="005316E0">
      <w:pPr>
        <w:spacing w:after="0" w:line="240" w:lineRule="auto"/>
      </w:pPr>
      <w:r>
        <w:separator/>
      </w:r>
    </w:p>
  </w:endnote>
  <w:endnote w:type="continuationSeparator" w:id="0">
    <w:p w:rsidR="005316E0" w:rsidRDefault="005316E0" w:rsidP="00531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6E0" w:rsidRDefault="005316E0" w:rsidP="005316E0">
      <w:pPr>
        <w:spacing w:after="0" w:line="240" w:lineRule="auto"/>
      </w:pPr>
      <w:r>
        <w:separator/>
      </w:r>
    </w:p>
  </w:footnote>
  <w:footnote w:type="continuationSeparator" w:id="0">
    <w:p w:rsidR="005316E0" w:rsidRDefault="005316E0" w:rsidP="005316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A5E" w:rsidRDefault="002D2A5E">
    <w:pPr>
      <w:pStyle w:val="Header"/>
    </w:pPr>
    <w:r>
      <w:t>HB 2546-Administrative Rules</w:t>
    </w:r>
  </w:p>
  <w:p w:rsidR="005316E0" w:rsidRDefault="002D2A5E">
    <w:pPr>
      <w:pStyle w:val="Header"/>
    </w:pPr>
    <w:r>
      <w:t xml:space="preserve">Indoor Clean Air Act: </w:t>
    </w:r>
    <w:r w:rsidR="005316E0">
      <w:t>Enclosed Area</w:t>
    </w:r>
  </w:p>
  <w:p w:rsidR="005316E0" w:rsidRDefault="005316E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F6E0E"/>
    <w:multiLevelType w:val="hybridMultilevel"/>
    <w:tmpl w:val="9B4EA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C3632F9"/>
    <w:multiLevelType w:val="hybridMultilevel"/>
    <w:tmpl w:val="6E66E026"/>
    <w:lvl w:ilvl="0" w:tplc="94565162">
      <w:start w:val="1"/>
      <w:numFmt w:val="bullet"/>
      <w:lvlText w:val="•"/>
      <w:lvlJc w:val="left"/>
      <w:pPr>
        <w:tabs>
          <w:tab w:val="num" w:pos="720"/>
        </w:tabs>
        <w:ind w:left="720" w:hanging="360"/>
      </w:pPr>
      <w:rPr>
        <w:rFonts w:ascii="Arial" w:hAnsi="Arial" w:hint="default"/>
      </w:rPr>
    </w:lvl>
    <w:lvl w:ilvl="1" w:tplc="93300488">
      <w:start w:val="1"/>
      <w:numFmt w:val="bullet"/>
      <w:lvlText w:val="•"/>
      <w:lvlJc w:val="left"/>
      <w:pPr>
        <w:tabs>
          <w:tab w:val="num" w:pos="1440"/>
        </w:tabs>
        <w:ind w:left="1440" w:hanging="360"/>
      </w:pPr>
      <w:rPr>
        <w:rFonts w:ascii="Arial" w:hAnsi="Arial" w:hint="default"/>
      </w:rPr>
    </w:lvl>
    <w:lvl w:ilvl="2" w:tplc="2ACC5B2A" w:tentative="1">
      <w:start w:val="1"/>
      <w:numFmt w:val="bullet"/>
      <w:lvlText w:val="•"/>
      <w:lvlJc w:val="left"/>
      <w:pPr>
        <w:tabs>
          <w:tab w:val="num" w:pos="2160"/>
        </w:tabs>
        <w:ind w:left="2160" w:hanging="360"/>
      </w:pPr>
      <w:rPr>
        <w:rFonts w:ascii="Arial" w:hAnsi="Arial" w:hint="default"/>
      </w:rPr>
    </w:lvl>
    <w:lvl w:ilvl="3" w:tplc="F4809D28" w:tentative="1">
      <w:start w:val="1"/>
      <w:numFmt w:val="bullet"/>
      <w:lvlText w:val="•"/>
      <w:lvlJc w:val="left"/>
      <w:pPr>
        <w:tabs>
          <w:tab w:val="num" w:pos="2880"/>
        </w:tabs>
        <w:ind w:left="2880" w:hanging="360"/>
      </w:pPr>
      <w:rPr>
        <w:rFonts w:ascii="Arial" w:hAnsi="Arial" w:hint="default"/>
      </w:rPr>
    </w:lvl>
    <w:lvl w:ilvl="4" w:tplc="87821E30" w:tentative="1">
      <w:start w:val="1"/>
      <w:numFmt w:val="bullet"/>
      <w:lvlText w:val="•"/>
      <w:lvlJc w:val="left"/>
      <w:pPr>
        <w:tabs>
          <w:tab w:val="num" w:pos="3600"/>
        </w:tabs>
        <w:ind w:left="3600" w:hanging="360"/>
      </w:pPr>
      <w:rPr>
        <w:rFonts w:ascii="Arial" w:hAnsi="Arial" w:hint="default"/>
      </w:rPr>
    </w:lvl>
    <w:lvl w:ilvl="5" w:tplc="6C34750C" w:tentative="1">
      <w:start w:val="1"/>
      <w:numFmt w:val="bullet"/>
      <w:lvlText w:val="•"/>
      <w:lvlJc w:val="left"/>
      <w:pPr>
        <w:tabs>
          <w:tab w:val="num" w:pos="4320"/>
        </w:tabs>
        <w:ind w:left="4320" w:hanging="360"/>
      </w:pPr>
      <w:rPr>
        <w:rFonts w:ascii="Arial" w:hAnsi="Arial" w:hint="default"/>
      </w:rPr>
    </w:lvl>
    <w:lvl w:ilvl="6" w:tplc="AF34DFBC" w:tentative="1">
      <w:start w:val="1"/>
      <w:numFmt w:val="bullet"/>
      <w:lvlText w:val="•"/>
      <w:lvlJc w:val="left"/>
      <w:pPr>
        <w:tabs>
          <w:tab w:val="num" w:pos="5040"/>
        </w:tabs>
        <w:ind w:left="5040" w:hanging="360"/>
      </w:pPr>
      <w:rPr>
        <w:rFonts w:ascii="Arial" w:hAnsi="Arial" w:hint="default"/>
      </w:rPr>
    </w:lvl>
    <w:lvl w:ilvl="7" w:tplc="DD28F22C" w:tentative="1">
      <w:start w:val="1"/>
      <w:numFmt w:val="bullet"/>
      <w:lvlText w:val="•"/>
      <w:lvlJc w:val="left"/>
      <w:pPr>
        <w:tabs>
          <w:tab w:val="num" w:pos="5760"/>
        </w:tabs>
        <w:ind w:left="5760" w:hanging="360"/>
      </w:pPr>
      <w:rPr>
        <w:rFonts w:ascii="Arial" w:hAnsi="Arial" w:hint="default"/>
      </w:rPr>
    </w:lvl>
    <w:lvl w:ilvl="8" w:tplc="280A4AF8" w:tentative="1">
      <w:start w:val="1"/>
      <w:numFmt w:val="bullet"/>
      <w:lvlText w:val="•"/>
      <w:lvlJc w:val="left"/>
      <w:pPr>
        <w:tabs>
          <w:tab w:val="num" w:pos="6480"/>
        </w:tabs>
        <w:ind w:left="6480" w:hanging="360"/>
      </w:pPr>
      <w:rPr>
        <w:rFonts w:ascii="Arial" w:hAnsi="Arial" w:hint="default"/>
      </w:rPr>
    </w:lvl>
  </w:abstractNum>
  <w:abstractNum w:abstractNumId="2">
    <w:nsid w:val="492A2278"/>
    <w:multiLevelType w:val="hybridMultilevel"/>
    <w:tmpl w:val="2ED404A2"/>
    <w:lvl w:ilvl="0" w:tplc="BC907FF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1FD134E"/>
    <w:multiLevelType w:val="hybridMultilevel"/>
    <w:tmpl w:val="ADD2D3FE"/>
    <w:lvl w:ilvl="0" w:tplc="BC907FF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4453DB9"/>
    <w:multiLevelType w:val="hybridMultilevel"/>
    <w:tmpl w:val="53F409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A0C3F"/>
    <w:rsid w:val="002D2A5E"/>
    <w:rsid w:val="003638DC"/>
    <w:rsid w:val="003E66FB"/>
    <w:rsid w:val="00490A0E"/>
    <w:rsid w:val="005220CC"/>
    <w:rsid w:val="005316E0"/>
    <w:rsid w:val="00590231"/>
    <w:rsid w:val="00627B3D"/>
    <w:rsid w:val="006A01EA"/>
    <w:rsid w:val="006E7D68"/>
    <w:rsid w:val="007A0C3F"/>
    <w:rsid w:val="008E0130"/>
    <w:rsid w:val="008E1BAB"/>
    <w:rsid w:val="00984039"/>
    <w:rsid w:val="009E6334"/>
    <w:rsid w:val="00D82B45"/>
    <w:rsid w:val="00E26A77"/>
    <w:rsid w:val="00EC3305"/>
    <w:rsid w:val="00F806DB"/>
    <w:rsid w:val="00FF69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B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6E0"/>
  </w:style>
  <w:style w:type="paragraph" w:styleId="Footer">
    <w:name w:val="footer"/>
    <w:basedOn w:val="Normal"/>
    <w:link w:val="FooterChar"/>
    <w:uiPriority w:val="99"/>
    <w:unhideWhenUsed/>
    <w:rsid w:val="00531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6E0"/>
  </w:style>
  <w:style w:type="paragraph" w:styleId="BalloonText">
    <w:name w:val="Balloon Text"/>
    <w:basedOn w:val="Normal"/>
    <w:link w:val="BalloonTextChar"/>
    <w:uiPriority w:val="99"/>
    <w:semiHidden/>
    <w:unhideWhenUsed/>
    <w:rsid w:val="008E0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130"/>
    <w:rPr>
      <w:rFonts w:ascii="Segoe UI" w:hAnsi="Segoe UI" w:cs="Segoe UI"/>
      <w:sz w:val="18"/>
      <w:szCs w:val="18"/>
    </w:rPr>
  </w:style>
  <w:style w:type="paragraph" w:styleId="ListParagraph">
    <w:name w:val="List Paragraph"/>
    <w:basedOn w:val="Normal"/>
    <w:uiPriority w:val="34"/>
    <w:qFormat/>
    <w:rsid w:val="008E0130"/>
    <w:pPr>
      <w:ind w:left="720"/>
      <w:contextualSpacing/>
    </w:pPr>
  </w:style>
  <w:style w:type="paragraph" w:styleId="NormalWeb">
    <w:name w:val="Normal (Web)"/>
    <w:basedOn w:val="Normal"/>
    <w:uiPriority w:val="99"/>
    <w:semiHidden/>
    <w:unhideWhenUsed/>
    <w:rsid w:val="009E6334"/>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unhideWhenUsed/>
    <w:rsid w:val="009E6334"/>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9E6334"/>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412161336">
      <w:bodyDiv w:val="1"/>
      <w:marLeft w:val="0"/>
      <w:marRight w:val="0"/>
      <w:marTop w:val="0"/>
      <w:marBottom w:val="0"/>
      <w:divBdr>
        <w:top w:val="none" w:sz="0" w:space="0" w:color="auto"/>
        <w:left w:val="none" w:sz="0" w:space="0" w:color="auto"/>
        <w:bottom w:val="none" w:sz="0" w:space="0" w:color="auto"/>
        <w:right w:val="none" w:sz="0" w:space="0" w:color="auto"/>
      </w:divBdr>
    </w:div>
    <w:div w:id="863637494">
      <w:bodyDiv w:val="1"/>
      <w:marLeft w:val="0"/>
      <w:marRight w:val="0"/>
      <w:marTop w:val="0"/>
      <w:marBottom w:val="0"/>
      <w:divBdr>
        <w:top w:val="none" w:sz="0" w:space="0" w:color="auto"/>
        <w:left w:val="none" w:sz="0" w:space="0" w:color="auto"/>
        <w:bottom w:val="none" w:sz="0" w:space="0" w:color="auto"/>
        <w:right w:val="none" w:sz="0" w:space="0" w:color="auto"/>
      </w:divBdr>
      <w:divsChild>
        <w:div w:id="1564020088">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41FD8-F49E-4C7A-BA7F-2137EC8CB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270</Words>
  <Characters>1541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Oregon DHS</Company>
  <LinksUpToDate>false</LinksUpToDate>
  <CharactersWithSpaces>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LACROIX Kimberly W</dc:creator>
  <cp:lastModifiedBy>MHKHT</cp:lastModifiedBy>
  <cp:revision>2</cp:revision>
  <cp:lastPrinted>2015-09-21T20:24:00Z</cp:lastPrinted>
  <dcterms:created xsi:type="dcterms:W3CDTF">2015-12-03T21:19:00Z</dcterms:created>
  <dcterms:modified xsi:type="dcterms:W3CDTF">2015-12-03T21:19:00Z</dcterms:modified>
</cp:coreProperties>
</file>