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8C434B" w:rsidRDefault="00DC4E04" w:rsidP="00544ACA">
      <w:pPr>
        <w:jc w:val="center"/>
        <w:rPr>
          <w:rFonts w:asciiTheme="majorHAnsi" w:hAnsiTheme="majorHAnsi"/>
          <w:b/>
          <w:sz w:val="24"/>
          <w:szCs w:val="24"/>
        </w:rPr>
      </w:pPr>
      <w:r w:rsidRPr="008C434B">
        <w:rPr>
          <w:rFonts w:asciiTheme="majorHAnsi" w:hAnsiTheme="majorHAnsi"/>
          <w:b/>
          <w:sz w:val="24"/>
          <w:szCs w:val="24"/>
        </w:rPr>
        <w:t xml:space="preserve">CLHO </w:t>
      </w:r>
      <w:r w:rsidR="00ED2BFA" w:rsidRPr="008C434B">
        <w:rPr>
          <w:rFonts w:asciiTheme="majorHAnsi" w:hAnsiTheme="majorHAnsi"/>
          <w:b/>
          <w:sz w:val="24"/>
          <w:szCs w:val="24"/>
        </w:rPr>
        <w:t xml:space="preserve">Healthy Communities </w:t>
      </w:r>
      <w:r w:rsidRPr="008C434B">
        <w:rPr>
          <w:rFonts w:asciiTheme="majorHAnsi" w:hAnsiTheme="majorHAnsi"/>
          <w:b/>
          <w:sz w:val="24"/>
          <w:szCs w:val="24"/>
        </w:rPr>
        <w:t xml:space="preserve">Committee Meeting </w:t>
      </w:r>
      <w:r w:rsidR="008C434B" w:rsidRPr="008C434B">
        <w:rPr>
          <w:rFonts w:asciiTheme="majorHAnsi" w:hAnsiTheme="majorHAnsi"/>
          <w:b/>
          <w:sz w:val="24"/>
          <w:szCs w:val="24"/>
        </w:rPr>
        <w:t>Minutes</w:t>
      </w:r>
    </w:p>
    <w:p w:rsidR="009B54A7" w:rsidRPr="00F4497D" w:rsidRDefault="00DC4E04" w:rsidP="00A764F2">
      <w:pPr>
        <w:jc w:val="center"/>
        <w:rPr>
          <w:rFonts w:asciiTheme="majorHAnsi" w:hAnsiTheme="majorHAnsi"/>
          <w:sz w:val="24"/>
          <w:szCs w:val="24"/>
        </w:rPr>
      </w:pPr>
      <w:r w:rsidRPr="00F4497D">
        <w:rPr>
          <w:rFonts w:asciiTheme="majorHAnsi" w:hAnsiTheme="majorHAnsi"/>
          <w:sz w:val="24"/>
          <w:szCs w:val="24"/>
        </w:rPr>
        <w:t>Date</w:t>
      </w:r>
      <w:r w:rsidR="00ED2BFA" w:rsidRPr="00F4497D">
        <w:rPr>
          <w:rFonts w:asciiTheme="majorHAnsi" w:hAnsiTheme="majorHAnsi"/>
          <w:sz w:val="24"/>
          <w:szCs w:val="24"/>
        </w:rPr>
        <w:t xml:space="preserve">:  Thursday, </w:t>
      </w:r>
      <w:r w:rsidR="002E418B">
        <w:rPr>
          <w:rFonts w:asciiTheme="majorHAnsi" w:hAnsiTheme="majorHAnsi"/>
          <w:sz w:val="24"/>
          <w:szCs w:val="24"/>
        </w:rPr>
        <w:t>May 7, 2015</w:t>
      </w:r>
    </w:p>
    <w:p w:rsidR="00ED2BFA" w:rsidRPr="00F4497D" w:rsidRDefault="00ED2BFA" w:rsidP="00A764F2">
      <w:pPr>
        <w:jc w:val="center"/>
        <w:rPr>
          <w:rFonts w:asciiTheme="majorHAnsi" w:hAnsiTheme="majorHAnsi"/>
          <w:sz w:val="24"/>
          <w:szCs w:val="24"/>
        </w:rPr>
      </w:pPr>
      <w:r w:rsidRPr="00F4497D">
        <w:rPr>
          <w:rFonts w:asciiTheme="majorHAnsi" w:hAnsiTheme="majorHAnsi"/>
          <w:sz w:val="24"/>
          <w:szCs w:val="24"/>
        </w:rPr>
        <w:t>1:00 – 3:00 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5130"/>
        <w:gridCol w:w="4590"/>
        <w:gridCol w:w="2088"/>
      </w:tblGrid>
      <w:tr w:rsidR="009B54A7" w:rsidRPr="00F4497D" w:rsidTr="00354A29">
        <w:tc>
          <w:tcPr>
            <w:tcW w:w="14616" w:type="dxa"/>
            <w:gridSpan w:val="4"/>
          </w:tcPr>
          <w:p w:rsidR="009B54A7" w:rsidRPr="00F4497D" w:rsidRDefault="00752C74" w:rsidP="00BD7F91">
            <w:pPr>
              <w:jc w:val="center"/>
              <w:rPr>
                <w:rFonts w:asciiTheme="majorHAnsi" w:hAnsiTheme="majorHAnsi"/>
              </w:rPr>
            </w:pPr>
            <w:r w:rsidRPr="00F4497D">
              <w:rPr>
                <w:rFonts w:asciiTheme="majorHAnsi" w:hAnsiTheme="majorHAnsi"/>
              </w:rPr>
              <w:t>Agenda</w:t>
            </w:r>
          </w:p>
        </w:tc>
      </w:tr>
      <w:tr w:rsidR="009B54A7" w:rsidRPr="00F4497D" w:rsidTr="00BB250A">
        <w:trPr>
          <w:trHeight w:val="170"/>
        </w:trPr>
        <w:tc>
          <w:tcPr>
            <w:tcW w:w="2808" w:type="dxa"/>
          </w:tcPr>
          <w:p w:rsidR="009B54A7" w:rsidRPr="00F4497D" w:rsidRDefault="009B54A7" w:rsidP="00BD7F91">
            <w:pPr>
              <w:jc w:val="center"/>
              <w:rPr>
                <w:rFonts w:asciiTheme="majorHAnsi" w:hAnsiTheme="majorHAnsi"/>
              </w:rPr>
            </w:pPr>
            <w:r w:rsidRPr="00F4497D">
              <w:rPr>
                <w:rFonts w:asciiTheme="majorHAnsi" w:hAnsiTheme="majorHAnsi"/>
              </w:rPr>
              <w:t>Agenda Item</w:t>
            </w:r>
          </w:p>
        </w:tc>
        <w:tc>
          <w:tcPr>
            <w:tcW w:w="5130" w:type="dxa"/>
          </w:tcPr>
          <w:p w:rsidR="009B54A7" w:rsidRPr="00F4497D" w:rsidRDefault="009B54A7" w:rsidP="00BD7F91">
            <w:pPr>
              <w:jc w:val="center"/>
              <w:rPr>
                <w:rFonts w:asciiTheme="majorHAnsi" w:hAnsiTheme="majorHAnsi"/>
              </w:rPr>
            </w:pPr>
            <w:r w:rsidRPr="00F4497D">
              <w:rPr>
                <w:rFonts w:asciiTheme="majorHAnsi" w:hAnsiTheme="majorHAnsi"/>
              </w:rPr>
              <w:t>Detail</w:t>
            </w:r>
          </w:p>
        </w:tc>
        <w:tc>
          <w:tcPr>
            <w:tcW w:w="4590" w:type="dxa"/>
          </w:tcPr>
          <w:p w:rsidR="009B54A7" w:rsidRPr="00F4497D" w:rsidRDefault="009B54A7" w:rsidP="00BD7F91">
            <w:pPr>
              <w:jc w:val="center"/>
              <w:rPr>
                <w:rFonts w:asciiTheme="majorHAnsi" w:hAnsiTheme="majorHAnsi"/>
              </w:rPr>
            </w:pPr>
            <w:r w:rsidRPr="00F4497D">
              <w:rPr>
                <w:rFonts w:asciiTheme="majorHAnsi" w:hAnsiTheme="majorHAnsi"/>
              </w:rPr>
              <w:t>Action Item</w:t>
            </w:r>
          </w:p>
        </w:tc>
        <w:tc>
          <w:tcPr>
            <w:tcW w:w="2088" w:type="dxa"/>
          </w:tcPr>
          <w:p w:rsidR="009B54A7" w:rsidRPr="00F4497D" w:rsidRDefault="009B54A7" w:rsidP="00BD7F91">
            <w:pPr>
              <w:jc w:val="center"/>
              <w:rPr>
                <w:rFonts w:asciiTheme="majorHAnsi" w:hAnsiTheme="majorHAnsi"/>
              </w:rPr>
            </w:pPr>
            <w:r w:rsidRPr="00F4497D">
              <w:rPr>
                <w:rFonts w:asciiTheme="majorHAnsi" w:hAnsiTheme="majorHAnsi"/>
              </w:rPr>
              <w:t>Responsible Party</w:t>
            </w:r>
          </w:p>
        </w:tc>
      </w:tr>
      <w:tr w:rsidR="00DF5CDF" w:rsidRPr="00F4497D" w:rsidTr="00BB250A">
        <w:trPr>
          <w:trHeight w:val="692"/>
        </w:trPr>
        <w:tc>
          <w:tcPr>
            <w:tcW w:w="2808" w:type="dxa"/>
          </w:tcPr>
          <w:p w:rsidR="00DF5CDF" w:rsidRPr="00F4497D" w:rsidRDefault="00783ABB" w:rsidP="00783ABB">
            <w:pPr>
              <w:rPr>
                <w:rFonts w:asciiTheme="majorHAnsi" w:hAnsiTheme="majorHAnsi"/>
                <w:sz w:val="24"/>
                <w:szCs w:val="24"/>
              </w:rPr>
            </w:pPr>
            <w:r w:rsidRPr="00F4497D">
              <w:rPr>
                <w:rFonts w:asciiTheme="majorHAnsi" w:hAnsiTheme="majorHAnsi"/>
                <w:sz w:val="24"/>
                <w:szCs w:val="24"/>
              </w:rPr>
              <w:t xml:space="preserve">Welcome &amp; Introductions </w:t>
            </w:r>
            <w:r w:rsidR="00BD7097" w:rsidRPr="00F4497D">
              <w:rPr>
                <w:rFonts w:asciiTheme="majorHAnsi" w:hAnsiTheme="majorHAnsi"/>
                <w:sz w:val="24"/>
                <w:szCs w:val="24"/>
              </w:rPr>
              <w:t>(5 min</w:t>
            </w:r>
            <w:r w:rsidR="00F540EE" w:rsidRPr="00F4497D">
              <w:rPr>
                <w:rFonts w:asciiTheme="majorHAnsi" w:hAnsiTheme="majorHAnsi"/>
                <w:sz w:val="24"/>
                <w:szCs w:val="24"/>
              </w:rPr>
              <w:t>) 1:00 – 1:05</w:t>
            </w:r>
          </w:p>
        </w:tc>
        <w:tc>
          <w:tcPr>
            <w:tcW w:w="5130" w:type="dxa"/>
          </w:tcPr>
          <w:p w:rsidR="00DF5CDF" w:rsidRPr="00F4497D" w:rsidRDefault="00783ABB" w:rsidP="00E6249B">
            <w:pPr>
              <w:rPr>
                <w:rFonts w:asciiTheme="majorHAnsi" w:hAnsiTheme="majorHAnsi"/>
                <w:sz w:val="24"/>
                <w:szCs w:val="24"/>
              </w:rPr>
            </w:pPr>
            <w:r w:rsidRPr="00F4497D">
              <w:rPr>
                <w:rFonts w:asciiTheme="majorHAnsi" w:hAnsiTheme="majorHAnsi"/>
                <w:sz w:val="24"/>
                <w:szCs w:val="24"/>
              </w:rPr>
              <w:t>Attendance</w:t>
            </w:r>
          </w:p>
        </w:tc>
        <w:tc>
          <w:tcPr>
            <w:tcW w:w="4590" w:type="dxa"/>
          </w:tcPr>
          <w:p w:rsidR="00B03BC6" w:rsidRPr="00B03BC6" w:rsidRDefault="00B03BC6" w:rsidP="00B03BC6">
            <w:pPr>
              <w:rPr>
                <w:rFonts w:asciiTheme="majorHAnsi" w:hAnsiTheme="majorHAnsi"/>
                <w:sz w:val="24"/>
                <w:szCs w:val="24"/>
                <w:u w:val="single"/>
              </w:rPr>
            </w:pPr>
            <w:r>
              <w:rPr>
                <w:rFonts w:asciiTheme="majorHAnsi" w:hAnsiTheme="majorHAnsi"/>
                <w:sz w:val="24"/>
                <w:szCs w:val="24"/>
                <w:u w:val="single"/>
              </w:rPr>
              <w:t>County Members:</w:t>
            </w:r>
          </w:p>
          <w:p w:rsidR="00E30E9E" w:rsidRDefault="00B03BC6" w:rsidP="00B03BC6">
            <w:pPr>
              <w:rPr>
                <w:rFonts w:asciiTheme="majorHAnsi" w:hAnsiTheme="majorHAnsi"/>
                <w:sz w:val="24"/>
                <w:szCs w:val="24"/>
              </w:rPr>
            </w:pPr>
            <w:r>
              <w:rPr>
                <w:rFonts w:asciiTheme="majorHAnsi" w:hAnsiTheme="majorHAnsi"/>
                <w:sz w:val="24"/>
                <w:szCs w:val="24"/>
              </w:rPr>
              <w:t xml:space="preserve">Charlie Fautin/Benton, Tanya Philips/Jackson, Robin Nudd/Baker, Tatiana Dierwechter/Benton, Julie Albers/Clackamas, Julie Hamilton/Clackamas, Ashley Bogget/Columbia, Kris Williams/Crook, Tom Kuhn/Deschutes, Marilyn Sutherland/Klamath, </w:t>
            </w:r>
            <w:r w:rsidR="008C434B">
              <w:rPr>
                <w:rFonts w:asciiTheme="majorHAnsi" w:hAnsiTheme="majorHAnsi"/>
                <w:sz w:val="24"/>
                <w:szCs w:val="24"/>
              </w:rPr>
              <w:t>Kim Tierney/Multnomah, Janet Jones/Umatilla, Amanda Garcia-Snell/Washington</w:t>
            </w:r>
          </w:p>
          <w:p w:rsidR="008C434B" w:rsidRDefault="008C434B" w:rsidP="00B03BC6">
            <w:pPr>
              <w:rPr>
                <w:rFonts w:asciiTheme="majorHAnsi" w:hAnsiTheme="majorHAnsi"/>
                <w:sz w:val="24"/>
                <w:szCs w:val="24"/>
                <w:u w:val="single"/>
              </w:rPr>
            </w:pPr>
            <w:r>
              <w:rPr>
                <w:rFonts w:asciiTheme="majorHAnsi" w:hAnsiTheme="majorHAnsi"/>
                <w:sz w:val="24"/>
                <w:szCs w:val="24"/>
                <w:u w:val="single"/>
              </w:rPr>
              <w:t>State Members:</w:t>
            </w:r>
          </w:p>
          <w:p w:rsidR="008C434B" w:rsidRPr="008C434B" w:rsidRDefault="008C434B" w:rsidP="008C434B">
            <w:pPr>
              <w:rPr>
                <w:rFonts w:asciiTheme="majorHAnsi" w:hAnsiTheme="majorHAnsi"/>
                <w:sz w:val="24"/>
                <w:szCs w:val="24"/>
              </w:rPr>
            </w:pPr>
            <w:r>
              <w:rPr>
                <w:rFonts w:asciiTheme="majorHAnsi" w:hAnsiTheme="majorHAnsi"/>
                <w:sz w:val="24"/>
                <w:szCs w:val="24"/>
              </w:rPr>
              <w:t>Julie Early-Alberts, Sabrina Freewynn, Ronit Zusman, Laura Chisholm, Kirsten Aird, Kati Moseley, Carol Welch</w:t>
            </w:r>
          </w:p>
        </w:tc>
        <w:tc>
          <w:tcPr>
            <w:tcW w:w="2088" w:type="dxa"/>
          </w:tcPr>
          <w:p w:rsidR="00DF5CDF" w:rsidRDefault="009230DC" w:rsidP="003E0C0E">
            <w:pPr>
              <w:rPr>
                <w:rFonts w:asciiTheme="majorHAnsi" w:hAnsiTheme="majorHAnsi"/>
                <w:sz w:val="24"/>
                <w:szCs w:val="24"/>
              </w:rPr>
            </w:pPr>
            <w:r>
              <w:rPr>
                <w:rFonts w:asciiTheme="majorHAnsi" w:hAnsiTheme="majorHAnsi"/>
                <w:sz w:val="24"/>
                <w:szCs w:val="24"/>
              </w:rPr>
              <w:t>Tanya Phillips</w:t>
            </w:r>
          </w:p>
          <w:p w:rsidR="005B373D" w:rsidRPr="00F4497D" w:rsidRDefault="005B373D" w:rsidP="003E0C0E">
            <w:pPr>
              <w:rPr>
                <w:rFonts w:asciiTheme="majorHAnsi" w:hAnsiTheme="majorHAnsi"/>
                <w:sz w:val="24"/>
                <w:szCs w:val="24"/>
              </w:rPr>
            </w:pPr>
            <w:r>
              <w:rPr>
                <w:rFonts w:asciiTheme="majorHAnsi" w:hAnsiTheme="majorHAnsi"/>
                <w:sz w:val="24"/>
                <w:szCs w:val="24"/>
              </w:rPr>
              <w:t>Charlie Fautin</w:t>
            </w:r>
          </w:p>
        </w:tc>
      </w:tr>
      <w:tr w:rsidR="00DF5CDF" w:rsidRPr="00F4497D" w:rsidTr="00BB250A">
        <w:trPr>
          <w:trHeight w:val="863"/>
        </w:trPr>
        <w:tc>
          <w:tcPr>
            <w:tcW w:w="2808" w:type="dxa"/>
          </w:tcPr>
          <w:p w:rsidR="009230DC" w:rsidRDefault="00783ABB" w:rsidP="00783ABB">
            <w:pPr>
              <w:rPr>
                <w:rFonts w:asciiTheme="majorHAnsi" w:hAnsiTheme="majorHAnsi"/>
                <w:sz w:val="24"/>
                <w:szCs w:val="24"/>
              </w:rPr>
            </w:pPr>
            <w:r w:rsidRPr="00F4497D">
              <w:rPr>
                <w:rFonts w:asciiTheme="majorHAnsi" w:hAnsiTheme="majorHAnsi"/>
                <w:sz w:val="24"/>
                <w:szCs w:val="24"/>
              </w:rPr>
              <w:t>Review of Prior Month’s Minutes</w:t>
            </w:r>
            <w:r w:rsidR="00DF5CDF" w:rsidRPr="00F4497D">
              <w:rPr>
                <w:rFonts w:asciiTheme="majorHAnsi" w:hAnsiTheme="majorHAnsi"/>
                <w:sz w:val="24"/>
                <w:szCs w:val="24"/>
              </w:rPr>
              <w:t xml:space="preserve"> </w:t>
            </w:r>
            <w:r w:rsidRPr="00F4497D">
              <w:rPr>
                <w:rFonts w:asciiTheme="majorHAnsi" w:hAnsiTheme="majorHAnsi"/>
                <w:sz w:val="24"/>
                <w:szCs w:val="24"/>
              </w:rPr>
              <w:t>(5</w:t>
            </w:r>
            <w:r w:rsidR="00BD7097" w:rsidRPr="00F4497D">
              <w:rPr>
                <w:rFonts w:asciiTheme="majorHAnsi" w:hAnsiTheme="majorHAnsi"/>
                <w:sz w:val="24"/>
                <w:szCs w:val="24"/>
              </w:rPr>
              <w:t xml:space="preserve"> min</w:t>
            </w:r>
            <w:r w:rsidR="00DF5CDF" w:rsidRPr="00F4497D">
              <w:rPr>
                <w:rFonts w:asciiTheme="majorHAnsi" w:hAnsiTheme="majorHAnsi"/>
                <w:sz w:val="24"/>
                <w:szCs w:val="24"/>
              </w:rPr>
              <w:t>)</w:t>
            </w:r>
            <w:r w:rsidR="00F540EE" w:rsidRPr="00F4497D">
              <w:rPr>
                <w:rFonts w:asciiTheme="majorHAnsi" w:hAnsiTheme="majorHAnsi"/>
                <w:sz w:val="24"/>
                <w:szCs w:val="24"/>
              </w:rPr>
              <w:t xml:space="preserve"> </w:t>
            </w:r>
          </w:p>
          <w:p w:rsidR="00DF5CDF" w:rsidRPr="00F4497D" w:rsidRDefault="00F540EE" w:rsidP="00783ABB">
            <w:pPr>
              <w:rPr>
                <w:rFonts w:asciiTheme="majorHAnsi" w:hAnsiTheme="majorHAnsi"/>
                <w:sz w:val="24"/>
                <w:szCs w:val="24"/>
              </w:rPr>
            </w:pPr>
            <w:r w:rsidRPr="00F4497D">
              <w:rPr>
                <w:rFonts w:asciiTheme="majorHAnsi" w:hAnsiTheme="majorHAnsi"/>
                <w:sz w:val="24"/>
                <w:szCs w:val="24"/>
              </w:rPr>
              <w:t>1:</w:t>
            </w:r>
            <w:r w:rsidR="00012097" w:rsidRPr="00F4497D">
              <w:rPr>
                <w:rFonts w:asciiTheme="majorHAnsi" w:hAnsiTheme="majorHAnsi"/>
                <w:sz w:val="24"/>
                <w:szCs w:val="24"/>
              </w:rPr>
              <w:t>0</w:t>
            </w:r>
            <w:r w:rsidRPr="00F4497D">
              <w:rPr>
                <w:rFonts w:asciiTheme="majorHAnsi" w:hAnsiTheme="majorHAnsi"/>
                <w:sz w:val="24"/>
                <w:szCs w:val="24"/>
              </w:rPr>
              <w:t>5 – 1:</w:t>
            </w:r>
            <w:r w:rsidR="00E6249B" w:rsidRPr="00F4497D">
              <w:rPr>
                <w:rFonts w:asciiTheme="majorHAnsi" w:hAnsiTheme="majorHAnsi"/>
                <w:sz w:val="24"/>
                <w:szCs w:val="24"/>
              </w:rPr>
              <w:t>1</w:t>
            </w:r>
            <w:r w:rsidR="00783ABB" w:rsidRPr="00F4497D">
              <w:rPr>
                <w:rFonts w:asciiTheme="majorHAnsi" w:hAnsiTheme="majorHAnsi"/>
                <w:sz w:val="24"/>
                <w:szCs w:val="24"/>
              </w:rPr>
              <w:t>0</w:t>
            </w:r>
          </w:p>
        </w:tc>
        <w:tc>
          <w:tcPr>
            <w:tcW w:w="5130" w:type="dxa"/>
          </w:tcPr>
          <w:p w:rsidR="00DF5CDF" w:rsidRPr="00F4497D" w:rsidRDefault="00561B6A" w:rsidP="005C6C0E">
            <w:pPr>
              <w:rPr>
                <w:rFonts w:asciiTheme="majorHAnsi" w:hAnsiTheme="majorHAnsi"/>
                <w:sz w:val="24"/>
                <w:szCs w:val="24"/>
              </w:rPr>
            </w:pPr>
            <w:r w:rsidRPr="00F4497D">
              <w:rPr>
                <w:rFonts w:asciiTheme="majorHAnsi" w:hAnsiTheme="majorHAnsi"/>
                <w:sz w:val="24"/>
                <w:szCs w:val="24"/>
              </w:rPr>
              <w:t xml:space="preserve">The Committee will have an opportunity to </w:t>
            </w:r>
            <w:r w:rsidR="00A61D28" w:rsidRPr="00F4497D">
              <w:rPr>
                <w:rFonts w:asciiTheme="majorHAnsi" w:hAnsiTheme="majorHAnsi"/>
                <w:sz w:val="24"/>
                <w:szCs w:val="24"/>
              </w:rPr>
              <w:t xml:space="preserve">review </w:t>
            </w:r>
            <w:r w:rsidR="00AD7C5E">
              <w:rPr>
                <w:rFonts w:asciiTheme="majorHAnsi" w:hAnsiTheme="majorHAnsi"/>
                <w:sz w:val="24"/>
                <w:szCs w:val="24"/>
              </w:rPr>
              <w:t xml:space="preserve">minutes from the </w:t>
            </w:r>
            <w:r w:rsidR="005C6C0E">
              <w:rPr>
                <w:rFonts w:asciiTheme="majorHAnsi" w:hAnsiTheme="majorHAnsi"/>
                <w:sz w:val="24"/>
                <w:szCs w:val="24"/>
              </w:rPr>
              <w:t>past meeting</w:t>
            </w:r>
            <w:r w:rsidR="00AD7C5E">
              <w:rPr>
                <w:rFonts w:asciiTheme="majorHAnsi" w:hAnsiTheme="majorHAnsi"/>
                <w:sz w:val="24"/>
                <w:szCs w:val="24"/>
              </w:rPr>
              <w:t>,</w:t>
            </w:r>
            <w:r w:rsidRPr="00F4497D">
              <w:rPr>
                <w:rFonts w:asciiTheme="majorHAnsi" w:hAnsiTheme="majorHAnsi"/>
                <w:sz w:val="24"/>
                <w:szCs w:val="24"/>
              </w:rPr>
              <w:t xml:space="preserve"> make changes and/or adopt the minutes.</w:t>
            </w:r>
          </w:p>
        </w:tc>
        <w:tc>
          <w:tcPr>
            <w:tcW w:w="4590" w:type="dxa"/>
          </w:tcPr>
          <w:p w:rsidR="00E30E9E" w:rsidRPr="00F4497D" w:rsidRDefault="008C434B" w:rsidP="00AE5C54">
            <w:pPr>
              <w:rPr>
                <w:rFonts w:asciiTheme="majorHAnsi" w:hAnsiTheme="majorHAnsi"/>
                <w:sz w:val="24"/>
                <w:szCs w:val="24"/>
              </w:rPr>
            </w:pPr>
            <w:r>
              <w:rPr>
                <w:rFonts w:asciiTheme="majorHAnsi" w:hAnsiTheme="majorHAnsi"/>
                <w:sz w:val="24"/>
                <w:szCs w:val="24"/>
              </w:rPr>
              <w:t xml:space="preserve">Motion was made by </w:t>
            </w:r>
            <w:r w:rsidR="00AE5C54">
              <w:rPr>
                <w:rFonts w:asciiTheme="majorHAnsi" w:hAnsiTheme="majorHAnsi"/>
                <w:sz w:val="24"/>
                <w:szCs w:val="24"/>
              </w:rPr>
              <w:t>Tom Kuhn/Deschutes to approve t</w:t>
            </w:r>
            <w:r w:rsidR="00EE36E7">
              <w:rPr>
                <w:rFonts w:asciiTheme="majorHAnsi" w:hAnsiTheme="majorHAnsi"/>
                <w:sz w:val="24"/>
                <w:szCs w:val="24"/>
              </w:rPr>
              <w:t xml:space="preserve">he minutes of April 2015 and </w:t>
            </w:r>
            <w:r w:rsidR="00AE5C54">
              <w:rPr>
                <w:rFonts w:asciiTheme="majorHAnsi" w:hAnsiTheme="majorHAnsi"/>
                <w:sz w:val="24"/>
                <w:szCs w:val="24"/>
              </w:rPr>
              <w:t>Amanda Garcia-Snell/Washington seconded the motion. Minutes adopted as written.</w:t>
            </w:r>
          </w:p>
        </w:tc>
        <w:tc>
          <w:tcPr>
            <w:tcW w:w="2088" w:type="dxa"/>
          </w:tcPr>
          <w:p w:rsidR="00DF5CDF" w:rsidRDefault="009230DC" w:rsidP="00354A29">
            <w:pPr>
              <w:rPr>
                <w:rFonts w:asciiTheme="majorHAnsi" w:hAnsiTheme="majorHAnsi"/>
                <w:sz w:val="24"/>
                <w:szCs w:val="24"/>
              </w:rPr>
            </w:pPr>
            <w:r>
              <w:rPr>
                <w:rFonts w:asciiTheme="majorHAnsi" w:hAnsiTheme="majorHAnsi"/>
                <w:sz w:val="24"/>
                <w:szCs w:val="24"/>
              </w:rPr>
              <w:t>Tanya Phillips</w:t>
            </w:r>
          </w:p>
          <w:p w:rsidR="005B373D" w:rsidRPr="00F4497D" w:rsidRDefault="005B373D" w:rsidP="00354A29">
            <w:pPr>
              <w:rPr>
                <w:rFonts w:asciiTheme="majorHAnsi" w:hAnsiTheme="majorHAnsi"/>
                <w:sz w:val="24"/>
                <w:szCs w:val="24"/>
              </w:rPr>
            </w:pPr>
            <w:r>
              <w:rPr>
                <w:rFonts w:asciiTheme="majorHAnsi" w:hAnsiTheme="majorHAnsi"/>
                <w:sz w:val="24"/>
                <w:szCs w:val="24"/>
              </w:rPr>
              <w:t>Charlie Fautin</w:t>
            </w:r>
          </w:p>
        </w:tc>
      </w:tr>
      <w:tr w:rsidR="00860AC6" w:rsidRPr="00F4497D" w:rsidTr="00BB250A">
        <w:trPr>
          <w:trHeight w:val="692"/>
        </w:trPr>
        <w:tc>
          <w:tcPr>
            <w:tcW w:w="2808" w:type="dxa"/>
          </w:tcPr>
          <w:p w:rsidR="00860AC6" w:rsidRPr="00972F8A" w:rsidRDefault="00B117BB" w:rsidP="00AC7370">
            <w:pPr>
              <w:rPr>
                <w:rFonts w:asciiTheme="majorHAnsi" w:hAnsiTheme="majorHAnsi"/>
                <w:color w:val="003300"/>
                <w:sz w:val="24"/>
                <w:szCs w:val="24"/>
              </w:rPr>
            </w:pPr>
            <w:r w:rsidRPr="00B117BB">
              <w:rPr>
                <w:rFonts w:asciiTheme="majorHAnsi" w:hAnsiTheme="majorHAnsi"/>
                <w:sz w:val="24"/>
                <w:szCs w:val="24"/>
              </w:rPr>
              <w:t>Sustainable Relationships for Community Health grant project update</w:t>
            </w:r>
            <w:r>
              <w:rPr>
                <w:rFonts w:asciiTheme="majorHAnsi" w:hAnsiTheme="majorHAnsi"/>
                <w:sz w:val="24"/>
                <w:szCs w:val="24"/>
              </w:rPr>
              <w:t xml:space="preserve"> (15</w:t>
            </w:r>
            <w:r w:rsidR="00527636">
              <w:rPr>
                <w:rFonts w:asciiTheme="majorHAnsi" w:hAnsiTheme="majorHAnsi"/>
                <w:sz w:val="24"/>
                <w:szCs w:val="24"/>
              </w:rPr>
              <w:t xml:space="preserve"> </w:t>
            </w:r>
            <w:r>
              <w:rPr>
                <w:rFonts w:asciiTheme="majorHAnsi" w:hAnsiTheme="majorHAnsi"/>
                <w:sz w:val="24"/>
                <w:szCs w:val="24"/>
              </w:rPr>
              <w:t>min)</w:t>
            </w:r>
            <w:r w:rsidR="00527636">
              <w:rPr>
                <w:rFonts w:asciiTheme="majorHAnsi" w:hAnsiTheme="majorHAnsi"/>
                <w:sz w:val="24"/>
                <w:szCs w:val="24"/>
              </w:rPr>
              <w:br/>
              <w:t>1:10 – 1:25</w:t>
            </w:r>
            <w:r>
              <w:rPr>
                <w:rFonts w:asciiTheme="majorHAnsi" w:hAnsiTheme="majorHAnsi"/>
                <w:sz w:val="24"/>
                <w:szCs w:val="24"/>
              </w:rPr>
              <w:t xml:space="preserve"> </w:t>
            </w:r>
          </w:p>
        </w:tc>
        <w:tc>
          <w:tcPr>
            <w:tcW w:w="5130" w:type="dxa"/>
          </w:tcPr>
          <w:p w:rsidR="00B117BB" w:rsidRPr="00B117BB" w:rsidRDefault="00B117BB" w:rsidP="00B117BB">
            <w:pPr>
              <w:rPr>
                <w:rFonts w:asciiTheme="majorHAnsi" w:hAnsiTheme="majorHAnsi"/>
                <w:sz w:val="24"/>
                <w:szCs w:val="24"/>
              </w:rPr>
            </w:pPr>
            <w:r w:rsidRPr="00B117BB">
              <w:rPr>
                <w:rFonts w:asciiTheme="majorHAnsi" w:hAnsiTheme="majorHAnsi"/>
                <w:b/>
                <w:sz w:val="24"/>
                <w:szCs w:val="24"/>
              </w:rPr>
              <w:t>Background:</w:t>
            </w:r>
            <w:r w:rsidRPr="00B117BB">
              <w:rPr>
                <w:rFonts w:asciiTheme="majorHAnsi" w:hAnsiTheme="majorHAnsi"/>
                <w:sz w:val="24"/>
                <w:szCs w:val="24"/>
              </w:rPr>
              <w:t xml:space="preserve"> The five Sustainable Relationships for Community Health (SRCH) grantees attended the first of three facilitated planning/discussion sessions on April 7</w:t>
            </w:r>
            <w:r w:rsidRPr="00B117BB">
              <w:rPr>
                <w:rFonts w:asciiTheme="majorHAnsi" w:hAnsiTheme="majorHAnsi"/>
                <w:sz w:val="24"/>
                <w:szCs w:val="24"/>
                <w:vertAlign w:val="superscript"/>
              </w:rPr>
              <w:t>th</w:t>
            </w:r>
            <w:r w:rsidRPr="00B117BB">
              <w:rPr>
                <w:rFonts w:asciiTheme="majorHAnsi" w:hAnsiTheme="majorHAnsi"/>
                <w:sz w:val="24"/>
                <w:szCs w:val="24"/>
              </w:rPr>
              <w:t xml:space="preserve"> and 8</w:t>
            </w:r>
            <w:r w:rsidRPr="00B117BB">
              <w:rPr>
                <w:rFonts w:asciiTheme="majorHAnsi" w:hAnsiTheme="majorHAnsi"/>
                <w:sz w:val="24"/>
                <w:szCs w:val="24"/>
                <w:vertAlign w:val="superscript"/>
              </w:rPr>
              <w:t>th</w:t>
            </w:r>
            <w:r w:rsidRPr="00B117BB">
              <w:rPr>
                <w:rFonts w:asciiTheme="majorHAnsi" w:hAnsiTheme="majorHAnsi"/>
                <w:sz w:val="24"/>
                <w:szCs w:val="24"/>
              </w:rPr>
              <w:t xml:space="preserve"> in Portland. The teams are made up of CCOs, local public health authorities, and self-management provider organizations. </w:t>
            </w:r>
          </w:p>
          <w:p w:rsidR="00B117BB" w:rsidRPr="00B117BB" w:rsidRDefault="00B117BB" w:rsidP="00B117BB">
            <w:pPr>
              <w:rPr>
                <w:rFonts w:asciiTheme="majorHAnsi" w:hAnsiTheme="majorHAnsi"/>
                <w:sz w:val="24"/>
                <w:szCs w:val="24"/>
              </w:rPr>
            </w:pPr>
          </w:p>
          <w:p w:rsidR="00B117BB" w:rsidRPr="00B117BB" w:rsidRDefault="00B117BB" w:rsidP="00B117BB">
            <w:pPr>
              <w:rPr>
                <w:rFonts w:asciiTheme="majorHAnsi" w:hAnsiTheme="majorHAnsi"/>
                <w:sz w:val="24"/>
                <w:szCs w:val="24"/>
              </w:rPr>
            </w:pPr>
            <w:r w:rsidRPr="00B117BB">
              <w:rPr>
                <w:rFonts w:asciiTheme="majorHAnsi" w:hAnsiTheme="majorHAnsi"/>
                <w:b/>
                <w:sz w:val="24"/>
                <w:szCs w:val="24"/>
              </w:rPr>
              <w:t>Objective:</w:t>
            </w:r>
            <w:r w:rsidRPr="00B117BB">
              <w:rPr>
                <w:rFonts w:asciiTheme="majorHAnsi" w:hAnsiTheme="majorHAnsi"/>
                <w:sz w:val="24"/>
                <w:szCs w:val="24"/>
              </w:rPr>
              <w:t xml:space="preserve"> Provide a brief update on the SRCH grant project and team progress.</w:t>
            </w:r>
          </w:p>
          <w:p w:rsidR="00860AC6" w:rsidRPr="005E3B07" w:rsidRDefault="00860AC6" w:rsidP="00527636">
            <w:pPr>
              <w:rPr>
                <w:rFonts w:asciiTheme="majorHAnsi" w:hAnsiTheme="majorHAnsi"/>
                <w:sz w:val="24"/>
                <w:szCs w:val="24"/>
              </w:rPr>
            </w:pPr>
          </w:p>
        </w:tc>
        <w:tc>
          <w:tcPr>
            <w:tcW w:w="4590" w:type="dxa"/>
          </w:tcPr>
          <w:p w:rsidR="00DC022B" w:rsidRDefault="00AE5C54" w:rsidP="00527636">
            <w:pPr>
              <w:rPr>
                <w:rFonts w:asciiTheme="majorHAnsi" w:hAnsiTheme="majorHAnsi"/>
                <w:sz w:val="24"/>
                <w:szCs w:val="24"/>
              </w:rPr>
            </w:pPr>
            <w:r>
              <w:rPr>
                <w:rFonts w:asciiTheme="majorHAnsi" w:hAnsiTheme="majorHAnsi"/>
                <w:sz w:val="24"/>
                <w:szCs w:val="24"/>
              </w:rPr>
              <w:t xml:space="preserve">Sustainable </w:t>
            </w:r>
            <w:r w:rsidR="00672D5A">
              <w:rPr>
                <w:rFonts w:asciiTheme="majorHAnsi" w:hAnsiTheme="majorHAnsi"/>
                <w:sz w:val="24"/>
                <w:szCs w:val="24"/>
              </w:rPr>
              <w:t>Rel</w:t>
            </w:r>
            <w:r w:rsidR="00E804D5">
              <w:rPr>
                <w:rFonts w:asciiTheme="majorHAnsi" w:hAnsiTheme="majorHAnsi"/>
                <w:sz w:val="24"/>
                <w:szCs w:val="24"/>
              </w:rPr>
              <w:t xml:space="preserve">ationship for Community Health </w:t>
            </w:r>
            <w:r w:rsidR="00F51A6D">
              <w:rPr>
                <w:rFonts w:asciiTheme="majorHAnsi" w:hAnsiTheme="majorHAnsi"/>
                <w:sz w:val="24"/>
                <w:szCs w:val="24"/>
              </w:rPr>
              <w:t>(SRCH) grantees are moving forward with their work</w:t>
            </w:r>
            <w:r w:rsidR="00EE36E7">
              <w:rPr>
                <w:rFonts w:asciiTheme="majorHAnsi" w:hAnsiTheme="majorHAnsi"/>
                <w:sz w:val="24"/>
                <w:szCs w:val="24"/>
              </w:rPr>
              <w:t>.</w:t>
            </w:r>
            <w:r w:rsidR="00E804D5">
              <w:rPr>
                <w:rFonts w:asciiTheme="majorHAnsi" w:hAnsiTheme="majorHAnsi"/>
                <w:sz w:val="24"/>
                <w:szCs w:val="24"/>
              </w:rPr>
              <w:t xml:space="preserve"> Currently, </w:t>
            </w:r>
            <w:r w:rsidR="00F51A6D">
              <w:rPr>
                <w:rFonts w:asciiTheme="majorHAnsi" w:hAnsiTheme="majorHAnsi"/>
                <w:sz w:val="24"/>
                <w:szCs w:val="24"/>
              </w:rPr>
              <w:t>all grantees have</w:t>
            </w:r>
            <w:r w:rsidR="00E804D5">
              <w:rPr>
                <w:rFonts w:asciiTheme="majorHAnsi" w:hAnsiTheme="majorHAnsi"/>
                <w:sz w:val="24"/>
                <w:szCs w:val="24"/>
              </w:rPr>
              <w:t xml:space="preserve"> expanded </w:t>
            </w:r>
            <w:r w:rsidR="00F51A6D">
              <w:rPr>
                <w:rFonts w:asciiTheme="majorHAnsi" w:hAnsiTheme="majorHAnsi"/>
                <w:sz w:val="24"/>
                <w:szCs w:val="24"/>
              </w:rPr>
              <w:t xml:space="preserve">and strengthened </w:t>
            </w:r>
            <w:r w:rsidR="00E804D5">
              <w:rPr>
                <w:rFonts w:asciiTheme="majorHAnsi" w:hAnsiTheme="majorHAnsi"/>
                <w:sz w:val="24"/>
                <w:szCs w:val="24"/>
              </w:rPr>
              <w:t xml:space="preserve">their </w:t>
            </w:r>
            <w:r w:rsidR="00EE36E7">
              <w:rPr>
                <w:rFonts w:asciiTheme="majorHAnsi" w:hAnsiTheme="majorHAnsi"/>
                <w:sz w:val="24"/>
                <w:szCs w:val="24"/>
              </w:rPr>
              <w:t>relationships between c</w:t>
            </w:r>
            <w:r w:rsidR="00F51A6D">
              <w:rPr>
                <w:rFonts w:asciiTheme="majorHAnsi" w:hAnsiTheme="majorHAnsi"/>
                <w:sz w:val="24"/>
                <w:szCs w:val="24"/>
              </w:rPr>
              <w:t>ounty health departments,</w:t>
            </w:r>
            <w:r w:rsidR="00E804D5">
              <w:rPr>
                <w:rFonts w:asciiTheme="majorHAnsi" w:hAnsiTheme="majorHAnsi"/>
                <w:sz w:val="24"/>
                <w:szCs w:val="24"/>
              </w:rPr>
              <w:t xml:space="preserve"> </w:t>
            </w:r>
            <w:r w:rsidR="00F51A6D">
              <w:rPr>
                <w:rFonts w:asciiTheme="majorHAnsi" w:hAnsiTheme="majorHAnsi"/>
                <w:sz w:val="24"/>
                <w:szCs w:val="24"/>
              </w:rPr>
              <w:t>CCOs, and local self-management delivery programs. The</w:t>
            </w:r>
            <w:r w:rsidR="00E804D5">
              <w:rPr>
                <w:rFonts w:asciiTheme="majorHAnsi" w:hAnsiTheme="majorHAnsi"/>
                <w:sz w:val="24"/>
                <w:szCs w:val="24"/>
              </w:rPr>
              <w:t xml:space="preserve"> first task was expanding referrals to Living Well, the second task was expand</w:t>
            </w:r>
            <w:r w:rsidR="00F51A6D">
              <w:rPr>
                <w:rFonts w:asciiTheme="majorHAnsi" w:hAnsiTheme="majorHAnsi"/>
                <w:sz w:val="24"/>
                <w:szCs w:val="24"/>
              </w:rPr>
              <w:t xml:space="preserve">ing referrals for diabetes prevention </w:t>
            </w:r>
            <w:r w:rsidR="00E804D5">
              <w:rPr>
                <w:rFonts w:asciiTheme="majorHAnsi" w:hAnsiTheme="majorHAnsi"/>
                <w:sz w:val="24"/>
                <w:szCs w:val="24"/>
              </w:rPr>
              <w:t xml:space="preserve">program, and </w:t>
            </w:r>
            <w:r w:rsidR="00F51A6D">
              <w:rPr>
                <w:rFonts w:asciiTheme="majorHAnsi" w:hAnsiTheme="majorHAnsi"/>
                <w:sz w:val="24"/>
                <w:szCs w:val="24"/>
              </w:rPr>
              <w:t xml:space="preserve">the </w:t>
            </w:r>
            <w:r w:rsidR="00E804D5">
              <w:rPr>
                <w:rFonts w:asciiTheme="majorHAnsi" w:hAnsiTheme="majorHAnsi"/>
                <w:sz w:val="24"/>
                <w:szCs w:val="24"/>
              </w:rPr>
              <w:t xml:space="preserve">third was expanding referrals to </w:t>
            </w:r>
            <w:r w:rsidR="00F51A6D">
              <w:rPr>
                <w:rFonts w:asciiTheme="majorHAnsi" w:hAnsiTheme="majorHAnsi"/>
                <w:sz w:val="24"/>
                <w:szCs w:val="24"/>
              </w:rPr>
              <w:t xml:space="preserve">the </w:t>
            </w:r>
            <w:r w:rsidR="00E804D5">
              <w:rPr>
                <w:rFonts w:asciiTheme="majorHAnsi" w:hAnsiTheme="majorHAnsi"/>
                <w:sz w:val="24"/>
                <w:szCs w:val="24"/>
              </w:rPr>
              <w:t xml:space="preserve">tobacco quit line. We have </w:t>
            </w:r>
            <w:r w:rsidR="009620D6">
              <w:rPr>
                <w:rFonts w:asciiTheme="majorHAnsi" w:hAnsiTheme="majorHAnsi"/>
                <w:sz w:val="24"/>
                <w:szCs w:val="24"/>
              </w:rPr>
              <w:t>a very</w:t>
            </w:r>
            <w:r w:rsidR="00E804D5">
              <w:rPr>
                <w:rFonts w:asciiTheme="majorHAnsi" w:hAnsiTheme="majorHAnsi"/>
                <w:sz w:val="24"/>
                <w:szCs w:val="24"/>
              </w:rPr>
              <w:t xml:space="preserve"> primitive fax process for the tobacco quit </w:t>
            </w:r>
            <w:r w:rsidR="00E804D5">
              <w:rPr>
                <w:rFonts w:asciiTheme="majorHAnsi" w:hAnsiTheme="majorHAnsi"/>
                <w:sz w:val="24"/>
                <w:szCs w:val="24"/>
              </w:rPr>
              <w:lastRenderedPageBreak/>
              <w:t xml:space="preserve">program and need to focus on making it an electronic process. </w:t>
            </w:r>
            <w:r w:rsidR="009620D6">
              <w:rPr>
                <w:rFonts w:asciiTheme="majorHAnsi" w:hAnsiTheme="majorHAnsi"/>
                <w:sz w:val="24"/>
                <w:szCs w:val="24"/>
              </w:rPr>
              <w:t>Tom</w:t>
            </w:r>
            <w:r w:rsidR="00EE36E7">
              <w:rPr>
                <w:rFonts w:asciiTheme="majorHAnsi" w:hAnsiTheme="majorHAnsi"/>
                <w:sz w:val="24"/>
                <w:szCs w:val="24"/>
              </w:rPr>
              <w:t xml:space="preserve"> K</w:t>
            </w:r>
            <w:r w:rsidR="00F51A6D">
              <w:rPr>
                <w:rFonts w:asciiTheme="majorHAnsi" w:hAnsiTheme="majorHAnsi"/>
                <w:sz w:val="24"/>
                <w:szCs w:val="24"/>
              </w:rPr>
              <w:t>u</w:t>
            </w:r>
            <w:r w:rsidR="00EE36E7">
              <w:rPr>
                <w:rFonts w:asciiTheme="majorHAnsi" w:hAnsiTheme="majorHAnsi"/>
                <w:sz w:val="24"/>
                <w:szCs w:val="24"/>
              </w:rPr>
              <w:t>h</w:t>
            </w:r>
            <w:r w:rsidR="00F51A6D">
              <w:rPr>
                <w:rFonts w:asciiTheme="majorHAnsi" w:hAnsiTheme="majorHAnsi"/>
                <w:sz w:val="24"/>
                <w:szCs w:val="24"/>
              </w:rPr>
              <w:t>n, a SRCH participant,</w:t>
            </w:r>
            <w:r w:rsidR="009620D6">
              <w:rPr>
                <w:rFonts w:asciiTheme="majorHAnsi" w:hAnsiTheme="majorHAnsi"/>
                <w:sz w:val="24"/>
                <w:szCs w:val="24"/>
              </w:rPr>
              <w:t xml:space="preserve"> is v</w:t>
            </w:r>
            <w:r w:rsidR="00EE36E7">
              <w:rPr>
                <w:rFonts w:asciiTheme="majorHAnsi" w:hAnsiTheme="majorHAnsi"/>
                <w:sz w:val="24"/>
                <w:szCs w:val="24"/>
              </w:rPr>
              <w:t>ery positive</w:t>
            </w:r>
            <w:r w:rsidR="00F51A6D">
              <w:rPr>
                <w:rFonts w:asciiTheme="majorHAnsi" w:hAnsiTheme="majorHAnsi"/>
                <w:sz w:val="24"/>
                <w:szCs w:val="24"/>
              </w:rPr>
              <w:t xml:space="preserve"> about the work and outcomes to date.</w:t>
            </w:r>
          </w:p>
          <w:p w:rsidR="009620D6" w:rsidRDefault="009620D6" w:rsidP="00527636">
            <w:pPr>
              <w:rPr>
                <w:rFonts w:asciiTheme="majorHAnsi" w:hAnsiTheme="majorHAnsi"/>
                <w:sz w:val="24"/>
                <w:szCs w:val="24"/>
              </w:rPr>
            </w:pPr>
          </w:p>
          <w:p w:rsidR="00DC022B" w:rsidRDefault="00DC022B" w:rsidP="00527636">
            <w:pPr>
              <w:rPr>
                <w:rFonts w:asciiTheme="majorHAnsi" w:hAnsiTheme="majorHAnsi"/>
                <w:sz w:val="24"/>
                <w:szCs w:val="24"/>
              </w:rPr>
            </w:pPr>
            <w:r>
              <w:rPr>
                <w:rFonts w:asciiTheme="majorHAnsi" w:hAnsiTheme="majorHAnsi"/>
                <w:sz w:val="24"/>
                <w:szCs w:val="24"/>
              </w:rPr>
              <w:t xml:space="preserve">Tatiana </w:t>
            </w:r>
            <w:r w:rsidR="009620D6">
              <w:rPr>
                <w:rFonts w:asciiTheme="majorHAnsi" w:hAnsiTheme="majorHAnsi"/>
                <w:sz w:val="24"/>
                <w:szCs w:val="24"/>
              </w:rPr>
              <w:t xml:space="preserve">asked about the </w:t>
            </w:r>
            <w:r w:rsidR="00F51A6D">
              <w:rPr>
                <w:rFonts w:asciiTheme="majorHAnsi" w:hAnsiTheme="majorHAnsi"/>
                <w:sz w:val="24"/>
                <w:szCs w:val="24"/>
              </w:rPr>
              <w:t xml:space="preserve">recently released </w:t>
            </w:r>
            <w:r w:rsidR="009620D6">
              <w:rPr>
                <w:rFonts w:asciiTheme="majorHAnsi" w:hAnsiTheme="majorHAnsi"/>
                <w:sz w:val="24"/>
                <w:szCs w:val="24"/>
              </w:rPr>
              <w:t xml:space="preserve">RFP about the </w:t>
            </w:r>
            <w:r w:rsidR="00F51A6D">
              <w:rPr>
                <w:rFonts w:asciiTheme="majorHAnsi" w:hAnsiTheme="majorHAnsi"/>
                <w:sz w:val="24"/>
                <w:szCs w:val="24"/>
              </w:rPr>
              <w:t>self-management hub</w:t>
            </w:r>
            <w:r w:rsidR="009620D6">
              <w:rPr>
                <w:rFonts w:asciiTheme="majorHAnsi" w:hAnsiTheme="majorHAnsi"/>
                <w:sz w:val="24"/>
                <w:szCs w:val="24"/>
              </w:rPr>
              <w:t>. The hub is to be the single location for training, coordination, and technical assistance location for self-</w:t>
            </w:r>
            <w:r w:rsidR="00877FC2">
              <w:rPr>
                <w:rFonts w:asciiTheme="majorHAnsi" w:hAnsiTheme="majorHAnsi"/>
                <w:sz w:val="24"/>
                <w:szCs w:val="24"/>
              </w:rPr>
              <w:t xml:space="preserve">management processes. </w:t>
            </w:r>
            <w:r w:rsidR="00F51A6D">
              <w:rPr>
                <w:rFonts w:asciiTheme="majorHAnsi" w:hAnsiTheme="majorHAnsi"/>
                <w:sz w:val="24"/>
                <w:szCs w:val="24"/>
              </w:rPr>
              <w:t>This is a competitive bid process and all questions need to be directed to the single point of contact listed on the call for proposals.</w:t>
            </w:r>
          </w:p>
          <w:p w:rsidR="00DC022B" w:rsidRPr="00414115" w:rsidRDefault="00DC022B" w:rsidP="00877FC2">
            <w:pPr>
              <w:rPr>
                <w:rFonts w:asciiTheme="majorHAnsi" w:hAnsiTheme="majorHAnsi"/>
                <w:sz w:val="24"/>
                <w:szCs w:val="24"/>
              </w:rPr>
            </w:pPr>
          </w:p>
        </w:tc>
        <w:tc>
          <w:tcPr>
            <w:tcW w:w="2088" w:type="dxa"/>
          </w:tcPr>
          <w:p w:rsidR="00B117BB" w:rsidRPr="00B117BB" w:rsidRDefault="00B117BB" w:rsidP="00B117BB">
            <w:pPr>
              <w:rPr>
                <w:rFonts w:asciiTheme="majorHAnsi" w:hAnsiTheme="majorHAnsi"/>
                <w:sz w:val="24"/>
                <w:szCs w:val="24"/>
              </w:rPr>
            </w:pPr>
            <w:r w:rsidRPr="00B117BB">
              <w:rPr>
                <w:rFonts w:asciiTheme="majorHAnsi" w:hAnsiTheme="majorHAnsi"/>
                <w:sz w:val="24"/>
                <w:szCs w:val="24"/>
              </w:rPr>
              <w:lastRenderedPageBreak/>
              <w:t>Laura Chisholm Kirsten Aird</w:t>
            </w:r>
          </w:p>
          <w:p w:rsidR="00860AC6" w:rsidRPr="00972F8A" w:rsidRDefault="00B117BB" w:rsidP="00B117BB">
            <w:pPr>
              <w:rPr>
                <w:rFonts w:asciiTheme="majorHAnsi" w:hAnsiTheme="majorHAnsi"/>
                <w:sz w:val="24"/>
                <w:szCs w:val="24"/>
              </w:rPr>
            </w:pPr>
            <w:r w:rsidRPr="00B117BB">
              <w:rPr>
                <w:rFonts w:asciiTheme="majorHAnsi" w:hAnsiTheme="majorHAnsi"/>
                <w:sz w:val="24"/>
                <w:szCs w:val="24"/>
              </w:rPr>
              <w:t>Tom Kuhn</w:t>
            </w:r>
          </w:p>
        </w:tc>
      </w:tr>
      <w:tr w:rsidR="001859FD" w:rsidRPr="00F4497D" w:rsidTr="00BB250A">
        <w:trPr>
          <w:trHeight w:val="692"/>
        </w:trPr>
        <w:tc>
          <w:tcPr>
            <w:tcW w:w="2808" w:type="dxa"/>
          </w:tcPr>
          <w:p w:rsidR="001859FD" w:rsidRPr="00F4497D" w:rsidRDefault="001859FD" w:rsidP="00590DFD">
            <w:pPr>
              <w:rPr>
                <w:rFonts w:asciiTheme="majorHAnsi" w:hAnsiTheme="majorHAnsi"/>
                <w:sz w:val="24"/>
                <w:szCs w:val="24"/>
              </w:rPr>
            </w:pPr>
            <w:r>
              <w:rPr>
                <w:rFonts w:asciiTheme="majorHAnsi" w:hAnsiTheme="majorHAnsi"/>
                <w:sz w:val="24"/>
                <w:szCs w:val="24"/>
              </w:rPr>
              <w:lastRenderedPageBreak/>
              <w:t>Administration on Community Living Funding Opportunity (15 min) 2:05 – 2:20</w:t>
            </w:r>
          </w:p>
        </w:tc>
        <w:tc>
          <w:tcPr>
            <w:tcW w:w="5130" w:type="dxa"/>
          </w:tcPr>
          <w:p w:rsidR="001859FD" w:rsidRPr="00EE6DF6" w:rsidRDefault="001859FD" w:rsidP="00590DFD">
            <w:pPr>
              <w:rPr>
                <w:rFonts w:asciiTheme="majorHAnsi" w:hAnsiTheme="majorHAnsi"/>
                <w:sz w:val="24"/>
                <w:szCs w:val="24"/>
              </w:rPr>
            </w:pPr>
            <w:r w:rsidRPr="00EE6DF6">
              <w:rPr>
                <w:rFonts w:asciiTheme="majorHAnsi" w:hAnsiTheme="majorHAnsi"/>
                <w:b/>
                <w:sz w:val="24"/>
                <w:szCs w:val="24"/>
              </w:rPr>
              <w:t>Background:</w:t>
            </w:r>
            <w:r w:rsidRPr="00EE6DF6">
              <w:rPr>
                <w:rFonts w:asciiTheme="majorHAnsi" w:hAnsiTheme="majorHAnsi"/>
                <w:sz w:val="24"/>
                <w:szCs w:val="24"/>
              </w:rPr>
              <w:t xml:space="preserve">  HPCDP is coordinating Oregon’s response to the </w:t>
            </w:r>
            <w:hyperlink r:id="rId8" w:history="1">
              <w:r w:rsidRPr="00EE6DF6">
                <w:rPr>
                  <w:rStyle w:val="Hyperlink"/>
                  <w:rFonts w:asciiTheme="majorHAnsi" w:hAnsiTheme="majorHAnsi"/>
                  <w:sz w:val="24"/>
                  <w:szCs w:val="24"/>
                </w:rPr>
                <w:t>Administration for Community Living Empowering Older Adults and Adults with Disabilities through Chronic Disease Self-Management Education Programs (CDSME) grant</w:t>
              </w:r>
            </w:hyperlink>
            <w:r w:rsidRPr="00EE6DF6">
              <w:rPr>
                <w:rFonts w:asciiTheme="majorHAnsi" w:hAnsiTheme="majorHAnsi"/>
                <w:sz w:val="24"/>
                <w:szCs w:val="24"/>
              </w:rPr>
              <w:t xml:space="preserve">. Its purpose is to 1) substantially increase reach of evidence-based programs to older adults (60+) and those living with disabilities, and 2) identify innovative funding arrangements to support self-management programs. Funding is for two years, beginning this September. The Oregon Public Health Division (PHD) has submitted a letter of intent to apply in partnership with the Oregon State Unit on Aging. </w:t>
            </w:r>
          </w:p>
          <w:p w:rsidR="001859FD" w:rsidRPr="00EE6DF6" w:rsidRDefault="001859FD" w:rsidP="00590DFD">
            <w:pPr>
              <w:rPr>
                <w:rFonts w:asciiTheme="majorHAnsi" w:hAnsiTheme="majorHAnsi"/>
                <w:sz w:val="24"/>
                <w:szCs w:val="24"/>
              </w:rPr>
            </w:pPr>
            <w:r w:rsidRPr="00EE6DF6">
              <w:rPr>
                <w:rFonts w:asciiTheme="majorHAnsi" w:hAnsiTheme="majorHAnsi"/>
                <w:sz w:val="24"/>
                <w:szCs w:val="24"/>
              </w:rPr>
              <w:t xml:space="preserve">A successful proposal will enable PHD to extend and possibly expand the Sustainable Relationships for Community Health project, focusing on developing referrals and payment systems for the Stanford chronic pain self-management program and Walk With Ease. </w:t>
            </w:r>
          </w:p>
          <w:p w:rsidR="001859FD" w:rsidRPr="00EE6DF6" w:rsidRDefault="001859FD" w:rsidP="00590DFD">
            <w:pPr>
              <w:rPr>
                <w:rFonts w:asciiTheme="majorHAnsi" w:hAnsiTheme="majorHAnsi"/>
                <w:sz w:val="24"/>
                <w:szCs w:val="24"/>
              </w:rPr>
            </w:pPr>
          </w:p>
          <w:p w:rsidR="001859FD" w:rsidRPr="00EE6DF6" w:rsidRDefault="001859FD" w:rsidP="00590DFD">
            <w:pPr>
              <w:rPr>
                <w:rFonts w:asciiTheme="majorHAnsi" w:hAnsiTheme="majorHAnsi"/>
                <w:sz w:val="24"/>
                <w:szCs w:val="24"/>
              </w:rPr>
            </w:pPr>
            <w:r w:rsidRPr="00EE6DF6">
              <w:rPr>
                <w:rFonts w:asciiTheme="majorHAnsi" w:hAnsiTheme="majorHAnsi"/>
                <w:b/>
                <w:sz w:val="24"/>
                <w:szCs w:val="24"/>
              </w:rPr>
              <w:t>Objective:</w:t>
            </w:r>
            <w:r w:rsidRPr="00EE6DF6">
              <w:rPr>
                <w:rFonts w:asciiTheme="majorHAnsi" w:hAnsiTheme="majorHAnsi"/>
                <w:sz w:val="24"/>
                <w:szCs w:val="24"/>
              </w:rPr>
              <w:t xml:space="preserve"> Provide an overview of the CDSME </w:t>
            </w:r>
            <w:r w:rsidRPr="00EE6DF6">
              <w:rPr>
                <w:rFonts w:asciiTheme="majorHAnsi" w:hAnsiTheme="majorHAnsi"/>
                <w:sz w:val="24"/>
                <w:szCs w:val="24"/>
              </w:rPr>
              <w:lastRenderedPageBreak/>
              <w:t>grant opportunity and discuss next steps regarding a potential letter of support from CLHO.</w:t>
            </w:r>
          </w:p>
          <w:p w:rsidR="001859FD" w:rsidRPr="00DF75DB" w:rsidRDefault="001859FD" w:rsidP="00590DFD">
            <w:pPr>
              <w:rPr>
                <w:rFonts w:asciiTheme="majorHAnsi" w:hAnsiTheme="majorHAnsi"/>
                <w:sz w:val="24"/>
                <w:szCs w:val="24"/>
              </w:rPr>
            </w:pPr>
          </w:p>
        </w:tc>
        <w:tc>
          <w:tcPr>
            <w:tcW w:w="4590" w:type="dxa"/>
          </w:tcPr>
          <w:p w:rsidR="00F51A6D" w:rsidRDefault="00F51A6D" w:rsidP="00590DFD">
            <w:pPr>
              <w:rPr>
                <w:rFonts w:asciiTheme="majorHAnsi" w:hAnsiTheme="majorHAnsi"/>
                <w:sz w:val="24"/>
                <w:szCs w:val="24"/>
              </w:rPr>
            </w:pPr>
            <w:r>
              <w:rPr>
                <w:rFonts w:asciiTheme="majorHAnsi" w:hAnsiTheme="majorHAnsi"/>
                <w:sz w:val="24"/>
                <w:szCs w:val="24"/>
              </w:rPr>
              <w:lastRenderedPageBreak/>
              <w:t>Kirsten and Laura thanked the committee for their support and shared that CLHO Health Systems committee will move forward with a request to CLHO for a letter of support for this grant opportunity. HPCDP will inform both committees of the results when funding decisions are announced.</w:t>
            </w:r>
          </w:p>
          <w:p w:rsidR="00F51A6D" w:rsidRDefault="00F51A6D" w:rsidP="00590DFD">
            <w:pPr>
              <w:rPr>
                <w:rFonts w:asciiTheme="majorHAnsi" w:hAnsiTheme="majorHAnsi"/>
                <w:sz w:val="24"/>
                <w:szCs w:val="24"/>
              </w:rPr>
            </w:pPr>
          </w:p>
          <w:p w:rsidR="001859FD" w:rsidRDefault="001859FD" w:rsidP="00590DFD">
            <w:pPr>
              <w:rPr>
                <w:rFonts w:asciiTheme="majorHAnsi" w:hAnsiTheme="majorHAnsi"/>
                <w:sz w:val="24"/>
                <w:szCs w:val="24"/>
              </w:rPr>
            </w:pPr>
            <w:r>
              <w:rPr>
                <w:rFonts w:asciiTheme="majorHAnsi" w:hAnsiTheme="majorHAnsi"/>
                <w:sz w:val="24"/>
                <w:szCs w:val="24"/>
              </w:rPr>
              <w:t xml:space="preserve">The </w:t>
            </w:r>
            <w:r w:rsidR="00F51A6D">
              <w:rPr>
                <w:rFonts w:asciiTheme="majorHAnsi" w:hAnsiTheme="majorHAnsi"/>
                <w:sz w:val="24"/>
                <w:szCs w:val="24"/>
              </w:rPr>
              <w:t>Chronic Disease Self-Management Education (</w:t>
            </w:r>
            <w:r>
              <w:rPr>
                <w:rFonts w:asciiTheme="majorHAnsi" w:hAnsiTheme="majorHAnsi"/>
                <w:sz w:val="24"/>
                <w:szCs w:val="24"/>
              </w:rPr>
              <w:t>CDSME</w:t>
            </w:r>
            <w:r w:rsidR="00F51A6D">
              <w:rPr>
                <w:rFonts w:asciiTheme="majorHAnsi" w:hAnsiTheme="majorHAnsi"/>
                <w:sz w:val="24"/>
                <w:szCs w:val="24"/>
              </w:rPr>
              <w:t>)</w:t>
            </w:r>
            <w:r>
              <w:rPr>
                <w:rFonts w:asciiTheme="majorHAnsi" w:hAnsiTheme="majorHAnsi"/>
                <w:sz w:val="24"/>
                <w:szCs w:val="24"/>
              </w:rPr>
              <w:t xml:space="preserve"> Grant </w:t>
            </w:r>
            <w:r w:rsidR="00EE36E7">
              <w:rPr>
                <w:rFonts w:asciiTheme="majorHAnsi" w:hAnsiTheme="majorHAnsi"/>
                <w:sz w:val="24"/>
                <w:szCs w:val="24"/>
              </w:rPr>
              <w:t>must</w:t>
            </w:r>
            <w:r>
              <w:rPr>
                <w:rFonts w:asciiTheme="majorHAnsi" w:hAnsiTheme="majorHAnsi"/>
                <w:sz w:val="24"/>
                <w:szCs w:val="24"/>
              </w:rPr>
              <w:t xml:space="preserve"> include</w:t>
            </w:r>
            <w:r w:rsidR="00EE36E7">
              <w:rPr>
                <w:rFonts w:asciiTheme="majorHAnsi" w:hAnsiTheme="majorHAnsi"/>
                <w:sz w:val="24"/>
                <w:szCs w:val="24"/>
              </w:rPr>
              <w:t xml:space="preserve"> work with local non-profits. The</w:t>
            </w:r>
            <w:r w:rsidR="00457FF7">
              <w:rPr>
                <w:rFonts w:asciiTheme="majorHAnsi" w:hAnsiTheme="majorHAnsi"/>
                <w:sz w:val="24"/>
                <w:szCs w:val="24"/>
              </w:rPr>
              <w:t xml:space="preserve"> funding will be for two</w:t>
            </w:r>
            <w:r>
              <w:rPr>
                <w:rFonts w:asciiTheme="majorHAnsi" w:hAnsiTheme="majorHAnsi"/>
                <w:sz w:val="24"/>
                <w:szCs w:val="24"/>
              </w:rPr>
              <w:t xml:space="preserve"> years. This grant </w:t>
            </w:r>
            <w:r w:rsidR="00457FF7">
              <w:rPr>
                <w:rFonts w:asciiTheme="majorHAnsi" w:hAnsiTheme="majorHAnsi"/>
                <w:sz w:val="24"/>
                <w:szCs w:val="24"/>
              </w:rPr>
              <w:t>will focus</w:t>
            </w:r>
            <w:r>
              <w:rPr>
                <w:rFonts w:asciiTheme="majorHAnsi" w:hAnsiTheme="majorHAnsi"/>
                <w:sz w:val="24"/>
                <w:szCs w:val="24"/>
              </w:rPr>
              <w:t xml:space="preserve"> on </w:t>
            </w:r>
            <w:r w:rsidR="00457FF7">
              <w:rPr>
                <w:rFonts w:asciiTheme="majorHAnsi" w:hAnsiTheme="majorHAnsi"/>
                <w:sz w:val="24"/>
                <w:szCs w:val="24"/>
              </w:rPr>
              <w:t xml:space="preserve">increasing access to </w:t>
            </w:r>
            <w:r>
              <w:rPr>
                <w:rFonts w:asciiTheme="majorHAnsi" w:hAnsiTheme="majorHAnsi"/>
                <w:sz w:val="24"/>
                <w:szCs w:val="24"/>
              </w:rPr>
              <w:t>the Stanford chronic</w:t>
            </w:r>
            <w:r w:rsidR="00F51A6D">
              <w:rPr>
                <w:rFonts w:asciiTheme="majorHAnsi" w:hAnsiTheme="majorHAnsi"/>
                <w:sz w:val="24"/>
                <w:szCs w:val="24"/>
              </w:rPr>
              <w:t xml:space="preserve"> pain program, Walk with E</w:t>
            </w:r>
            <w:r w:rsidR="003C4B48">
              <w:rPr>
                <w:rFonts w:asciiTheme="majorHAnsi" w:hAnsiTheme="majorHAnsi"/>
                <w:sz w:val="24"/>
                <w:szCs w:val="24"/>
              </w:rPr>
              <w:t xml:space="preserve">ase, and other self-managed programs. </w:t>
            </w:r>
            <w:r w:rsidR="00457FF7">
              <w:rPr>
                <w:rFonts w:asciiTheme="majorHAnsi" w:hAnsiTheme="majorHAnsi"/>
                <w:sz w:val="24"/>
                <w:szCs w:val="24"/>
              </w:rPr>
              <w:t>Oregon is</w:t>
            </w:r>
            <w:r>
              <w:rPr>
                <w:rFonts w:asciiTheme="majorHAnsi" w:hAnsiTheme="majorHAnsi"/>
                <w:sz w:val="24"/>
                <w:szCs w:val="24"/>
              </w:rPr>
              <w:t xml:space="preserve"> pion</w:t>
            </w:r>
            <w:r w:rsidR="00457FF7">
              <w:rPr>
                <w:rFonts w:asciiTheme="majorHAnsi" w:hAnsiTheme="majorHAnsi"/>
                <w:sz w:val="24"/>
                <w:szCs w:val="24"/>
              </w:rPr>
              <w:t>eering</w:t>
            </w:r>
            <w:r w:rsidR="00F51A6D">
              <w:rPr>
                <w:rFonts w:asciiTheme="majorHAnsi" w:hAnsiTheme="majorHAnsi"/>
                <w:sz w:val="24"/>
                <w:szCs w:val="24"/>
              </w:rPr>
              <w:t xml:space="preserve"> what </w:t>
            </w:r>
            <w:r w:rsidR="00457FF7">
              <w:rPr>
                <w:rFonts w:asciiTheme="majorHAnsi" w:hAnsiTheme="majorHAnsi"/>
                <w:sz w:val="24"/>
                <w:szCs w:val="24"/>
              </w:rPr>
              <w:t>other programs in the country hope to achieve in making self-management programs financially sustainable: partnerships with health insurance and benefits organizations to cover the costs of the programs. Oregon continues to seek additional funding</w:t>
            </w:r>
            <w:r w:rsidR="00F51A6D">
              <w:rPr>
                <w:rFonts w:asciiTheme="majorHAnsi" w:hAnsiTheme="majorHAnsi"/>
                <w:sz w:val="24"/>
                <w:szCs w:val="24"/>
              </w:rPr>
              <w:t xml:space="preserve"> </w:t>
            </w:r>
            <w:r w:rsidR="00F51A6D">
              <w:rPr>
                <w:rFonts w:asciiTheme="majorHAnsi" w:hAnsiTheme="majorHAnsi"/>
                <w:sz w:val="24"/>
                <w:szCs w:val="24"/>
              </w:rPr>
              <w:lastRenderedPageBreak/>
              <w:t>agent</w:t>
            </w:r>
            <w:r w:rsidR="00457FF7">
              <w:rPr>
                <w:rFonts w:asciiTheme="majorHAnsi" w:hAnsiTheme="majorHAnsi"/>
                <w:sz w:val="24"/>
                <w:szCs w:val="24"/>
              </w:rPr>
              <w:t>s</w:t>
            </w:r>
            <w:r w:rsidR="00F51A6D">
              <w:rPr>
                <w:rFonts w:asciiTheme="majorHAnsi" w:hAnsiTheme="majorHAnsi"/>
                <w:sz w:val="24"/>
                <w:szCs w:val="24"/>
              </w:rPr>
              <w:t xml:space="preserve"> or a source of payment for programs</w:t>
            </w:r>
            <w:r w:rsidR="00457FF7">
              <w:rPr>
                <w:rFonts w:asciiTheme="majorHAnsi" w:hAnsiTheme="majorHAnsi"/>
                <w:sz w:val="24"/>
                <w:szCs w:val="24"/>
              </w:rPr>
              <w:t xml:space="preserve"> to keeps them</w:t>
            </w:r>
            <w:r w:rsidR="003C4B48">
              <w:rPr>
                <w:rFonts w:asciiTheme="majorHAnsi" w:hAnsiTheme="majorHAnsi"/>
                <w:sz w:val="24"/>
                <w:szCs w:val="24"/>
              </w:rPr>
              <w:t xml:space="preserve"> sustainable. </w:t>
            </w:r>
            <w:r w:rsidR="00332300">
              <w:rPr>
                <w:rFonts w:asciiTheme="majorHAnsi" w:hAnsiTheme="majorHAnsi"/>
                <w:sz w:val="24"/>
                <w:szCs w:val="24"/>
              </w:rPr>
              <w:t xml:space="preserve">Tatiana suggested we contact </w:t>
            </w:r>
            <w:r>
              <w:rPr>
                <w:rFonts w:asciiTheme="majorHAnsi" w:hAnsiTheme="majorHAnsi"/>
                <w:sz w:val="24"/>
                <w:szCs w:val="24"/>
              </w:rPr>
              <w:t>AA</w:t>
            </w:r>
            <w:r w:rsidR="003C4B48">
              <w:rPr>
                <w:rFonts w:asciiTheme="majorHAnsi" w:hAnsiTheme="majorHAnsi"/>
                <w:sz w:val="24"/>
                <w:szCs w:val="24"/>
              </w:rPr>
              <w:t>RP</w:t>
            </w:r>
            <w:r>
              <w:rPr>
                <w:rFonts w:asciiTheme="majorHAnsi" w:hAnsiTheme="majorHAnsi"/>
                <w:sz w:val="24"/>
                <w:szCs w:val="24"/>
              </w:rPr>
              <w:t xml:space="preserve"> </w:t>
            </w:r>
            <w:r w:rsidR="00332300">
              <w:rPr>
                <w:rFonts w:asciiTheme="majorHAnsi" w:hAnsiTheme="majorHAnsi"/>
                <w:sz w:val="24"/>
                <w:szCs w:val="24"/>
              </w:rPr>
              <w:t>as</w:t>
            </w:r>
            <w:r>
              <w:rPr>
                <w:rFonts w:asciiTheme="majorHAnsi" w:hAnsiTheme="majorHAnsi"/>
                <w:sz w:val="24"/>
                <w:szCs w:val="24"/>
              </w:rPr>
              <w:t xml:space="preserve"> </w:t>
            </w:r>
            <w:r w:rsidR="003C4B48">
              <w:rPr>
                <w:rFonts w:asciiTheme="majorHAnsi" w:hAnsiTheme="majorHAnsi"/>
                <w:sz w:val="24"/>
                <w:szCs w:val="24"/>
              </w:rPr>
              <w:t>a</w:t>
            </w:r>
            <w:r w:rsidR="00F51A6D">
              <w:rPr>
                <w:rFonts w:asciiTheme="majorHAnsi" w:hAnsiTheme="majorHAnsi"/>
                <w:sz w:val="24"/>
                <w:szCs w:val="24"/>
              </w:rPr>
              <w:t xml:space="preserve"> way</w:t>
            </w:r>
            <w:r w:rsidR="00332300">
              <w:rPr>
                <w:rFonts w:asciiTheme="majorHAnsi" w:hAnsiTheme="majorHAnsi"/>
                <w:sz w:val="24"/>
                <w:szCs w:val="24"/>
              </w:rPr>
              <w:t xml:space="preserve"> to</w:t>
            </w:r>
            <w:r w:rsidR="00457FF7">
              <w:rPr>
                <w:rFonts w:asciiTheme="majorHAnsi" w:hAnsiTheme="majorHAnsi"/>
                <w:sz w:val="24"/>
                <w:szCs w:val="24"/>
              </w:rPr>
              <w:t xml:space="preserve"> promote sustainability for </w:t>
            </w:r>
            <w:r w:rsidR="00332300">
              <w:rPr>
                <w:rFonts w:asciiTheme="majorHAnsi" w:hAnsiTheme="majorHAnsi"/>
                <w:sz w:val="24"/>
                <w:szCs w:val="24"/>
              </w:rPr>
              <w:t>seniors</w:t>
            </w:r>
            <w:r w:rsidR="003C4B48">
              <w:rPr>
                <w:rFonts w:asciiTheme="majorHAnsi" w:hAnsiTheme="majorHAnsi"/>
                <w:sz w:val="24"/>
                <w:szCs w:val="24"/>
              </w:rPr>
              <w:t>.</w:t>
            </w:r>
          </w:p>
          <w:p w:rsidR="001859FD" w:rsidRPr="00F4497D" w:rsidRDefault="001859FD" w:rsidP="00590DFD">
            <w:pPr>
              <w:rPr>
                <w:rFonts w:asciiTheme="majorHAnsi" w:hAnsiTheme="majorHAnsi"/>
                <w:sz w:val="24"/>
                <w:szCs w:val="24"/>
              </w:rPr>
            </w:pPr>
          </w:p>
        </w:tc>
        <w:tc>
          <w:tcPr>
            <w:tcW w:w="2088" w:type="dxa"/>
          </w:tcPr>
          <w:p w:rsidR="001859FD" w:rsidRDefault="001859FD" w:rsidP="00590DFD">
            <w:pPr>
              <w:rPr>
                <w:rFonts w:asciiTheme="majorHAnsi" w:hAnsiTheme="majorHAnsi"/>
                <w:sz w:val="24"/>
                <w:szCs w:val="24"/>
              </w:rPr>
            </w:pPr>
            <w:r>
              <w:rPr>
                <w:rFonts w:asciiTheme="majorHAnsi" w:hAnsiTheme="majorHAnsi"/>
                <w:sz w:val="24"/>
                <w:szCs w:val="24"/>
              </w:rPr>
              <w:lastRenderedPageBreak/>
              <w:t>Kirsten Aird</w:t>
            </w:r>
          </w:p>
          <w:p w:rsidR="001859FD" w:rsidRPr="00F4497D" w:rsidRDefault="001859FD" w:rsidP="00590DFD">
            <w:pPr>
              <w:rPr>
                <w:rFonts w:asciiTheme="majorHAnsi" w:hAnsiTheme="majorHAnsi"/>
                <w:sz w:val="24"/>
                <w:szCs w:val="24"/>
              </w:rPr>
            </w:pPr>
            <w:r>
              <w:rPr>
                <w:rFonts w:asciiTheme="majorHAnsi" w:hAnsiTheme="majorHAnsi"/>
                <w:sz w:val="24"/>
                <w:szCs w:val="24"/>
              </w:rPr>
              <w:t>Laura Chisholm</w:t>
            </w:r>
          </w:p>
        </w:tc>
      </w:tr>
      <w:tr w:rsidR="00332300" w:rsidRPr="00F4497D" w:rsidTr="00BB250A">
        <w:trPr>
          <w:trHeight w:val="890"/>
        </w:trPr>
        <w:tc>
          <w:tcPr>
            <w:tcW w:w="2808" w:type="dxa"/>
          </w:tcPr>
          <w:p w:rsidR="00332300" w:rsidRDefault="00332300" w:rsidP="00590DFD">
            <w:pPr>
              <w:rPr>
                <w:rFonts w:asciiTheme="majorHAnsi" w:hAnsiTheme="majorHAnsi"/>
                <w:color w:val="003300"/>
                <w:sz w:val="24"/>
                <w:szCs w:val="24"/>
              </w:rPr>
            </w:pPr>
            <w:r>
              <w:rPr>
                <w:rFonts w:asciiTheme="majorHAnsi" w:hAnsiTheme="majorHAnsi"/>
                <w:color w:val="003300"/>
                <w:sz w:val="24"/>
                <w:szCs w:val="24"/>
              </w:rPr>
              <w:lastRenderedPageBreak/>
              <w:t>Legislative update (10</w:t>
            </w:r>
            <w:r w:rsidRPr="00972F8A">
              <w:rPr>
                <w:rFonts w:asciiTheme="majorHAnsi" w:hAnsiTheme="majorHAnsi"/>
                <w:color w:val="003300"/>
                <w:sz w:val="24"/>
                <w:szCs w:val="24"/>
              </w:rPr>
              <w:t xml:space="preserve"> min)</w:t>
            </w:r>
          </w:p>
          <w:p w:rsidR="00332300" w:rsidRPr="00972F8A" w:rsidRDefault="00332300" w:rsidP="00590DFD">
            <w:pPr>
              <w:rPr>
                <w:rFonts w:asciiTheme="majorHAnsi" w:hAnsiTheme="majorHAnsi"/>
                <w:color w:val="003300"/>
                <w:sz w:val="24"/>
                <w:szCs w:val="24"/>
              </w:rPr>
            </w:pPr>
            <w:r>
              <w:rPr>
                <w:rFonts w:asciiTheme="majorHAnsi" w:hAnsiTheme="majorHAnsi"/>
                <w:color w:val="003300"/>
                <w:sz w:val="24"/>
                <w:szCs w:val="24"/>
              </w:rPr>
              <w:t>1:25-1:35</w:t>
            </w:r>
          </w:p>
          <w:p w:rsidR="00332300" w:rsidRPr="00972F8A" w:rsidRDefault="00332300" w:rsidP="00590DFD">
            <w:pPr>
              <w:rPr>
                <w:rFonts w:asciiTheme="majorHAnsi" w:hAnsiTheme="majorHAnsi"/>
                <w:color w:val="003300"/>
                <w:sz w:val="24"/>
                <w:szCs w:val="24"/>
              </w:rPr>
            </w:pPr>
          </w:p>
        </w:tc>
        <w:tc>
          <w:tcPr>
            <w:tcW w:w="5130" w:type="dxa"/>
          </w:tcPr>
          <w:p w:rsidR="00332300" w:rsidRDefault="00332300" w:rsidP="00590DFD">
            <w:pPr>
              <w:rPr>
                <w:rFonts w:asciiTheme="majorHAnsi" w:hAnsiTheme="majorHAnsi"/>
                <w:sz w:val="24"/>
                <w:szCs w:val="24"/>
              </w:rPr>
            </w:pPr>
            <w:r>
              <w:rPr>
                <w:rFonts w:asciiTheme="majorHAnsi" w:hAnsiTheme="majorHAnsi"/>
                <w:b/>
                <w:sz w:val="24"/>
                <w:szCs w:val="24"/>
              </w:rPr>
              <w:t xml:space="preserve">Background: </w:t>
            </w:r>
            <w:r>
              <w:rPr>
                <w:rFonts w:asciiTheme="majorHAnsi" w:hAnsiTheme="majorHAnsi"/>
                <w:sz w:val="24"/>
                <w:szCs w:val="24"/>
              </w:rPr>
              <w:t xml:space="preserve">The 2015 legislative session continues. There are a number of bills actively advancing that address issues of importance to tobacco prevention and other chronic disease issues as well as Public Health Modernization. </w:t>
            </w:r>
          </w:p>
          <w:p w:rsidR="00332300" w:rsidRDefault="00332300" w:rsidP="00590DFD">
            <w:pPr>
              <w:rPr>
                <w:rFonts w:asciiTheme="majorHAnsi" w:hAnsiTheme="majorHAnsi"/>
                <w:sz w:val="24"/>
                <w:szCs w:val="24"/>
              </w:rPr>
            </w:pPr>
          </w:p>
          <w:p w:rsidR="00332300" w:rsidRPr="005E3B07" w:rsidRDefault="00332300" w:rsidP="00590DFD">
            <w:pPr>
              <w:rPr>
                <w:rFonts w:asciiTheme="majorHAnsi" w:hAnsiTheme="majorHAnsi"/>
                <w:sz w:val="24"/>
                <w:szCs w:val="24"/>
              </w:rPr>
            </w:pPr>
            <w:r>
              <w:rPr>
                <w:rFonts w:asciiTheme="majorHAnsi" w:hAnsiTheme="majorHAnsi"/>
                <w:b/>
                <w:sz w:val="24"/>
                <w:szCs w:val="24"/>
              </w:rPr>
              <w:t xml:space="preserve">Objective: </w:t>
            </w:r>
            <w:r>
              <w:rPr>
                <w:rFonts w:asciiTheme="majorHAnsi" w:hAnsiTheme="majorHAnsi"/>
                <w:sz w:val="24"/>
                <w:szCs w:val="24"/>
              </w:rPr>
              <w:t xml:space="preserve">Provide information about the bills HPCDP is tracking. Provide an opportunity for committee members to share bills or topics they are tracking. </w:t>
            </w:r>
          </w:p>
        </w:tc>
        <w:tc>
          <w:tcPr>
            <w:tcW w:w="4590" w:type="dxa"/>
          </w:tcPr>
          <w:p w:rsidR="00332300" w:rsidRDefault="00991DAC" w:rsidP="00590DFD">
            <w:pPr>
              <w:rPr>
                <w:rFonts w:asciiTheme="majorHAnsi" w:hAnsiTheme="majorHAnsi"/>
                <w:sz w:val="24"/>
                <w:szCs w:val="24"/>
              </w:rPr>
            </w:pPr>
            <w:r>
              <w:rPr>
                <w:rFonts w:asciiTheme="majorHAnsi" w:hAnsiTheme="majorHAnsi"/>
                <w:sz w:val="24"/>
                <w:szCs w:val="24"/>
              </w:rPr>
              <w:t>O</w:t>
            </w:r>
            <w:r w:rsidR="00E91F21">
              <w:rPr>
                <w:rFonts w:asciiTheme="majorHAnsi" w:hAnsiTheme="majorHAnsi"/>
                <w:sz w:val="24"/>
                <w:szCs w:val="24"/>
              </w:rPr>
              <w:t>n Monday</w:t>
            </w:r>
            <w:r>
              <w:rPr>
                <w:rFonts w:asciiTheme="majorHAnsi" w:hAnsiTheme="majorHAnsi"/>
                <w:sz w:val="24"/>
                <w:szCs w:val="24"/>
              </w:rPr>
              <w:t>, May 4, HB 2546A, the e-cigarette bill, passed out of the S</w:t>
            </w:r>
            <w:r w:rsidR="00E91F21">
              <w:rPr>
                <w:rFonts w:asciiTheme="majorHAnsi" w:hAnsiTheme="majorHAnsi"/>
                <w:sz w:val="24"/>
                <w:szCs w:val="24"/>
              </w:rPr>
              <w:t>enate</w:t>
            </w:r>
            <w:r>
              <w:rPr>
                <w:rFonts w:asciiTheme="majorHAnsi" w:hAnsiTheme="majorHAnsi"/>
                <w:sz w:val="24"/>
                <w:szCs w:val="24"/>
              </w:rPr>
              <w:t xml:space="preserve"> Health Care Committee</w:t>
            </w:r>
            <w:r w:rsidR="00457FF7">
              <w:rPr>
                <w:rFonts w:asciiTheme="majorHAnsi" w:hAnsiTheme="majorHAnsi"/>
                <w:sz w:val="24"/>
                <w:szCs w:val="24"/>
              </w:rPr>
              <w:t xml:space="preserve"> and</w:t>
            </w:r>
            <w:r w:rsidR="00E91F21">
              <w:rPr>
                <w:rFonts w:asciiTheme="majorHAnsi" w:hAnsiTheme="majorHAnsi"/>
                <w:sz w:val="24"/>
                <w:szCs w:val="24"/>
              </w:rPr>
              <w:t xml:space="preserve"> </w:t>
            </w:r>
            <w:r>
              <w:rPr>
                <w:rFonts w:asciiTheme="majorHAnsi" w:hAnsiTheme="majorHAnsi"/>
                <w:sz w:val="24"/>
                <w:szCs w:val="24"/>
              </w:rPr>
              <w:t>advanced</w:t>
            </w:r>
            <w:r w:rsidR="00457FF7">
              <w:rPr>
                <w:rFonts w:asciiTheme="majorHAnsi" w:hAnsiTheme="majorHAnsi"/>
                <w:sz w:val="24"/>
                <w:szCs w:val="24"/>
              </w:rPr>
              <w:t xml:space="preserve"> to the S</w:t>
            </w:r>
            <w:r w:rsidR="00E91F21">
              <w:rPr>
                <w:rFonts w:asciiTheme="majorHAnsi" w:hAnsiTheme="majorHAnsi"/>
                <w:sz w:val="24"/>
                <w:szCs w:val="24"/>
              </w:rPr>
              <w:t>enate floor</w:t>
            </w:r>
            <w:r>
              <w:rPr>
                <w:rFonts w:asciiTheme="majorHAnsi" w:hAnsiTheme="majorHAnsi"/>
                <w:sz w:val="24"/>
                <w:szCs w:val="24"/>
              </w:rPr>
              <w:t>. If passed there, it will go to the H</w:t>
            </w:r>
            <w:r w:rsidR="00E91F21">
              <w:rPr>
                <w:rFonts w:asciiTheme="majorHAnsi" w:hAnsiTheme="majorHAnsi"/>
                <w:sz w:val="24"/>
                <w:szCs w:val="24"/>
              </w:rPr>
              <w:t xml:space="preserve">ouse for </w:t>
            </w:r>
            <w:r>
              <w:rPr>
                <w:rFonts w:asciiTheme="majorHAnsi" w:hAnsiTheme="majorHAnsi"/>
                <w:sz w:val="24"/>
                <w:szCs w:val="24"/>
              </w:rPr>
              <w:t xml:space="preserve">a vote of </w:t>
            </w:r>
            <w:r w:rsidR="00E91F21">
              <w:rPr>
                <w:rFonts w:asciiTheme="majorHAnsi" w:hAnsiTheme="majorHAnsi"/>
                <w:sz w:val="24"/>
                <w:szCs w:val="24"/>
              </w:rPr>
              <w:t xml:space="preserve">concurrence. Then it </w:t>
            </w:r>
            <w:r w:rsidR="008947DC">
              <w:rPr>
                <w:rFonts w:asciiTheme="majorHAnsi" w:hAnsiTheme="majorHAnsi"/>
                <w:sz w:val="24"/>
                <w:szCs w:val="24"/>
              </w:rPr>
              <w:t>will go</w:t>
            </w:r>
            <w:r w:rsidR="00E91F21">
              <w:rPr>
                <w:rFonts w:asciiTheme="majorHAnsi" w:hAnsiTheme="majorHAnsi"/>
                <w:sz w:val="24"/>
                <w:szCs w:val="24"/>
              </w:rPr>
              <w:t xml:space="preserve"> to the governor to sign. </w:t>
            </w:r>
          </w:p>
          <w:p w:rsidR="00332300" w:rsidRPr="00414115" w:rsidRDefault="00332300" w:rsidP="00590DFD">
            <w:pPr>
              <w:rPr>
                <w:rFonts w:asciiTheme="majorHAnsi" w:hAnsiTheme="majorHAnsi"/>
                <w:sz w:val="24"/>
                <w:szCs w:val="24"/>
              </w:rPr>
            </w:pPr>
          </w:p>
        </w:tc>
        <w:tc>
          <w:tcPr>
            <w:tcW w:w="2088" w:type="dxa"/>
          </w:tcPr>
          <w:p w:rsidR="00332300" w:rsidRPr="00972F8A" w:rsidRDefault="008947DC" w:rsidP="00590DFD">
            <w:pPr>
              <w:rPr>
                <w:rFonts w:asciiTheme="majorHAnsi" w:hAnsiTheme="majorHAnsi"/>
                <w:sz w:val="24"/>
                <w:szCs w:val="24"/>
              </w:rPr>
            </w:pPr>
            <w:r>
              <w:rPr>
                <w:rFonts w:asciiTheme="majorHAnsi" w:hAnsiTheme="majorHAnsi"/>
                <w:sz w:val="24"/>
                <w:szCs w:val="24"/>
              </w:rPr>
              <w:t xml:space="preserve">Kirsten Aird gave the report in </w:t>
            </w:r>
            <w:r w:rsidR="00332300">
              <w:rPr>
                <w:rFonts w:asciiTheme="majorHAnsi" w:hAnsiTheme="majorHAnsi"/>
                <w:sz w:val="24"/>
                <w:szCs w:val="24"/>
              </w:rPr>
              <w:t>Luci Longoria</w:t>
            </w:r>
            <w:r>
              <w:rPr>
                <w:rFonts w:asciiTheme="majorHAnsi" w:hAnsiTheme="majorHAnsi"/>
                <w:sz w:val="24"/>
                <w:szCs w:val="24"/>
              </w:rPr>
              <w:t>’s absence.</w:t>
            </w:r>
          </w:p>
        </w:tc>
      </w:tr>
      <w:tr w:rsidR="0025612A" w:rsidRPr="00F4497D" w:rsidTr="00BB250A">
        <w:trPr>
          <w:trHeight w:val="890"/>
        </w:trPr>
        <w:tc>
          <w:tcPr>
            <w:tcW w:w="2808" w:type="dxa"/>
          </w:tcPr>
          <w:p w:rsidR="0025612A" w:rsidRDefault="0025612A" w:rsidP="00590DFD">
            <w:pPr>
              <w:rPr>
                <w:rFonts w:asciiTheme="majorHAnsi" w:hAnsiTheme="majorHAnsi"/>
                <w:sz w:val="24"/>
                <w:szCs w:val="24"/>
              </w:rPr>
            </w:pPr>
            <w:r>
              <w:rPr>
                <w:rFonts w:asciiTheme="majorHAnsi" w:hAnsiTheme="majorHAnsi"/>
                <w:sz w:val="24"/>
                <w:szCs w:val="24"/>
              </w:rPr>
              <w:t xml:space="preserve">Grant Updates </w:t>
            </w:r>
          </w:p>
          <w:p w:rsidR="0025612A" w:rsidRDefault="0025612A" w:rsidP="00590DFD">
            <w:pPr>
              <w:rPr>
                <w:rFonts w:asciiTheme="majorHAnsi" w:hAnsiTheme="majorHAnsi"/>
                <w:sz w:val="24"/>
                <w:szCs w:val="24"/>
              </w:rPr>
            </w:pPr>
            <w:r>
              <w:rPr>
                <w:rFonts w:asciiTheme="majorHAnsi" w:hAnsiTheme="majorHAnsi"/>
                <w:sz w:val="24"/>
                <w:szCs w:val="24"/>
              </w:rPr>
              <w:t>Brownfields Letter of Support (5 min)</w:t>
            </w:r>
          </w:p>
          <w:p w:rsidR="0025612A" w:rsidRPr="00F4497D" w:rsidRDefault="0025612A" w:rsidP="00590DFD">
            <w:pPr>
              <w:rPr>
                <w:rFonts w:asciiTheme="majorHAnsi" w:hAnsiTheme="majorHAnsi"/>
                <w:sz w:val="24"/>
                <w:szCs w:val="24"/>
              </w:rPr>
            </w:pPr>
            <w:r>
              <w:rPr>
                <w:rFonts w:asciiTheme="majorHAnsi" w:hAnsiTheme="majorHAnsi"/>
                <w:sz w:val="24"/>
                <w:szCs w:val="24"/>
              </w:rPr>
              <w:t>2:00 – 2:05</w:t>
            </w:r>
          </w:p>
        </w:tc>
        <w:tc>
          <w:tcPr>
            <w:tcW w:w="5130" w:type="dxa"/>
          </w:tcPr>
          <w:p w:rsidR="0025612A" w:rsidRPr="00527636" w:rsidRDefault="0025612A" w:rsidP="00590DFD">
            <w:pPr>
              <w:rPr>
                <w:rFonts w:asciiTheme="majorHAnsi" w:hAnsiTheme="majorHAnsi"/>
                <w:sz w:val="24"/>
                <w:szCs w:val="24"/>
              </w:rPr>
            </w:pPr>
            <w:r w:rsidRPr="00527636">
              <w:rPr>
                <w:rFonts w:asciiTheme="majorHAnsi" w:hAnsiTheme="majorHAnsi"/>
                <w:b/>
                <w:bCs/>
                <w:sz w:val="24"/>
                <w:szCs w:val="24"/>
              </w:rPr>
              <w:t>Background:</w:t>
            </w:r>
            <w:r w:rsidRPr="00527636">
              <w:rPr>
                <w:rFonts w:asciiTheme="majorHAnsi" w:hAnsiTheme="majorHAnsi"/>
                <w:sz w:val="24"/>
                <w:szCs w:val="24"/>
              </w:rPr>
              <w:t xml:space="preserve"> The OHA-Public Health Division Brownfield Initiative is preparing to apply again for funding through the Agency for Toxic Substances and Disease Registry (ATSDR). The funding opportunity announcement (FOA) was released by ATSDR Tuesday April, 21</w:t>
            </w:r>
            <w:r w:rsidRPr="00527636">
              <w:rPr>
                <w:rFonts w:asciiTheme="majorHAnsi" w:hAnsiTheme="majorHAnsi"/>
                <w:sz w:val="24"/>
                <w:szCs w:val="24"/>
                <w:vertAlign w:val="superscript"/>
              </w:rPr>
              <w:t>st</w:t>
            </w:r>
            <w:r w:rsidRPr="00527636">
              <w:rPr>
                <w:rFonts w:asciiTheme="majorHAnsi" w:hAnsiTheme="majorHAnsi"/>
                <w:sz w:val="24"/>
                <w:szCs w:val="24"/>
              </w:rPr>
              <w:t>. This is a nationally competitive cooperative agreement grant, $150,000, 12 month funding period. This funding is the mechanism that OHA uses for awarding mini-grants to local health departments and tribal public health authorities to engage in brownfield efforts.</w:t>
            </w:r>
          </w:p>
          <w:p w:rsidR="0025612A" w:rsidRPr="00527636" w:rsidRDefault="0025612A" w:rsidP="00590DFD">
            <w:pPr>
              <w:rPr>
                <w:rFonts w:asciiTheme="majorHAnsi" w:hAnsiTheme="majorHAnsi"/>
                <w:sz w:val="24"/>
                <w:szCs w:val="24"/>
              </w:rPr>
            </w:pPr>
          </w:p>
          <w:p w:rsidR="0025612A" w:rsidRPr="00527636" w:rsidRDefault="0025612A" w:rsidP="00590DFD">
            <w:pPr>
              <w:rPr>
                <w:rFonts w:asciiTheme="majorHAnsi" w:hAnsiTheme="majorHAnsi"/>
                <w:sz w:val="24"/>
                <w:szCs w:val="24"/>
              </w:rPr>
            </w:pPr>
            <w:r w:rsidRPr="00527636">
              <w:rPr>
                <w:rFonts w:asciiTheme="majorHAnsi" w:hAnsiTheme="majorHAnsi"/>
                <w:b/>
                <w:bCs/>
                <w:sz w:val="24"/>
                <w:szCs w:val="24"/>
              </w:rPr>
              <w:t>Objective:</w:t>
            </w:r>
            <w:r w:rsidRPr="00527636">
              <w:rPr>
                <w:rFonts w:asciiTheme="majorHAnsi" w:hAnsiTheme="majorHAnsi"/>
                <w:sz w:val="24"/>
                <w:szCs w:val="24"/>
              </w:rPr>
              <w:t xml:space="preserve"> The OHA Brownfield Initiative is seeking to request a letter of support from CHLO.</w:t>
            </w:r>
          </w:p>
          <w:p w:rsidR="0025612A" w:rsidRPr="00F4497D" w:rsidRDefault="0025612A" w:rsidP="00590DFD">
            <w:pPr>
              <w:rPr>
                <w:rFonts w:asciiTheme="majorHAnsi" w:hAnsiTheme="majorHAnsi"/>
                <w:sz w:val="24"/>
                <w:szCs w:val="24"/>
              </w:rPr>
            </w:pPr>
          </w:p>
        </w:tc>
        <w:tc>
          <w:tcPr>
            <w:tcW w:w="4590" w:type="dxa"/>
          </w:tcPr>
          <w:p w:rsidR="009D465D" w:rsidRDefault="009D465D" w:rsidP="00590DFD">
            <w:pPr>
              <w:rPr>
                <w:rFonts w:asciiTheme="majorHAnsi" w:hAnsiTheme="majorHAnsi"/>
                <w:sz w:val="24"/>
                <w:szCs w:val="24"/>
              </w:rPr>
            </w:pPr>
            <w:r>
              <w:rPr>
                <w:rFonts w:asciiTheme="majorHAnsi" w:hAnsiTheme="majorHAnsi"/>
                <w:sz w:val="24"/>
                <w:szCs w:val="24"/>
              </w:rPr>
              <w:t>This funding opportunity will allow Oregon to provide small grants for local health departments to address brownfields in their communities and re-develop them in line with local need</w:t>
            </w:r>
            <w:r w:rsidR="00457FF7">
              <w:rPr>
                <w:rFonts w:asciiTheme="majorHAnsi" w:hAnsiTheme="majorHAnsi"/>
                <w:sz w:val="24"/>
                <w:szCs w:val="24"/>
              </w:rPr>
              <w:t>s</w:t>
            </w:r>
            <w:r>
              <w:rPr>
                <w:rFonts w:asciiTheme="majorHAnsi" w:hAnsiTheme="majorHAnsi"/>
                <w:sz w:val="24"/>
                <w:szCs w:val="24"/>
              </w:rPr>
              <w:t>. To date</w:t>
            </w:r>
            <w:r w:rsidR="00457FF7">
              <w:rPr>
                <w:rFonts w:asciiTheme="majorHAnsi" w:hAnsiTheme="majorHAnsi"/>
                <w:sz w:val="24"/>
                <w:szCs w:val="24"/>
              </w:rPr>
              <w:t>,</w:t>
            </w:r>
            <w:r>
              <w:rPr>
                <w:rFonts w:asciiTheme="majorHAnsi" w:hAnsiTheme="majorHAnsi"/>
                <w:sz w:val="24"/>
                <w:szCs w:val="24"/>
              </w:rPr>
              <w:t xml:space="preserve"> the Oregon Brownfield Initiative has received four letters of interest from local health departments. </w:t>
            </w:r>
          </w:p>
          <w:p w:rsidR="009D465D" w:rsidRDefault="009D465D" w:rsidP="00590DFD">
            <w:pPr>
              <w:rPr>
                <w:rFonts w:asciiTheme="majorHAnsi" w:hAnsiTheme="majorHAnsi"/>
                <w:sz w:val="24"/>
                <w:szCs w:val="24"/>
              </w:rPr>
            </w:pPr>
          </w:p>
          <w:p w:rsidR="009D465D" w:rsidRDefault="009D465D" w:rsidP="00590DFD">
            <w:pPr>
              <w:rPr>
                <w:rFonts w:asciiTheme="majorHAnsi" w:hAnsiTheme="majorHAnsi"/>
                <w:sz w:val="24"/>
                <w:szCs w:val="24"/>
              </w:rPr>
            </w:pPr>
            <w:r>
              <w:rPr>
                <w:rFonts w:asciiTheme="majorHAnsi" w:hAnsiTheme="majorHAnsi"/>
                <w:sz w:val="24"/>
                <w:szCs w:val="24"/>
              </w:rPr>
              <w:t>The Oregon Brownfields Initiative is requesting the CLHO Healthy Communities committee forward a request for a letter of support to CLHO. Julie has spoken with Charlie and Tanya about this opportunity.</w:t>
            </w:r>
          </w:p>
          <w:p w:rsidR="009D465D" w:rsidRDefault="009D465D" w:rsidP="00590DFD">
            <w:pPr>
              <w:rPr>
                <w:rFonts w:asciiTheme="majorHAnsi" w:hAnsiTheme="majorHAnsi"/>
                <w:sz w:val="24"/>
                <w:szCs w:val="24"/>
              </w:rPr>
            </w:pPr>
          </w:p>
          <w:p w:rsidR="0025612A" w:rsidRPr="00F4497D" w:rsidRDefault="007A4A19" w:rsidP="007A4A19">
            <w:pPr>
              <w:rPr>
                <w:rFonts w:asciiTheme="majorHAnsi" w:hAnsiTheme="majorHAnsi"/>
                <w:sz w:val="24"/>
                <w:szCs w:val="24"/>
              </w:rPr>
            </w:pPr>
            <w:r>
              <w:rPr>
                <w:rFonts w:asciiTheme="majorHAnsi" w:hAnsiTheme="majorHAnsi"/>
                <w:sz w:val="24"/>
                <w:szCs w:val="24"/>
              </w:rPr>
              <w:t>Marilynn Sutherland/</w:t>
            </w:r>
            <w:r w:rsidR="009E284A">
              <w:rPr>
                <w:rFonts w:asciiTheme="majorHAnsi" w:hAnsiTheme="majorHAnsi"/>
                <w:sz w:val="24"/>
                <w:szCs w:val="24"/>
              </w:rPr>
              <w:t>Klamath</w:t>
            </w:r>
            <w:r>
              <w:rPr>
                <w:rFonts w:asciiTheme="majorHAnsi" w:hAnsiTheme="majorHAnsi"/>
                <w:sz w:val="24"/>
                <w:szCs w:val="24"/>
              </w:rPr>
              <w:t xml:space="preserve"> made a motion for a letter of support and Kris Williams/Crook seconded it. Letter is coming from full CLHO.</w:t>
            </w:r>
            <w:r w:rsidR="0025612A">
              <w:rPr>
                <w:rFonts w:asciiTheme="majorHAnsi" w:hAnsiTheme="majorHAnsi"/>
                <w:sz w:val="24"/>
                <w:szCs w:val="24"/>
              </w:rPr>
              <w:t xml:space="preserve"> </w:t>
            </w:r>
            <w:r>
              <w:rPr>
                <w:rFonts w:asciiTheme="majorHAnsi" w:hAnsiTheme="majorHAnsi"/>
                <w:sz w:val="24"/>
                <w:szCs w:val="24"/>
              </w:rPr>
              <w:t>Motion Passed.</w:t>
            </w:r>
          </w:p>
        </w:tc>
        <w:tc>
          <w:tcPr>
            <w:tcW w:w="2088" w:type="dxa"/>
          </w:tcPr>
          <w:p w:rsidR="0025612A" w:rsidRDefault="0025612A" w:rsidP="00590DFD">
            <w:pPr>
              <w:rPr>
                <w:rFonts w:asciiTheme="majorHAnsi" w:hAnsiTheme="majorHAnsi"/>
                <w:sz w:val="24"/>
                <w:szCs w:val="24"/>
              </w:rPr>
            </w:pPr>
            <w:r>
              <w:rPr>
                <w:rFonts w:asciiTheme="majorHAnsi" w:hAnsiTheme="majorHAnsi"/>
                <w:sz w:val="24"/>
                <w:szCs w:val="24"/>
              </w:rPr>
              <w:t>Kari Christensen</w:t>
            </w:r>
          </w:p>
          <w:p w:rsidR="0025612A" w:rsidRPr="00F4497D" w:rsidRDefault="0025612A" w:rsidP="00590DFD">
            <w:pPr>
              <w:rPr>
                <w:rFonts w:asciiTheme="majorHAnsi" w:hAnsiTheme="majorHAnsi"/>
                <w:sz w:val="24"/>
                <w:szCs w:val="24"/>
              </w:rPr>
            </w:pPr>
            <w:r>
              <w:rPr>
                <w:rFonts w:asciiTheme="majorHAnsi" w:hAnsiTheme="majorHAnsi"/>
                <w:sz w:val="24"/>
                <w:szCs w:val="24"/>
              </w:rPr>
              <w:t>Julie Early-Alberts</w:t>
            </w:r>
          </w:p>
        </w:tc>
      </w:tr>
      <w:tr w:rsidR="007A4A19" w:rsidRPr="00F4497D" w:rsidTr="00BB250A">
        <w:trPr>
          <w:trHeight w:val="890"/>
        </w:trPr>
        <w:tc>
          <w:tcPr>
            <w:tcW w:w="2808" w:type="dxa"/>
          </w:tcPr>
          <w:p w:rsidR="007A4A19" w:rsidRDefault="007A4A19" w:rsidP="00590DFD">
            <w:pPr>
              <w:rPr>
                <w:rFonts w:asciiTheme="majorHAnsi" w:hAnsiTheme="majorHAnsi"/>
                <w:sz w:val="24"/>
                <w:szCs w:val="24"/>
              </w:rPr>
            </w:pPr>
            <w:r>
              <w:rPr>
                <w:rFonts w:asciiTheme="majorHAnsi" w:hAnsiTheme="majorHAnsi"/>
                <w:sz w:val="24"/>
                <w:szCs w:val="24"/>
              </w:rPr>
              <w:t>CLHO HC retreat topic priorities (20 min)</w:t>
            </w:r>
          </w:p>
          <w:p w:rsidR="007A4A19" w:rsidRDefault="007A4A19" w:rsidP="00590DFD">
            <w:pPr>
              <w:rPr>
                <w:rFonts w:asciiTheme="majorHAnsi" w:hAnsiTheme="majorHAnsi"/>
                <w:sz w:val="24"/>
                <w:szCs w:val="24"/>
              </w:rPr>
            </w:pPr>
            <w:r>
              <w:rPr>
                <w:rFonts w:asciiTheme="majorHAnsi" w:hAnsiTheme="majorHAnsi"/>
                <w:sz w:val="24"/>
                <w:szCs w:val="24"/>
              </w:rPr>
              <w:t>1:35 – 1:55</w:t>
            </w:r>
          </w:p>
          <w:p w:rsidR="007A4A19" w:rsidRPr="00F4497D" w:rsidRDefault="007A4A19" w:rsidP="00590DFD">
            <w:pPr>
              <w:rPr>
                <w:rFonts w:asciiTheme="majorHAnsi" w:hAnsiTheme="majorHAnsi"/>
                <w:sz w:val="24"/>
                <w:szCs w:val="24"/>
              </w:rPr>
            </w:pPr>
          </w:p>
        </w:tc>
        <w:tc>
          <w:tcPr>
            <w:tcW w:w="5130" w:type="dxa"/>
          </w:tcPr>
          <w:p w:rsidR="007A4A19" w:rsidRDefault="007A4A19" w:rsidP="00590DFD">
            <w:pPr>
              <w:rPr>
                <w:rFonts w:asciiTheme="majorHAnsi" w:hAnsiTheme="majorHAnsi"/>
                <w:b/>
                <w:sz w:val="24"/>
                <w:szCs w:val="24"/>
              </w:rPr>
            </w:pPr>
            <w:r>
              <w:rPr>
                <w:rFonts w:asciiTheme="majorHAnsi" w:hAnsiTheme="majorHAnsi"/>
                <w:b/>
                <w:sz w:val="24"/>
                <w:szCs w:val="24"/>
              </w:rPr>
              <w:lastRenderedPageBreak/>
              <w:t xml:space="preserve">Background: </w:t>
            </w:r>
            <w:r w:rsidRPr="00F825B2">
              <w:rPr>
                <w:rFonts w:asciiTheme="majorHAnsi" w:hAnsiTheme="majorHAnsi"/>
                <w:sz w:val="24"/>
                <w:szCs w:val="24"/>
              </w:rPr>
              <w:t>The CLHO H</w:t>
            </w:r>
            <w:r>
              <w:rPr>
                <w:rFonts w:asciiTheme="majorHAnsi" w:hAnsiTheme="majorHAnsi"/>
                <w:sz w:val="24"/>
                <w:szCs w:val="24"/>
              </w:rPr>
              <w:t xml:space="preserve">ealthy </w:t>
            </w:r>
            <w:r w:rsidRPr="00F825B2">
              <w:rPr>
                <w:rFonts w:asciiTheme="majorHAnsi" w:hAnsiTheme="majorHAnsi"/>
                <w:sz w:val="24"/>
                <w:szCs w:val="24"/>
              </w:rPr>
              <w:t>C</w:t>
            </w:r>
            <w:r>
              <w:rPr>
                <w:rFonts w:asciiTheme="majorHAnsi" w:hAnsiTheme="majorHAnsi"/>
                <w:sz w:val="24"/>
                <w:szCs w:val="24"/>
              </w:rPr>
              <w:t>ommunities</w:t>
            </w:r>
            <w:r w:rsidRPr="00F825B2">
              <w:rPr>
                <w:rFonts w:asciiTheme="majorHAnsi" w:hAnsiTheme="majorHAnsi"/>
                <w:sz w:val="24"/>
                <w:szCs w:val="24"/>
              </w:rPr>
              <w:t xml:space="preserve"> committee traditionally meets in person once a year for a full day gathering. We use this </w:t>
            </w:r>
            <w:r w:rsidRPr="00F825B2">
              <w:rPr>
                <w:rFonts w:asciiTheme="majorHAnsi" w:hAnsiTheme="majorHAnsi"/>
                <w:sz w:val="24"/>
                <w:szCs w:val="24"/>
              </w:rPr>
              <w:lastRenderedPageBreak/>
              <w:t xml:space="preserve">opportunity to learn together and address future planning. </w:t>
            </w:r>
            <w:r>
              <w:rPr>
                <w:rFonts w:asciiTheme="majorHAnsi" w:hAnsiTheme="majorHAnsi"/>
                <w:sz w:val="24"/>
                <w:szCs w:val="24"/>
              </w:rPr>
              <w:t xml:space="preserve">Date and location are being determined. </w:t>
            </w:r>
          </w:p>
          <w:p w:rsidR="007A4A19" w:rsidRDefault="007A4A19" w:rsidP="00590DFD">
            <w:pPr>
              <w:rPr>
                <w:rFonts w:asciiTheme="majorHAnsi" w:hAnsiTheme="majorHAnsi"/>
                <w:b/>
                <w:sz w:val="24"/>
                <w:szCs w:val="24"/>
              </w:rPr>
            </w:pPr>
          </w:p>
          <w:p w:rsidR="007A4A19" w:rsidRPr="00F825B2" w:rsidRDefault="007A4A19" w:rsidP="00590DFD">
            <w:pPr>
              <w:rPr>
                <w:rFonts w:asciiTheme="majorHAnsi" w:hAnsiTheme="majorHAnsi"/>
                <w:sz w:val="24"/>
                <w:szCs w:val="24"/>
              </w:rPr>
            </w:pPr>
            <w:r>
              <w:rPr>
                <w:rFonts w:asciiTheme="majorHAnsi" w:hAnsiTheme="majorHAnsi"/>
                <w:b/>
                <w:sz w:val="24"/>
                <w:szCs w:val="24"/>
              </w:rPr>
              <w:t xml:space="preserve">Objective: </w:t>
            </w:r>
            <w:r>
              <w:rPr>
                <w:rFonts w:asciiTheme="majorHAnsi" w:hAnsiTheme="majorHAnsi"/>
                <w:sz w:val="24"/>
                <w:szCs w:val="24"/>
              </w:rPr>
              <w:t xml:space="preserve">Prioritize retreat topics for a July in-person gathering of the CLHO HC committee. </w:t>
            </w:r>
          </w:p>
        </w:tc>
        <w:tc>
          <w:tcPr>
            <w:tcW w:w="4590" w:type="dxa"/>
          </w:tcPr>
          <w:p w:rsidR="00590DFD" w:rsidRDefault="00590DFD" w:rsidP="00BB54EE">
            <w:pPr>
              <w:rPr>
                <w:rFonts w:asciiTheme="majorHAnsi" w:hAnsiTheme="majorHAnsi"/>
                <w:sz w:val="24"/>
                <w:szCs w:val="24"/>
              </w:rPr>
            </w:pPr>
            <w:r>
              <w:rPr>
                <w:rFonts w:asciiTheme="majorHAnsi" w:hAnsiTheme="majorHAnsi"/>
                <w:sz w:val="24"/>
                <w:szCs w:val="24"/>
              </w:rPr>
              <w:lastRenderedPageBreak/>
              <w:t xml:space="preserve">At the previous meeting members of this committee generated a list of potential topics for the CLHO HC retreat. That list is </w:t>
            </w:r>
            <w:r>
              <w:rPr>
                <w:rFonts w:asciiTheme="majorHAnsi" w:hAnsiTheme="majorHAnsi"/>
                <w:sz w:val="24"/>
                <w:szCs w:val="24"/>
              </w:rPr>
              <w:lastRenderedPageBreak/>
              <w:t xml:space="preserve">included as a handout. </w:t>
            </w:r>
          </w:p>
          <w:p w:rsidR="00590DFD" w:rsidRDefault="00590DFD" w:rsidP="00BB54EE">
            <w:pPr>
              <w:rPr>
                <w:rFonts w:asciiTheme="majorHAnsi" w:hAnsiTheme="majorHAnsi"/>
                <w:sz w:val="24"/>
                <w:szCs w:val="24"/>
              </w:rPr>
            </w:pPr>
          </w:p>
          <w:p w:rsidR="00590DFD" w:rsidRDefault="00590DFD" w:rsidP="00BB54EE">
            <w:pPr>
              <w:rPr>
                <w:rFonts w:asciiTheme="majorHAnsi" w:hAnsiTheme="majorHAnsi"/>
                <w:sz w:val="24"/>
                <w:szCs w:val="24"/>
              </w:rPr>
            </w:pPr>
            <w:r>
              <w:rPr>
                <w:rFonts w:asciiTheme="majorHAnsi" w:hAnsiTheme="majorHAnsi"/>
                <w:sz w:val="24"/>
                <w:szCs w:val="24"/>
              </w:rPr>
              <w:t xml:space="preserve">Each potential agenda item was discussed and two additional items were added as possible topics: healthy aging and implementation of Tobacco Retail Licensing. </w:t>
            </w:r>
          </w:p>
          <w:p w:rsidR="00590DFD" w:rsidRDefault="00590DFD" w:rsidP="00BB54EE">
            <w:pPr>
              <w:rPr>
                <w:rFonts w:asciiTheme="majorHAnsi" w:hAnsiTheme="majorHAnsi"/>
                <w:sz w:val="24"/>
                <w:szCs w:val="24"/>
              </w:rPr>
            </w:pPr>
          </w:p>
          <w:p w:rsidR="00590DFD" w:rsidRDefault="00590DFD" w:rsidP="00BB54EE">
            <w:pPr>
              <w:rPr>
                <w:rFonts w:asciiTheme="majorHAnsi" w:hAnsiTheme="majorHAnsi"/>
                <w:sz w:val="24"/>
                <w:szCs w:val="24"/>
              </w:rPr>
            </w:pPr>
            <w:r>
              <w:rPr>
                <w:rFonts w:asciiTheme="majorHAnsi" w:hAnsiTheme="majorHAnsi"/>
                <w:sz w:val="24"/>
                <w:szCs w:val="24"/>
              </w:rPr>
              <w:t>Items of particular interest:</w:t>
            </w:r>
          </w:p>
          <w:p w:rsidR="00590DFD" w:rsidRDefault="00590DFD" w:rsidP="00590DFD">
            <w:pPr>
              <w:pStyle w:val="ListParagraph"/>
              <w:numPr>
                <w:ilvl w:val="0"/>
                <w:numId w:val="35"/>
              </w:numPr>
              <w:rPr>
                <w:rFonts w:asciiTheme="majorHAnsi" w:hAnsiTheme="majorHAnsi"/>
                <w:sz w:val="24"/>
                <w:szCs w:val="24"/>
              </w:rPr>
            </w:pPr>
            <w:r>
              <w:rPr>
                <w:rFonts w:asciiTheme="majorHAnsi" w:hAnsiTheme="majorHAnsi"/>
                <w:sz w:val="24"/>
                <w:szCs w:val="24"/>
              </w:rPr>
              <w:t>CCO metrics with a potential invitation to members of CLHO Health Systems as this topic is likely also of interest to them</w:t>
            </w:r>
          </w:p>
          <w:p w:rsidR="00590DFD" w:rsidRDefault="00590DFD" w:rsidP="00590DFD">
            <w:pPr>
              <w:pStyle w:val="ListParagraph"/>
              <w:numPr>
                <w:ilvl w:val="0"/>
                <w:numId w:val="35"/>
              </w:numPr>
              <w:rPr>
                <w:rFonts w:asciiTheme="majorHAnsi" w:hAnsiTheme="majorHAnsi"/>
                <w:sz w:val="24"/>
                <w:szCs w:val="24"/>
              </w:rPr>
            </w:pPr>
            <w:r>
              <w:rPr>
                <w:rFonts w:asciiTheme="majorHAnsi" w:hAnsiTheme="majorHAnsi"/>
                <w:sz w:val="24"/>
                <w:szCs w:val="24"/>
              </w:rPr>
              <w:t>Healthy Communities combining both information about current grantees efforts and successes with a discussion of future funding and opportunities</w:t>
            </w:r>
          </w:p>
          <w:p w:rsidR="00590DFD" w:rsidRDefault="00590DFD" w:rsidP="00590DFD">
            <w:pPr>
              <w:pStyle w:val="ListParagraph"/>
              <w:numPr>
                <w:ilvl w:val="0"/>
                <w:numId w:val="35"/>
              </w:numPr>
              <w:rPr>
                <w:rFonts w:asciiTheme="majorHAnsi" w:hAnsiTheme="majorHAnsi"/>
                <w:sz w:val="24"/>
                <w:szCs w:val="24"/>
              </w:rPr>
            </w:pPr>
            <w:r>
              <w:rPr>
                <w:rFonts w:asciiTheme="majorHAnsi" w:hAnsiTheme="majorHAnsi"/>
                <w:sz w:val="24"/>
                <w:szCs w:val="24"/>
              </w:rPr>
              <w:t>Legislative debrief including information about HB 3100: Public Health Modernization</w:t>
            </w:r>
          </w:p>
          <w:p w:rsidR="00590DFD" w:rsidRDefault="00590DFD" w:rsidP="00590DFD">
            <w:pPr>
              <w:rPr>
                <w:rFonts w:asciiTheme="majorHAnsi" w:hAnsiTheme="majorHAnsi"/>
                <w:sz w:val="24"/>
                <w:szCs w:val="24"/>
              </w:rPr>
            </w:pPr>
          </w:p>
          <w:p w:rsidR="00590DFD" w:rsidRDefault="00590DFD" w:rsidP="00590DFD">
            <w:pPr>
              <w:rPr>
                <w:rFonts w:asciiTheme="majorHAnsi" w:hAnsiTheme="majorHAnsi"/>
                <w:sz w:val="24"/>
                <w:szCs w:val="24"/>
              </w:rPr>
            </w:pPr>
            <w:r>
              <w:rPr>
                <w:rFonts w:asciiTheme="majorHAnsi" w:hAnsiTheme="majorHAnsi"/>
                <w:sz w:val="24"/>
                <w:szCs w:val="24"/>
              </w:rPr>
              <w:t>Items with some interest:</w:t>
            </w:r>
          </w:p>
          <w:p w:rsidR="00590DFD" w:rsidRDefault="006A00A1" w:rsidP="00590DFD">
            <w:pPr>
              <w:pStyle w:val="ListParagraph"/>
              <w:numPr>
                <w:ilvl w:val="0"/>
                <w:numId w:val="36"/>
              </w:numPr>
              <w:rPr>
                <w:rFonts w:asciiTheme="majorHAnsi" w:hAnsiTheme="majorHAnsi"/>
                <w:sz w:val="24"/>
                <w:szCs w:val="24"/>
              </w:rPr>
            </w:pPr>
            <w:r>
              <w:rPr>
                <w:rFonts w:asciiTheme="majorHAnsi" w:hAnsiTheme="majorHAnsi"/>
                <w:sz w:val="24"/>
                <w:szCs w:val="24"/>
              </w:rPr>
              <w:t>Overview of grants the state has sought and anticipates seeking</w:t>
            </w:r>
          </w:p>
          <w:p w:rsidR="006A00A1" w:rsidRDefault="006A00A1" w:rsidP="00590DFD">
            <w:pPr>
              <w:pStyle w:val="ListParagraph"/>
              <w:numPr>
                <w:ilvl w:val="0"/>
                <w:numId w:val="36"/>
              </w:numPr>
              <w:rPr>
                <w:rFonts w:asciiTheme="majorHAnsi" w:hAnsiTheme="majorHAnsi"/>
                <w:sz w:val="24"/>
                <w:szCs w:val="24"/>
              </w:rPr>
            </w:pPr>
            <w:r>
              <w:rPr>
                <w:rFonts w:asciiTheme="majorHAnsi" w:hAnsiTheme="majorHAnsi"/>
                <w:sz w:val="24"/>
                <w:szCs w:val="24"/>
              </w:rPr>
              <w:t>Healthy Aging</w:t>
            </w:r>
          </w:p>
          <w:p w:rsidR="006A00A1" w:rsidRDefault="006A00A1" w:rsidP="006A00A1">
            <w:pPr>
              <w:rPr>
                <w:rFonts w:asciiTheme="majorHAnsi" w:hAnsiTheme="majorHAnsi"/>
                <w:sz w:val="24"/>
                <w:szCs w:val="24"/>
              </w:rPr>
            </w:pPr>
          </w:p>
          <w:p w:rsidR="006A00A1" w:rsidRDefault="006A00A1" w:rsidP="006A00A1">
            <w:pPr>
              <w:rPr>
                <w:rFonts w:asciiTheme="majorHAnsi" w:hAnsiTheme="majorHAnsi"/>
                <w:sz w:val="24"/>
                <w:szCs w:val="24"/>
              </w:rPr>
            </w:pPr>
            <w:r>
              <w:rPr>
                <w:rFonts w:asciiTheme="majorHAnsi" w:hAnsiTheme="majorHAnsi"/>
                <w:sz w:val="24"/>
                <w:szCs w:val="24"/>
              </w:rPr>
              <w:t>Items likely tabled and brought back to a CLHO HC regular meeting rather than the retreat:</w:t>
            </w:r>
          </w:p>
          <w:p w:rsidR="006A00A1" w:rsidRDefault="006A00A1" w:rsidP="006A00A1">
            <w:pPr>
              <w:pStyle w:val="ListParagraph"/>
              <w:numPr>
                <w:ilvl w:val="0"/>
                <w:numId w:val="37"/>
              </w:numPr>
              <w:rPr>
                <w:rFonts w:asciiTheme="majorHAnsi" w:hAnsiTheme="majorHAnsi"/>
                <w:sz w:val="24"/>
                <w:szCs w:val="24"/>
              </w:rPr>
            </w:pPr>
            <w:r>
              <w:rPr>
                <w:rFonts w:asciiTheme="majorHAnsi" w:hAnsiTheme="majorHAnsi"/>
                <w:sz w:val="24"/>
                <w:szCs w:val="24"/>
              </w:rPr>
              <w:t>Moving cessation forward in Oregon</w:t>
            </w:r>
          </w:p>
          <w:p w:rsidR="006A00A1" w:rsidRDefault="006A00A1" w:rsidP="006A00A1">
            <w:pPr>
              <w:pStyle w:val="ListParagraph"/>
              <w:numPr>
                <w:ilvl w:val="0"/>
                <w:numId w:val="37"/>
              </w:numPr>
              <w:rPr>
                <w:rFonts w:asciiTheme="majorHAnsi" w:hAnsiTheme="majorHAnsi"/>
                <w:sz w:val="24"/>
                <w:szCs w:val="24"/>
              </w:rPr>
            </w:pPr>
            <w:r>
              <w:rPr>
                <w:rFonts w:asciiTheme="majorHAnsi" w:hAnsiTheme="majorHAnsi"/>
                <w:sz w:val="24"/>
                <w:szCs w:val="24"/>
              </w:rPr>
              <w:t>Evaluation findings from TPEP Community Programs</w:t>
            </w:r>
          </w:p>
          <w:p w:rsidR="006A00A1" w:rsidRDefault="006A00A1" w:rsidP="006A00A1">
            <w:pPr>
              <w:pStyle w:val="ListParagraph"/>
              <w:numPr>
                <w:ilvl w:val="0"/>
                <w:numId w:val="37"/>
              </w:numPr>
              <w:rPr>
                <w:rFonts w:asciiTheme="majorHAnsi" w:hAnsiTheme="majorHAnsi"/>
                <w:sz w:val="24"/>
                <w:szCs w:val="24"/>
              </w:rPr>
            </w:pPr>
            <w:r>
              <w:rPr>
                <w:rFonts w:asciiTheme="majorHAnsi" w:hAnsiTheme="majorHAnsi"/>
                <w:sz w:val="24"/>
                <w:szCs w:val="24"/>
              </w:rPr>
              <w:t>VISTA report</w:t>
            </w:r>
          </w:p>
          <w:p w:rsidR="006A00A1" w:rsidRDefault="006A00A1" w:rsidP="006A00A1">
            <w:pPr>
              <w:pStyle w:val="ListParagraph"/>
              <w:numPr>
                <w:ilvl w:val="0"/>
                <w:numId w:val="37"/>
              </w:numPr>
              <w:rPr>
                <w:rFonts w:asciiTheme="majorHAnsi" w:hAnsiTheme="majorHAnsi"/>
                <w:sz w:val="24"/>
                <w:szCs w:val="24"/>
              </w:rPr>
            </w:pPr>
            <w:r>
              <w:rPr>
                <w:rFonts w:asciiTheme="majorHAnsi" w:hAnsiTheme="majorHAnsi"/>
                <w:sz w:val="24"/>
                <w:szCs w:val="24"/>
              </w:rPr>
              <w:t xml:space="preserve">Smokefree Oregon and Place Matters Oregon communications </w:t>
            </w:r>
            <w:r>
              <w:rPr>
                <w:rFonts w:asciiTheme="majorHAnsi" w:hAnsiTheme="majorHAnsi"/>
                <w:sz w:val="24"/>
                <w:szCs w:val="24"/>
              </w:rPr>
              <w:lastRenderedPageBreak/>
              <w:t>campaigns</w:t>
            </w:r>
          </w:p>
          <w:p w:rsidR="006A00A1" w:rsidRDefault="006A00A1" w:rsidP="006A00A1">
            <w:pPr>
              <w:pStyle w:val="ListParagraph"/>
              <w:numPr>
                <w:ilvl w:val="0"/>
                <w:numId w:val="37"/>
              </w:numPr>
              <w:rPr>
                <w:rFonts w:asciiTheme="majorHAnsi" w:hAnsiTheme="majorHAnsi"/>
                <w:sz w:val="24"/>
                <w:szCs w:val="24"/>
              </w:rPr>
            </w:pPr>
            <w:r>
              <w:rPr>
                <w:rFonts w:asciiTheme="majorHAnsi" w:hAnsiTheme="majorHAnsi"/>
                <w:sz w:val="24"/>
                <w:szCs w:val="24"/>
              </w:rPr>
              <w:t>Tobacco retail licensing implementation (post legislative session)</w:t>
            </w:r>
          </w:p>
          <w:p w:rsidR="006A00A1" w:rsidRDefault="006A00A1" w:rsidP="006A00A1">
            <w:pPr>
              <w:rPr>
                <w:rFonts w:asciiTheme="majorHAnsi" w:hAnsiTheme="majorHAnsi"/>
                <w:sz w:val="24"/>
                <w:szCs w:val="24"/>
              </w:rPr>
            </w:pPr>
          </w:p>
          <w:p w:rsidR="006A00A1" w:rsidRDefault="006A00A1" w:rsidP="006A00A1">
            <w:pPr>
              <w:rPr>
                <w:rFonts w:asciiTheme="majorHAnsi" w:hAnsiTheme="majorHAnsi"/>
                <w:sz w:val="24"/>
                <w:szCs w:val="24"/>
              </w:rPr>
            </w:pPr>
            <w:r>
              <w:rPr>
                <w:rFonts w:asciiTheme="majorHAnsi" w:hAnsiTheme="majorHAnsi"/>
                <w:sz w:val="24"/>
                <w:szCs w:val="24"/>
              </w:rPr>
              <w:t>Committee Chairs will work with state staff to further develop and refine the agenda.</w:t>
            </w:r>
          </w:p>
          <w:p w:rsidR="006A00A1" w:rsidRDefault="006A00A1" w:rsidP="006A00A1">
            <w:pPr>
              <w:rPr>
                <w:rFonts w:asciiTheme="majorHAnsi" w:hAnsiTheme="majorHAnsi"/>
                <w:sz w:val="24"/>
                <w:szCs w:val="24"/>
              </w:rPr>
            </w:pPr>
          </w:p>
          <w:p w:rsidR="007A4A19" w:rsidRPr="00F4497D" w:rsidRDefault="006A00A1" w:rsidP="00BB54EE">
            <w:pPr>
              <w:rPr>
                <w:rFonts w:asciiTheme="majorHAnsi" w:hAnsiTheme="majorHAnsi"/>
                <w:sz w:val="24"/>
                <w:szCs w:val="24"/>
              </w:rPr>
            </w:pPr>
            <w:r>
              <w:rPr>
                <w:rFonts w:asciiTheme="majorHAnsi" w:hAnsiTheme="majorHAnsi"/>
                <w:sz w:val="24"/>
                <w:szCs w:val="24"/>
              </w:rPr>
              <w:t xml:space="preserve">Logistics: The retreat will be held on July 31 in Salem. It will be a full day gathering with the exact times and location to be determined. Committee members suggested canceling the regular August meeting. </w:t>
            </w:r>
          </w:p>
        </w:tc>
        <w:tc>
          <w:tcPr>
            <w:tcW w:w="2088" w:type="dxa"/>
          </w:tcPr>
          <w:p w:rsidR="007A4A19" w:rsidRPr="00F4497D" w:rsidRDefault="007A4A19" w:rsidP="00590DFD">
            <w:pPr>
              <w:rPr>
                <w:rFonts w:asciiTheme="majorHAnsi" w:hAnsiTheme="majorHAnsi"/>
                <w:sz w:val="24"/>
                <w:szCs w:val="24"/>
              </w:rPr>
            </w:pPr>
            <w:r>
              <w:rPr>
                <w:rFonts w:asciiTheme="majorHAnsi" w:hAnsiTheme="majorHAnsi"/>
                <w:sz w:val="24"/>
                <w:szCs w:val="24"/>
              </w:rPr>
              <w:lastRenderedPageBreak/>
              <w:t>Sabrina Freewynn</w:t>
            </w:r>
          </w:p>
        </w:tc>
      </w:tr>
      <w:tr w:rsidR="00E85D51" w:rsidRPr="00F4497D" w:rsidTr="00BB250A">
        <w:trPr>
          <w:trHeight w:val="1160"/>
        </w:trPr>
        <w:tc>
          <w:tcPr>
            <w:tcW w:w="2808" w:type="dxa"/>
          </w:tcPr>
          <w:p w:rsidR="00E85D51" w:rsidRPr="00BC7F83" w:rsidRDefault="00E85D51" w:rsidP="00590DFD">
            <w:pPr>
              <w:rPr>
                <w:rFonts w:asciiTheme="majorHAnsi" w:hAnsiTheme="majorHAnsi"/>
                <w:sz w:val="24"/>
                <w:szCs w:val="24"/>
              </w:rPr>
            </w:pPr>
            <w:r w:rsidRPr="00BC7F83">
              <w:rPr>
                <w:rFonts w:asciiTheme="majorHAnsi" w:hAnsiTheme="majorHAnsi"/>
                <w:sz w:val="24"/>
                <w:szCs w:val="24"/>
              </w:rPr>
              <w:lastRenderedPageBreak/>
              <w:t>HPCDP Communication Mechanisms</w:t>
            </w:r>
            <w:r>
              <w:rPr>
                <w:rFonts w:asciiTheme="majorHAnsi" w:hAnsiTheme="majorHAnsi"/>
                <w:sz w:val="24"/>
                <w:szCs w:val="24"/>
              </w:rPr>
              <w:t xml:space="preserve"> (3</w:t>
            </w:r>
            <w:r w:rsidRPr="00BC7F83">
              <w:rPr>
                <w:rFonts w:asciiTheme="majorHAnsi" w:hAnsiTheme="majorHAnsi"/>
                <w:sz w:val="24"/>
                <w:szCs w:val="24"/>
              </w:rPr>
              <w:t xml:space="preserve">0 min) </w:t>
            </w:r>
          </w:p>
          <w:p w:rsidR="00E85D51" w:rsidRPr="00BC7F83" w:rsidRDefault="00E85D51" w:rsidP="00590DFD">
            <w:pPr>
              <w:rPr>
                <w:rFonts w:asciiTheme="majorHAnsi" w:hAnsiTheme="majorHAnsi"/>
                <w:sz w:val="24"/>
                <w:szCs w:val="24"/>
              </w:rPr>
            </w:pPr>
            <w:r>
              <w:rPr>
                <w:rFonts w:asciiTheme="majorHAnsi" w:hAnsiTheme="majorHAnsi"/>
                <w:sz w:val="24"/>
                <w:szCs w:val="24"/>
              </w:rPr>
              <w:t>2:20 – 2:5</w:t>
            </w:r>
            <w:r w:rsidRPr="00BC7F83">
              <w:rPr>
                <w:rFonts w:asciiTheme="majorHAnsi" w:hAnsiTheme="majorHAnsi"/>
                <w:sz w:val="24"/>
                <w:szCs w:val="24"/>
              </w:rPr>
              <w:t>0</w:t>
            </w:r>
          </w:p>
          <w:p w:rsidR="00E85D51" w:rsidRPr="00BC7F83" w:rsidRDefault="00E85D51" w:rsidP="00590DFD">
            <w:pPr>
              <w:rPr>
                <w:rFonts w:asciiTheme="majorHAnsi" w:hAnsiTheme="majorHAnsi"/>
                <w:color w:val="003300"/>
                <w:sz w:val="24"/>
                <w:szCs w:val="24"/>
              </w:rPr>
            </w:pPr>
          </w:p>
        </w:tc>
        <w:tc>
          <w:tcPr>
            <w:tcW w:w="5130" w:type="dxa"/>
          </w:tcPr>
          <w:p w:rsidR="00E85D51" w:rsidRDefault="00E85D51" w:rsidP="00590DFD">
            <w:pPr>
              <w:rPr>
                <w:rFonts w:asciiTheme="majorHAnsi" w:hAnsiTheme="majorHAnsi"/>
                <w:sz w:val="24"/>
                <w:szCs w:val="24"/>
              </w:rPr>
            </w:pPr>
            <w:r w:rsidRPr="00BC7F83">
              <w:rPr>
                <w:rFonts w:asciiTheme="majorHAnsi" w:hAnsiTheme="majorHAnsi"/>
                <w:b/>
                <w:sz w:val="24"/>
                <w:szCs w:val="24"/>
              </w:rPr>
              <w:t>Presentation:</w:t>
            </w:r>
            <w:r w:rsidRPr="00BC7F83">
              <w:rPr>
                <w:rFonts w:asciiTheme="majorHAnsi" w:hAnsiTheme="majorHAnsi"/>
                <w:sz w:val="24"/>
                <w:szCs w:val="24"/>
              </w:rPr>
              <w:t xml:space="preserve"> providing the background on HPCDP communication </w:t>
            </w:r>
            <w:r>
              <w:rPr>
                <w:rFonts w:asciiTheme="majorHAnsi" w:hAnsiTheme="majorHAnsi"/>
                <w:sz w:val="24"/>
                <w:szCs w:val="24"/>
              </w:rPr>
              <w:t>initiatives</w:t>
            </w:r>
          </w:p>
          <w:p w:rsidR="00E85D51" w:rsidRDefault="00E85D51" w:rsidP="00590DFD">
            <w:pPr>
              <w:rPr>
                <w:rFonts w:asciiTheme="majorHAnsi" w:hAnsiTheme="majorHAnsi"/>
                <w:sz w:val="24"/>
                <w:szCs w:val="24"/>
              </w:rPr>
            </w:pPr>
            <w:r>
              <w:rPr>
                <w:rFonts w:asciiTheme="majorHAnsi" w:hAnsiTheme="majorHAnsi"/>
                <w:b/>
                <w:sz w:val="24"/>
                <w:szCs w:val="24"/>
              </w:rPr>
              <w:t>Background</w:t>
            </w:r>
            <w:r>
              <w:rPr>
                <w:rFonts w:asciiTheme="majorHAnsi" w:hAnsiTheme="majorHAnsi"/>
                <w:sz w:val="24"/>
                <w:szCs w:val="24"/>
              </w:rPr>
              <w:t xml:space="preserve">: HPCDP implements several statewide campaigns in support of local program work plans and objectives. </w:t>
            </w:r>
          </w:p>
          <w:p w:rsidR="00E85D51" w:rsidRPr="00BC7F83" w:rsidRDefault="00E85D51" w:rsidP="00590DFD">
            <w:pPr>
              <w:rPr>
                <w:rFonts w:asciiTheme="majorHAnsi" w:hAnsiTheme="majorHAnsi" w:cs="Times"/>
                <w:color w:val="000000"/>
                <w:sz w:val="24"/>
                <w:szCs w:val="24"/>
              </w:rPr>
            </w:pPr>
            <w:r w:rsidRPr="00BC7F83">
              <w:rPr>
                <w:rFonts w:asciiTheme="majorHAnsi" w:hAnsiTheme="majorHAnsi"/>
                <w:b/>
                <w:sz w:val="24"/>
                <w:szCs w:val="24"/>
              </w:rPr>
              <w:t>Objective</w:t>
            </w:r>
            <w:r>
              <w:rPr>
                <w:rFonts w:asciiTheme="majorHAnsi" w:hAnsiTheme="majorHAnsi"/>
                <w:sz w:val="24"/>
                <w:szCs w:val="24"/>
              </w:rPr>
              <w:t xml:space="preserve">: Review a campaign calendar for SmokefreeOregon.com and Place Matters Oregon brands. Hear feedback. </w:t>
            </w:r>
          </w:p>
        </w:tc>
        <w:tc>
          <w:tcPr>
            <w:tcW w:w="4590" w:type="dxa"/>
          </w:tcPr>
          <w:p w:rsidR="009D465D" w:rsidRDefault="009D465D" w:rsidP="009D465D">
            <w:pPr>
              <w:rPr>
                <w:rFonts w:asciiTheme="majorHAnsi" w:hAnsiTheme="majorHAnsi"/>
                <w:sz w:val="24"/>
                <w:szCs w:val="24"/>
              </w:rPr>
            </w:pPr>
            <w:r>
              <w:rPr>
                <w:rFonts w:asciiTheme="majorHAnsi" w:hAnsiTheme="majorHAnsi"/>
                <w:sz w:val="24"/>
                <w:szCs w:val="24"/>
              </w:rPr>
              <w:t>Two handouts accompany this presentation: o</w:t>
            </w:r>
            <w:r w:rsidR="008102DC">
              <w:rPr>
                <w:rFonts w:asciiTheme="majorHAnsi" w:hAnsiTheme="majorHAnsi"/>
                <w:sz w:val="24"/>
                <w:szCs w:val="24"/>
              </w:rPr>
              <w:t xml:space="preserve">ne is Smokefree Oregon </w:t>
            </w:r>
            <w:r>
              <w:rPr>
                <w:rFonts w:asciiTheme="majorHAnsi" w:hAnsiTheme="majorHAnsi"/>
                <w:sz w:val="24"/>
                <w:szCs w:val="24"/>
              </w:rPr>
              <w:t>Campaign m</w:t>
            </w:r>
            <w:r w:rsidR="008102DC">
              <w:rPr>
                <w:rFonts w:asciiTheme="majorHAnsi" w:hAnsiTheme="majorHAnsi"/>
                <w:sz w:val="24"/>
                <w:szCs w:val="24"/>
              </w:rPr>
              <w:t xml:space="preserve">aster </w:t>
            </w:r>
            <w:r>
              <w:rPr>
                <w:rFonts w:asciiTheme="majorHAnsi" w:hAnsiTheme="majorHAnsi"/>
                <w:sz w:val="24"/>
                <w:szCs w:val="24"/>
              </w:rPr>
              <w:t>c</w:t>
            </w:r>
            <w:r w:rsidR="008102DC">
              <w:rPr>
                <w:rFonts w:asciiTheme="majorHAnsi" w:hAnsiTheme="majorHAnsi"/>
                <w:sz w:val="24"/>
                <w:szCs w:val="24"/>
              </w:rPr>
              <w:t>alendar and the other is</w:t>
            </w:r>
            <w:r>
              <w:rPr>
                <w:rFonts w:asciiTheme="majorHAnsi" w:hAnsiTheme="majorHAnsi"/>
                <w:sz w:val="24"/>
                <w:szCs w:val="24"/>
              </w:rPr>
              <w:t xml:space="preserve"> the</w:t>
            </w:r>
            <w:r w:rsidR="008102DC">
              <w:rPr>
                <w:rFonts w:asciiTheme="majorHAnsi" w:hAnsiTheme="majorHAnsi"/>
                <w:sz w:val="24"/>
                <w:szCs w:val="24"/>
              </w:rPr>
              <w:t xml:space="preserve"> </w:t>
            </w:r>
            <w:r>
              <w:rPr>
                <w:rFonts w:asciiTheme="majorHAnsi" w:hAnsiTheme="majorHAnsi"/>
                <w:sz w:val="24"/>
                <w:szCs w:val="24"/>
              </w:rPr>
              <w:t>Place Matters Oregon master calendar</w:t>
            </w:r>
            <w:r w:rsidR="00457FF7">
              <w:rPr>
                <w:rFonts w:asciiTheme="majorHAnsi" w:hAnsiTheme="majorHAnsi"/>
                <w:sz w:val="24"/>
                <w:szCs w:val="24"/>
              </w:rPr>
              <w:t>,</w:t>
            </w:r>
            <w:bookmarkStart w:id="0" w:name="_GoBack"/>
            <w:bookmarkEnd w:id="0"/>
            <w:r>
              <w:rPr>
                <w:rFonts w:asciiTheme="majorHAnsi" w:hAnsiTheme="majorHAnsi"/>
                <w:sz w:val="24"/>
                <w:szCs w:val="24"/>
              </w:rPr>
              <w:t xml:space="preserve"> which includes information about the Colorectal Cancer Campaign and the Arthritis campaign</w:t>
            </w:r>
            <w:r w:rsidR="008102DC">
              <w:rPr>
                <w:rFonts w:asciiTheme="majorHAnsi" w:hAnsiTheme="majorHAnsi"/>
                <w:sz w:val="24"/>
                <w:szCs w:val="24"/>
              </w:rPr>
              <w:t xml:space="preserve">. Each chart </w:t>
            </w:r>
            <w:r>
              <w:rPr>
                <w:rFonts w:asciiTheme="majorHAnsi" w:hAnsiTheme="majorHAnsi"/>
                <w:sz w:val="24"/>
                <w:szCs w:val="24"/>
              </w:rPr>
              <w:t>provides information about the dates of media releases and development</w:t>
            </w:r>
            <w:r w:rsidR="005D58B2">
              <w:rPr>
                <w:rFonts w:asciiTheme="majorHAnsi" w:hAnsiTheme="majorHAnsi"/>
                <w:sz w:val="24"/>
                <w:szCs w:val="24"/>
              </w:rPr>
              <w:t xml:space="preserve">. </w:t>
            </w:r>
          </w:p>
          <w:p w:rsidR="009D465D" w:rsidRDefault="009D465D" w:rsidP="009D465D">
            <w:pPr>
              <w:rPr>
                <w:rFonts w:asciiTheme="majorHAnsi" w:hAnsiTheme="majorHAnsi"/>
                <w:sz w:val="24"/>
                <w:szCs w:val="24"/>
              </w:rPr>
            </w:pPr>
          </w:p>
          <w:p w:rsidR="00E85D51" w:rsidRPr="00BC7F83" w:rsidRDefault="009D465D" w:rsidP="009D465D">
            <w:pPr>
              <w:rPr>
                <w:rFonts w:asciiTheme="majorHAnsi" w:hAnsiTheme="majorHAnsi"/>
                <w:sz w:val="24"/>
                <w:szCs w:val="24"/>
              </w:rPr>
            </w:pPr>
            <w:r>
              <w:rPr>
                <w:rFonts w:asciiTheme="majorHAnsi" w:hAnsiTheme="majorHAnsi"/>
                <w:sz w:val="24"/>
                <w:szCs w:val="24"/>
              </w:rPr>
              <w:t xml:space="preserve">Of note, HPCDP is publishing a blog authored by Karen Girard. Committee members are encouraged to sign up for this communication: </w:t>
            </w:r>
            <w:hyperlink r:id="rId9" w:history="1">
              <w:r w:rsidR="0027286E" w:rsidRPr="00550101">
                <w:rPr>
                  <w:rStyle w:val="Hyperlink"/>
                  <w:rFonts w:asciiTheme="majorHAnsi" w:hAnsiTheme="majorHAnsi"/>
                  <w:sz w:val="24"/>
                  <w:szCs w:val="24"/>
                </w:rPr>
                <w:t>www.healthwithinreach.org</w:t>
              </w:r>
            </w:hyperlink>
            <w:r w:rsidR="0027286E">
              <w:rPr>
                <w:rFonts w:asciiTheme="majorHAnsi" w:hAnsiTheme="majorHAnsi"/>
                <w:sz w:val="24"/>
                <w:szCs w:val="24"/>
              </w:rPr>
              <w:t xml:space="preserve"> </w:t>
            </w:r>
          </w:p>
        </w:tc>
        <w:tc>
          <w:tcPr>
            <w:tcW w:w="2088" w:type="dxa"/>
          </w:tcPr>
          <w:p w:rsidR="00E85D51" w:rsidRPr="00BC7F83" w:rsidRDefault="00E85D51" w:rsidP="00590DFD">
            <w:pPr>
              <w:rPr>
                <w:rFonts w:asciiTheme="majorHAnsi" w:hAnsiTheme="majorHAnsi"/>
                <w:sz w:val="24"/>
                <w:szCs w:val="24"/>
              </w:rPr>
            </w:pPr>
            <w:r w:rsidRPr="00BC7F83">
              <w:rPr>
                <w:rFonts w:asciiTheme="majorHAnsi" w:hAnsiTheme="majorHAnsi"/>
                <w:sz w:val="24"/>
                <w:szCs w:val="24"/>
              </w:rPr>
              <w:t>Kati Moseley</w:t>
            </w:r>
          </w:p>
        </w:tc>
      </w:tr>
      <w:tr w:rsidR="008761B3" w:rsidRPr="007B7128" w:rsidTr="00BB250A">
        <w:trPr>
          <w:trHeight w:val="890"/>
        </w:trPr>
        <w:tc>
          <w:tcPr>
            <w:tcW w:w="2808" w:type="dxa"/>
          </w:tcPr>
          <w:p w:rsidR="008761B3" w:rsidRPr="00F4497D" w:rsidRDefault="008761B3" w:rsidP="00590DFD">
            <w:pPr>
              <w:rPr>
                <w:rFonts w:asciiTheme="majorHAnsi" w:hAnsiTheme="majorHAnsi"/>
                <w:sz w:val="24"/>
                <w:szCs w:val="24"/>
              </w:rPr>
            </w:pPr>
            <w:r w:rsidRPr="00F4497D">
              <w:rPr>
                <w:rFonts w:asciiTheme="majorHAnsi" w:hAnsiTheme="majorHAnsi"/>
                <w:sz w:val="24"/>
                <w:szCs w:val="24"/>
              </w:rPr>
              <w:t>Adjourn</w:t>
            </w:r>
          </w:p>
        </w:tc>
        <w:tc>
          <w:tcPr>
            <w:tcW w:w="5130" w:type="dxa"/>
          </w:tcPr>
          <w:p w:rsidR="008761B3" w:rsidRPr="00F4497D" w:rsidRDefault="008761B3" w:rsidP="00590DFD">
            <w:pPr>
              <w:rPr>
                <w:rFonts w:asciiTheme="majorHAnsi" w:hAnsiTheme="majorHAnsi"/>
                <w:sz w:val="24"/>
                <w:szCs w:val="24"/>
              </w:rPr>
            </w:pPr>
          </w:p>
        </w:tc>
        <w:tc>
          <w:tcPr>
            <w:tcW w:w="4590" w:type="dxa"/>
          </w:tcPr>
          <w:p w:rsidR="008761B3" w:rsidRPr="00F4497D" w:rsidRDefault="008761B3" w:rsidP="00590DFD">
            <w:pPr>
              <w:rPr>
                <w:rFonts w:asciiTheme="majorHAnsi" w:hAnsiTheme="majorHAnsi"/>
                <w:sz w:val="24"/>
                <w:szCs w:val="24"/>
              </w:rPr>
            </w:pPr>
            <w:r>
              <w:rPr>
                <w:rFonts w:asciiTheme="majorHAnsi" w:hAnsiTheme="majorHAnsi"/>
                <w:sz w:val="24"/>
                <w:szCs w:val="24"/>
              </w:rPr>
              <w:t>Meeting adjourned at 3:00</w:t>
            </w:r>
          </w:p>
        </w:tc>
        <w:tc>
          <w:tcPr>
            <w:tcW w:w="2088" w:type="dxa"/>
          </w:tcPr>
          <w:p w:rsidR="008761B3" w:rsidRPr="00F4497D" w:rsidRDefault="008761B3" w:rsidP="00590DFD">
            <w:pPr>
              <w:rPr>
                <w:rFonts w:asciiTheme="majorHAnsi" w:hAnsiTheme="majorHAnsi"/>
                <w:sz w:val="24"/>
                <w:szCs w:val="24"/>
              </w:rPr>
            </w:pPr>
          </w:p>
        </w:tc>
      </w:tr>
    </w:tbl>
    <w:p w:rsidR="005325AD" w:rsidRPr="00527636" w:rsidRDefault="005325AD" w:rsidP="008761B3">
      <w:pPr>
        <w:pStyle w:val="ListParagraph"/>
        <w:rPr>
          <w:rFonts w:asciiTheme="majorHAnsi" w:hAnsiTheme="majorHAnsi"/>
          <w:sz w:val="24"/>
          <w:szCs w:val="24"/>
          <w:u w:val="single"/>
        </w:rPr>
      </w:pPr>
    </w:p>
    <w:sectPr w:rsidR="005325AD" w:rsidRPr="00527636"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DFD" w:rsidRDefault="00590DFD" w:rsidP="003C38D2">
      <w:r>
        <w:separator/>
      </w:r>
    </w:p>
  </w:endnote>
  <w:endnote w:type="continuationSeparator" w:id="0">
    <w:p w:rsidR="00590DFD" w:rsidRDefault="00590DFD"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DFD" w:rsidRDefault="00590DFD" w:rsidP="003C38D2">
      <w:r>
        <w:separator/>
      </w:r>
    </w:p>
  </w:footnote>
  <w:footnote w:type="continuationSeparator" w:id="0">
    <w:p w:rsidR="00590DFD" w:rsidRDefault="00590DFD"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6D0294"/>
    <w:multiLevelType w:val="hybridMultilevel"/>
    <w:tmpl w:val="2E40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B5924"/>
    <w:multiLevelType w:val="hybridMultilevel"/>
    <w:tmpl w:val="EBFA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EA11AAA"/>
    <w:multiLevelType w:val="hybridMultilevel"/>
    <w:tmpl w:val="2CDA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2A6D69"/>
    <w:multiLevelType w:val="hybridMultilevel"/>
    <w:tmpl w:val="12EE9FFE"/>
    <w:lvl w:ilvl="0" w:tplc="EBAA706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6"/>
  </w:num>
  <w:num w:numId="3">
    <w:abstractNumId w:val="9"/>
  </w:num>
  <w:num w:numId="4">
    <w:abstractNumId w:val="35"/>
  </w:num>
  <w:num w:numId="5">
    <w:abstractNumId w:val="36"/>
  </w:num>
  <w:num w:numId="6">
    <w:abstractNumId w:val="6"/>
  </w:num>
  <w:num w:numId="7">
    <w:abstractNumId w:val="32"/>
  </w:num>
  <w:num w:numId="8">
    <w:abstractNumId w:val="15"/>
  </w:num>
  <w:num w:numId="9">
    <w:abstractNumId w:val="5"/>
  </w:num>
  <w:num w:numId="10">
    <w:abstractNumId w:val="1"/>
  </w:num>
  <w:num w:numId="11">
    <w:abstractNumId w:val="23"/>
  </w:num>
  <w:num w:numId="12">
    <w:abstractNumId w:val="26"/>
  </w:num>
  <w:num w:numId="13">
    <w:abstractNumId w:val="24"/>
  </w:num>
  <w:num w:numId="14">
    <w:abstractNumId w:val="7"/>
  </w:num>
  <w:num w:numId="15">
    <w:abstractNumId w:val="27"/>
  </w:num>
  <w:num w:numId="16">
    <w:abstractNumId w:val="11"/>
  </w:num>
  <w:num w:numId="17">
    <w:abstractNumId w:val="34"/>
  </w:num>
  <w:num w:numId="18">
    <w:abstractNumId w:val="14"/>
  </w:num>
  <w:num w:numId="19">
    <w:abstractNumId w:val="33"/>
  </w:num>
  <w:num w:numId="20">
    <w:abstractNumId w:val="19"/>
  </w:num>
  <w:num w:numId="21">
    <w:abstractNumId w:val="22"/>
  </w:num>
  <w:num w:numId="22">
    <w:abstractNumId w:val="25"/>
  </w:num>
  <w:num w:numId="23">
    <w:abstractNumId w:val="4"/>
  </w:num>
  <w:num w:numId="24">
    <w:abstractNumId w:val="20"/>
  </w:num>
  <w:num w:numId="25">
    <w:abstractNumId w:val="28"/>
  </w:num>
  <w:num w:numId="26">
    <w:abstractNumId w:val="18"/>
  </w:num>
  <w:num w:numId="27">
    <w:abstractNumId w:val="29"/>
  </w:num>
  <w:num w:numId="28">
    <w:abstractNumId w:val="8"/>
  </w:num>
  <w:num w:numId="29">
    <w:abstractNumId w:val="17"/>
  </w:num>
  <w:num w:numId="30">
    <w:abstractNumId w:val="31"/>
  </w:num>
  <w:num w:numId="31">
    <w:abstractNumId w:val="13"/>
  </w:num>
  <w:num w:numId="32">
    <w:abstractNumId w:val="2"/>
  </w:num>
  <w:num w:numId="33">
    <w:abstractNumId w:val="21"/>
  </w:num>
  <w:num w:numId="34">
    <w:abstractNumId w:val="30"/>
  </w:num>
  <w:num w:numId="35">
    <w:abstractNumId w:val="0"/>
  </w:num>
  <w:num w:numId="36">
    <w:abstractNumId w:val="12"/>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DC1"/>
    <w:rsid w:val="00042FEA"/>
    <w:rsid w:val="000430C5"/>
    <w:rsid w:val="00064E68"/>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49F2"/>
    <w:rsid w:val="000C0573"/>
    <w:rsid w:val="000C1670"/>
    <w:rsid w:val="000C589D"/>
    <w:rsid w:val="000D23E6"/>
    <w:rsid w:val="000D4BDA"/>
    <w:rsid w:val="000D660A"/>
    <w:rsid w:val="000E27D1"/>
    <w:rsid w:val="000E2EEC"/>
    <w:rsid w:val="000E47EF"/>
    <w:rsid w:val="000E69CF"/>
    <w:rsid w:val="000E7A30"/>
    <w:rsid w:val="000F02DE"/>
    <w:rsid w:val="000F1305"/>
    <w:rsid w:val="000F4511"/>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63D70"/>
    <w:rsid w:val="00170F1E"/>
    <w:rsid w:val="0017243C"/>
    <w:rsid w:val="001766EC"/>
    <w:rsid w:val="00182E1F"/>
    <w:rsid w:val="00184026"/>
    <w:rsid w:val="001859FD"/>
    <w:rsid w:val="00186524"/>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350D"/>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5612A"/>
    <w:rsid w:val="002621F7"/>
    <w:rsid w:val="00264C76"/>
    <w:rsid w:val="002672F1"/>
    <w:rsid w:val="002707F8"/>
    <w:rsid w:val="002709BE"/>
    <w:rsid w:val="0027286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41A5"/>
    <w:rsid w:val="002E15CD"/>
    <w:rsid w:val="002E418B"/>
    <w:rsid w:val="002E7EAF"/>
    <w:rsid w:val="002F179C"/>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2300"/>
    <w:rsid w:val="0033611C"/>
    <w:rsid w:val="003416CB"/>
    <w:rsid w:val="0034172D"/>
    <w:rsid w:val="00343301"/>
    <w:rsid w:val="00346BBC"/>
    <w:rsid w:val="00350A68"/>
    <w:rsid w:val="00352966"/>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0EA4"/>
    <w:rsid w:val="00395D04"/>
    <w:rsid w:val="003A3DDF"/>
    <w:rsid w:val="003A695A"/>
    <w:rsid w:val="003B2B16"/>
    <w:rsid w:val="003B31B4"/>
    <w:rsid w:val="003C38D2"/>
    <w:rsid w:val="003C4B48"/>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00DE1"/>
    <w:rsid w:val="004110E7"/>
    <w:rsid w:val="00412627"/>
    <w:rsid w:val="00413106"/>
    <w:rsid w:val="00413F69"/>
    <w:rsid w:val="00414107"/>
    <w:rsid w:val="00415A1D"/>
    <w:rsid w:val="00417868"/>
    <w:rsid w:val="004219AE"/>
    <w:rsid w:val="00425786"/>
    <w:rsid w:val="00426DFB"/>
    <w:rsid w:val="0043149E"/>
    <w:rsid w:val="00431B2F"/>
    <w:rsid w:val="004364F5"/>
    <w:rsid w:val="00437FE0"/>
    <w:rsid w:val="004411DA"/>
    <w:rsid w:val="00446DE4"/>
    <w:rsid w:val="00453944"/>
    <w:rsid w:val="00454989"/>
    <w:rsid w:val="004561D9"/>
    <w:rsid w:val="00457FF7"/>
    <w:rsid w:val="004603B1"/>
    <w:rsid w:val="004608E1"/>
    <w:rsid w:val="0046433E"/>
    <w:rsid w:val="00470AB8"/>
    <w:rsid w:val="0047189D"/>
    <w:rsid w:val="00471D0F"/>
    <w:rsid w:val="00473E99"/>
    <w:rsid w:val="00474DC7"/>
    <w:rsid w:val="00483205"/>
    <w:rsid w:val="00496B0D"/>
    <w:rsid w:val="004A1281"/>
    <w:rsid w:val="004A26B3"/>
    <w:rsid w:val="004A2C72"/>
    <w:rsid w:val="004A36A3"/>
    <w:rsid w:val="004B145C"/>
    <w:rsid w:val="004B2EEC"/>
    <w:rsid w:val="004B3F0F"/>
    <w:rsid w:val="004B76EA"/>
    <w:rsid w:val="004C2DEB"/>
    <w:rsid w:val="004C42E9"/>
    <w:rsid w:val="004C5A56"/>
    <w:rsid w:val="004C6019"/>
    <w:rsid w:val="004C67FB"/>
    <w:rsid w:val="004C7D91"/>
    <w:rsid w:val="004E3069"/>
    <w:rsid w:val="004E51E3"/>
    <w:rsid w:val="004F1C10"/>
    <w:rsid w:val="004F3A9B"/>
    <w:rsid w:val="00500483"/>
    <w:rsid w:val="005107A0"/>
    <w:rsid w:val="00512C66"/>
    <w:rsid w:val="00513009"/>
    <w:rsid w:val="005146B0"/>
    <w:rsid w:val="00514717"/>
    <w:rsid w:val="005207A1"/>
    <w:rsid w:val="00522F94"/>
    <w:rsid w:val="00526A04"/>
    <w:rsid w:val="00527636"/>
    <w:rsid w:val="00527D89"/>
    <w:rsid w:val="00531D74"/>
    <w:rsid w:val="005325AD"/>
    <w:rsid w:val="00535A75"/>
    <w:rsid w:val="00536C1A"/>
    <w:rsid w:val="00536E03"/>
    <w:rsid w:val="00540124"/>
    <w:rsid w:val="005423FF"/>
    <w:rsid w:val="00543175"/>
    <w:rsid w:val="00544ACA"/>
    <w:rsid w:val="00544D7E"/>
    <w:rsid w:val="00550FB3"/>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0DFD"/>
    <w:rsid w:val="005948D0"/>
    <w:rsid w:val="005950E0"/>
    <w:rsid w:val="00596849"/>
    <w:rsid w:val="005A31AF"/>
    <w:rsid w:val="005A6E00"/>
    <w:rsid w:val="005A7163"/>
    <w:rsid w:val="005B1841"/>
    <w:rsid w:val="005B1EE7"/>
    <w:rsid w:val="005B373D"/>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58B2"/>
    <w:rsid w:val="005D79A5"/>
    <w:rsid w:val="005E05C4"/>
    <w:rsid w:val="005E1ED1"/>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1DF3"/>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72D5A"/>
    <w:rsid w:val="0068156A"/>
    <w:rsid w:val="006820D6"/>
    <w:rsid w:val="00690827"/>
    <w:rsid w:val="0069169B"/>
    <w:rsid w:val="006928AE"/>
    <w:rsid w:val="006978FD"/>
    <w:rsid w:val="006A00A1"/>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A19"/>
    <w:rsid w:val="007A4B86"/>
    <w:rsid w:val="007B52C2"/>
    <w:rsid w:val="007B5485"/>
    <w:rsid w:val="007B618D"/>
    <w:rsid w:val="007B7128"/>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2D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0AC6"/>
    <w:rsid w:val="00861FE8"/>
    <w:rsid w:val="00862FB5"/>
    <w:rsid w:val="008653C8"/>
    <w:rsid w:val="00866FF1"/>
    <w:rsid w:val="00867B51"/>
    <w:rsid w:val="008747BF"/>
    <w:rsid w:val="008761B3"/>
    <w:rsid w:val="008768DA"/>
    <w:rsid w:val="00876DE1"/>
    <w:rsid w:val="00877FC2"/>
    <w:rsid w:val="008807C4"/>
    <w:rsid w:val="00883446"/>
    <w:rsid w:val="00884F6E"/>
    <w:rsid w:val="008858D4"/>
    <w:rsid w:val="00893FAC"/>
    <w:rsid w:val="008947DC"/>
    <w:rsid w:val="00897458"/>
    <w:rsid w:val="00897A99"/>
    <w:rsid w:val="008A0F67"/>
    <w:rsid w:val="008A4F44"/>
    <w:rsid w:val="008A4FF4"/>
    <w:rsid w:val="008A5408"/>
    <w:rsid w:val="008A6AAE"/>
    <w:rsid w:val="008B167F"/>
    <w:rsid w:val="008B338E"/>
    <w:rsid w:val="008B441B"/>
    <w:rsid w:val="008C434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D7"/>
    <w:rsid w:val="009329E7"/>
    <w:rsid w:val="009361B5"/>
    <w:rsid w:val="00946409"/>
    <w:rsid w:val="009537B1"/>
    <w:rsid w:val="00957DAB"/>
    <w:rsid w:val="009620D6"/>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1DAC"/>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465D"/>
    <w:rsid w:val="009D749E"/>
    <w:rsid w:val="009E284A"/>
    <w:rsid w:val="009E430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C7370"/>
    <w:rsid w:val="00AD2AC5"/>
    <w:rsid w:val="00AD7C5E"/>
    <w:rsid w:val="00AE1204"/>
    <w:rsid w:val="00AE5C54"/>
    <w:rsid w:val="00AE6BB8"/>
    <w:rsid w:val="00AF7613"/>
    <w:rsid w:val="00B03BC6"/>
    <w:rsid w:val="00B045FD"/>
    <w:rsid w:val="00B05EF7"/>
    <w:rsid w:val="00B060B7"/>
    <w:rsid w:val="00B117BB"/>
    <w:rsid w:val="00B12572"/>
    <w:rsid w:val="00B13CF0"/>
    <w:rsid w:val="00B210FD"/>
    <w:rsid w:val="00B22805"/>
    <w:rsid w:val="00B23D8B"/>
    <w:rsid w:val="00B244E6"/>
    <w:rsid w:val="00B26A9F"/>
    <w:rsid w:val="00B27994"/>
    <w:rsid w:val="00B3283D"/>
    <w:rsid w:val="00B34125"/>
    <w:rsid w:val="00B34508"/>
    <w:rsid w:val="00B34E82"/>
    <w:rsid w:val="00B36B56"/>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50A"/>
    <w:rsid w:val="00BB2907"/>
    <w:rsid w:val="00BB4717"/>
    <w:rsid w:val="00BB54EE"/>
    <w:rsid w:val="00BC435C"/>
    <w:rsid w:val="00BC7F83"/>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62A4"/>
    <w:rsid w:val="00C671D1"/>
    <w:rsid w:val="00C67AC5"/>
    <w:rsid w:val="00C72A6E"/>
    <w:rsid w:val="00C74987"/>
    <w:rsid w:val="00C82A47"/>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022B"/>
    <w:rsid w:val="00DC2DA3"/>
    <w:rsid w:val="00DC4E04"/>
    <w:rsid w:val="00DC744B"/>
    <w:rsid w:val="00DC7B21"/>
    <w:rsid w:val="00DD71BA"/>
    <w:rsid w:val="00DF321C"/>
    <w:rsid w:val="00DF323A"/>
    <w:rsid w:val="00DF5CDF"/>
    <w:rsid w:val="00DF75DB"/>
    <w:rsid w:val="00E01D67"/>
    <w:rsid w:val="00E06E54"/>
    <w:rsid w:val="00E12651"/>
    <w:rsid w:val="00E22A78"/>
    <w:rsid w:val="00E2672E"/>
    <w:rsid w:val="00E30845"/>
    <w:rsid w:val="00E30E9E"/>
    <w:rsid w:val="00E30FE5"/>
    <w:rsid w:val="00E3412C"/>
    <w:rsid w:val="00E34A4D"/>
    <w:rsid w:val="00E34C01"/>
    <w:rsid w:val="00E36A8C"/>
    <w:rsid w:val="00E41190"/>
    <w:rsid w:val="00E420A8"/>
    <w:rsid w:val="00E449B2"/>
    <w:rsid w:val="00E44FDF"/>
    <w:rsid w:val="00E4520D"/>
    <w:rsid w:val="00E479BF"/>
    <w:rsid w:val="00E50C6D"/>
    <w:rsid w:val="00E51D3B"/>
    <w:rsid w:val="00E53E2C"/>
    <w:rsid w:val="00E54080"/>
    <w:rsid w:val="00E557D3"/>
    <w:rsid w:val="00E56194"/>
    <w:rsid w:val="00E61E22"/>
    <w:rsid w:val="00E6249B"/>
    <w:rsid w:val="00E67FA1"/>
    <w:rsid w:val="00E73B21"/>
    <w:rsid w:val="00E75611"/>
    <w:rsid w:val="00E80322"/>
    <w:rsid w:val="00E804D5"/>
    <w:rsid w:val="00E826EC"/>
    <w:rsid w:val="00E82793"/>
    <w:rsid w:val="00E848B2"/>
    <w:rsid w:val="00E85D51"/>
    <w:rsid w:val="00E91F21"/>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6E7"/>
    <w:rsid w:val="00EE3AA0"/>
    <w:rsid w:val="00EE44B0"/>
    <w:rsid w:val="00EE5A62"/>
    <w:rsid w:val="00EE5D0C"/>
    <w:rsid w:val="00EE6DF6"/>
    <w:rsid w:val="00EE7818"/>
    <w:rsid w:val="00EF36F0"/>
    <w:rsid w:val="00EF3720"/>
    <w:rsid w:val="00EF729E"/>
    <w:rsid w:val="00EF746E"/>
    <w:rsid w:val="00F033A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1A6D"/>
    <w:rsid w:val="00F522D8"/>
    <w:rsid w:val="00F53500"/>
    <w:rsid w:val="00F540EE"/>
    <w:rsid w:val="00F618C9"/>
    <w:rsid w:val="00F64268"/>
    <w:rsid w:val="00F64CC5"/>
    <w:rsid w:val="00F64D27"/>
    <w:rsid w:val="00F673F7"/>
    <w:rsid w:val="00F70575"/>
    <w:rsid w:val="00F710FB"/>
    <w:rsid w:val="00F71CD8"/>
    <w:rsid w:val="00F73773"/>
    <w:rsid w:val="00F825B2"/>
    <w:rsid w:val="00F837CA"/>
    <w:rsid w:val="00F86626"/>
    <w:rsid w:val="00F86A8B"/>
    <w:rsid w:val="00F908A1"/>
    <w:rsid w:val="00F9181D"/>
    <w:rsid w:val="00F949F5"/>
    <w:rsid w:val="00F95C9E"/>
    <w:rsid w:val="00FA025B"/>
    <w:rsid w:val="00FA3B0C"/>
    <w:rsid w:val="00FA73F0"/>
    <w:rsid w:val="00FB4BF7"/>
    <w:rsid w:val="00FB4D46"/>
    <w:rsid w:val="00FB69D4"/>
    <w:rsid w:val="00FB69FF"/>
    <w:rsid w:val="00FC1274"/>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68190029">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0713836">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58385982">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676568736">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14516514">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web/grants/view-opportunity.html?oppId=27560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althwithinrea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20EA1-270C-415B-835D-C97FEA6C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2015-04-29T23:32:00Z</cp:lastPrinted>
  <dcterms:created xsi:type="dcterms:W3CDTF">2015-06-03T18:49:00Z</dcterms:created>
  <dcterms:modified xsi:type="dcterms:W3CDTF">2015-06-03T18:49:00Z</dcterms:modified>
</cp:coreProperties>
</file>