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A7" w:rsidRPr="00EA1B7A" w:rsidRDefault="00DC4E04" w:rsidP="00544ACA">
      <w:pPr>
        <w:jc w:val="center"/>
        <w:rPr>
          <w:rFonts w:asciiTheme="majorHAnsi" w:hAnsiTheme="majorHAnsi"/>
          <w:sz w:val="24"/>
          <w:szCs w:val="24"/>
        </w:rPr>
      </w:pPr>
      <w:r w:rsidRPr="00EA1B7A">
        <w:rPr>
          <w:rFonts w:asciiTheme="majorHAnsi" w:hAnsiTheme="majorHAnsi"/>
          <w:sz w:val="24"/>
          <w:szCs w:val="24"/>
        </w:rPr>
        <w:t xml:space="preserve">CLHO </w:t>
      </w:r>
      <w:r w:rsidR="00ED2BFA" w:rsidRPr="00EA1B7A">
        <w:rPr>
          <w:rFonts w:asciiTheme="majorHAnsi" w:hAnsiTheme="majorHAnsi"/>
          <w:sz w:val="24"/>
          <w:szCs w:val="24"/>
        </w:rPr>
        <w:t xml:space="preserve">Healthy Communities </w:t>
      </w:r>
      <w:r w:rsidRPr="00EA1B7A">
        <w:rPr>
          <w:rFonts w:asciiTheme="majorHAnsi" w:hAnsiTheme="majorHAnsi"/>
          <w:sz w:val="24"/>
          <w:szCs w:val="24"/>
        </w:rPr>
        <w:t xml:space="preserve">Committee Meeting </w:t>
      </w:r>
    </w:p>
    <w:p w:rsidR="009B54A7" w:rsidRPr="00EA1B7A" w:rsidRDefault="00DC4E04" w:rsidP="00A764F2">
      <w:pPr>
        <w:jc w:val="center"/>
        <w:rPr>
          <w:rFonts w:asciiTheme="majorHAnsi" w:hAnsiTheme="majorHAnsi"/>
          <w:sz w:val="24"/>
          <w:szCs w:val="24"/>
        </w:rPr>
      </w:pPr>
      <w:r w:rsidRPr="00EA1B7A">
        <w:rPr>
          <w:rFonts w:asciiTheme="majorHAnsi" w:hAnsiTheme="majorHAnsi"/>
          <w:sz w:val="24"/>
          <w:szCs w:val="24"/>
        </w:rPr>
        <w:t>Date</w:t>
      </w:r>
      <w:r w:rsidR="00ED2BFA" w:rsidRPr="00EA1B7A">
        <w:rPr>
          <w:rFonts w:asciiTheme="majorHAnsi" w:hAnsiTheme="majorHAnsi"/>
          <w:sz w:val="24"/>
          <w:szCs w:val="24"/>
        </w:rPr>
        <w:t xml:space="preserve">:  Thursday, </w:t>
      </w:r>
      <w:r w:rsidR="00053730" w:rsidRPr="00EA1B7A">
        <w:rPr>
          <w:rFonts w:asciiTheme="majorHAnsi" w:hAnsiTheme="majorHAnsi"/>
          <w:sz w:val="24"/>
          <w:szCs w:val="24"/>
        </w:rPr>
        <w:t>April 7</w:t>
      </w:r>
      <w:r w:rsidR="000F7335" w:rsidRPr="00EA1B7A">
        <w:rPr>
          <w:rFonts w:asciiTheme="majorHAnsi" w:hAnsiTheme="majorHAnsi"/>
          <w:sz w:val="24"/>
          <w:szCs w:val="24"/>
        </w:rPr>
        <w:t>, 2015</w:t>
      </w:r>
    </w:p>
    <w:p w:rsidR="00ED2BFA" w:rsidRPr="00EA1B7A" w:rsidRDefault="0013324F" w:rsidP="00A764F2">
      <w:pPr>
        <w:jc w:val="center"/>
        <w:rPr>
          <w:rFonts w:asciiTheme="majorHAnsi" w:hAnsiTheme="majorHAnsi"/>
          <w:sz w:val="24"/>
          <w:szCs w:val="24"/>
        </w:rPr>
      </w:pPr>
      <w:r w:rsidRPr="00EA1B7A">
        <w:rPr>
          <w:rFonts w:asciiTheme="majorHAnsi" w:hAnsiTheme="majorHAnsi"/>
          <w:sz w:val="24"/>
          <w:szCs w:val="24"/>
        </w:rPr>
        <w:t>1:30 – 3:3</w:t>
      </w:r>
      <w:r w:rsidR="00ED2BFA" w:rsidRPr="00EA1B7A">
        <w:rPr>
          <w:rFonts w:asciiTheme="majorHAnsi" w:hAnsiTheme="majorHAnsi"/>
          <w:sz w:val="24"/>
          <w:szCs w:val="24"/>
        </w:rPr>
        <w:t>0 pm</w:t>
      </w:r>
    </w:p>
    <w:p w:rsidR="00576C4D" w:rsidRPr="00EA1B7A" w:rsidRDefault="00576C4D" w:rsidP="00A764F2">
      <w:pPr>
        <w:jc w:val="center"/>
        <w:rPr>
          <w:rFonts w:asciiTheme="majorHAnsi" w:hAnsiTheme="majorHAnsi"/>
          <w:sz w:val="24"/>
          <w:szCs w:val="24"/>
        </w:rPr>
      </w:pPr>
      <w:r w:rsidRPr="00EA1B7A">
        <w:rPr>
          <w:rFonts w:asciiTheme="majorHAnsi" w:hAnsiTheme="majorHAnsi"/>
          <w:sz w:val="24"/>
          <w:szCs w:val="24"/>
        </w:rPr>
        <w:t xml:space="preserve">PSOB Room </w:t>
      </w:r>
      <w:r w:rsidR="000F7335" w:rsidRPr="00EA1B7A">
        <w:rPr>
          <w:rFonts w:asciiTheme="majorHAnsi" w:hAnsiTheme="majorHAnsi"/>
          <w:sz w:val="24"/>
          <w:szCs w:val="24"/>
        </w:rPr>
        <w:t>705-C</w:t>
      </w:r>
      <w:r w:rsidRPr="00EA1B7A">
        <w:rPr>
          <w:rFonts w:asciiTheme="majorHAnsi" w:hAnsiTheme="majorHAnsi"/>
          <w:sz w:val="24"/>
          <w:szCs w:val="24"/>
        </w:rPr>
        <w:t xml:space="preserve"> or </w:t>
      </w:r>
      <w:r w:rsidR="00923DB2" w:rsidRPr="00EA1B7A">
        <w:rPr>
          <w:rFonts w:asciiTheme="majorHAnsi" w:hAnsiTheme="majorHAnsi"/>
          <w:sz w:val="24"/>
          <w:szCs w:val="24"/>
        </w:rPr>
        <w:t>by</w:t>
      </w:r>
    </w:p>
    <w:p w:rsidR="008B441B" w:rsidRPr="00EA1B7A" w:rsidRDefault="00923DB2" w:rsidP="00576C4D">
      <w:pPr>
        <w:jc w:val="center"/>
        <w:rPr>
          <w:rFonts w:asciiTheme="majorHAnsi" w:hAnsiTheme="majorHAnsi" w:cstheme="minorHAnsi"/>
          <w:sz w:val="24"/>
          <w:szCs w:val="24"/>
        </w:rPr>
      </w:pPr>
      <w:r w:rsidRPr="00EA1B7A">
        <w:rPr>
          <w:rFonts w:asciiTheme="majorHAnsi" w:hAnsiTheme="majorHAnsi" w:cstheme="minorHAnsi"/>
          <w:sz w:val="24"/>
          <w:szCs w:val="24"/>
        </w:rPr>
        <w:t>Conference call number:</w:t>
      </w:r>
    </w:p>
    <w:p w:rsidR="00576C4D" w:rsidRPr="00EA1B7A" w:rsidRDefault="008B441B" w:rsidP="00576C4D">
      <w:pPr>
        <w:jc w:val="center"/>
        <w:rPr>
          <w:rFonts w:asciiTheme="majorHAnsi" w:hAnsiTheme="majorHAnsi" w:cstheme="minorHAnsi"/>
          <w:sz w:val="24"/>
          <w:szCs w:val="24"/>
        </w:rPr>
      </w:pPr>
      <w:r w:rsidRPr="00EA1B7A">
        <w:rPr>
          <w:rFonts w:asciiTheme="majorHAnsi" w:hAnsiTheme="majorHAnsi" w:cstheme="minorHAnsi"/>
          <w:sz w:val="24"/>
          <w:szCs w:val="24"/>
        </w:rPr>
        <w:t>Dial: (888) 363-4735</w:t>
      </w:r>
    </w:p>
    <w:p w:rsidR="00576C4D" w:rsidRPr="00EA1B7A" w:rsidRDefault="008B441B" w:rsidP="00576C4D">
      <w:pPr>
        <w:jc w:val="center"/>
        <w:rPr>
          <w:rFonts w:asciiTheme="majorHAnsi" w:hAnsiTheme="majorHAnsi" w:cstheme="minorHAnsi"/>
          <w:sz w:val="24"/>
          <w:szCs w:val="24"/>
        </w:rPr>
      </w:pPr>
      <w:r w:rsidRPr="00EA1B7A">
        <w:rPr>
          <w:rFonts w:asciiTheme="majorHAnsi" w:hAnsiTheme="majorHAnsi" w:cstheme="minorHAnsi"/>
          <w:sz w:val="24"/>
          <w:szCs w:val="24"/>
        </w:rPr>
        <w:t>Participant: 868346</w:t>
      </w:r>
    </w:p>
    <w:p w:rsidR="00B12572" w:rsidRPr="00EA1B7A" w:rsidRDefault="008B441B" w:rsidP="00B12572">
      <w:pPr>
        <w:jc w:val="center"/>
        <w:rPr>
          <w:rFonts w:asciiTheme="majorHAnsi" w:hAnsiTheme="majorHAnsi" w:cstheme="minorHAnsi"/>
          <w:sz w:val="24"/>
          <w:szCs w:val="24"/>
        </w:rPr>
      </w:pPr>
      <w:r w:rsidRPr="00EA1B7A">
        <w:rPr>
          <w:rFonts w:asciiTheme="majorHAnsi" w:hAnsiTheme="majorHAnsi" w:cstheme="minorHAnsi"/>
          <w:sz w:val="24"/>
          <w:szCs w:val="24"/>
        </w:rPr>
        <w:t>Host: (Portland): 862516</w:t>
      </w:r>
    </w:p>
    <w:p w:rsidR="009B54A7" w:rsidRPr="00EA1B7A" w:rsidRDefault="009B54A7" w:rsidP="00A764F2">
      <w:pPr>
        <w:jc w:val="center"/>
        <w:rPr>
          <w:rFonts w:asciiTheme="majorHAnsi" w:hAnsiTheme="majorHAnsi"/>
          <w:sz w:val="24"/>
          <w:szCs w:val="24"/>
        </w:rPr>
      </w:pPr>
    </w:p>
    <w:tbl>
      <w:tblPr>
        <w:tblW w:w="14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0"/>
        <w:gridCol w:w="18"/>
        <w:gridCol w:w="6192"/>
        <w:gridCol w:w="18"/>
        <w:gridCol w:w="3492"/>
        <w:gridCol w:w="18"/>
        <w:gridCol w:w="2052"/>
        <w:gridCol w:w="41"/>
      </w:tblGrid>
      <w:tr w:rsidR="00EA1B7A" w:rsidRPr="00EA1B7A" w:rsidTr="001C6C03">
        <w:tc>
          <w:tcPr>
            <w:tcW w:w="14621" w:type="dxa"/>
            <w:gridSpan w:val="8"/>
          </w:tcPr>
          <w:p w:rsidR="009B54A7" w:rsidRPr="00EA1B7A" w:rsidRDefault="00752C74" w:rsidP="00BD7F91">
            <w:pPr>
              <w:jc w:val="center"/>
              <w:rPr>
                <w:rFonts w:asciiTheme="majorHAnsi" w:hAnsiTheme="majorHAnsi"/>
                <w:sz w:val="24"/>
                <w:szCs w:val="24"/>
              </w:rPr>
            </w:pPr>
            <w:r w:rsidRPr="00EA1B7A">
              <w:rPr>
                <w:rFonts w:asciiTheme="majorHAnsi" w:hAnsiTheme="majorHAnsi"/>
                <w:sz w:val="24"/>
                <w:szCs w:val="24"/>
              </w:rPr>
              <w:t>Agenda</w:t>
            </w:r>
          </w:p>
        </w:tc>
      </w:tr>
      <w:tr w:rsidR="00EA1B7A" w:rsidRPr="00EA1B7A" w:rsidTr="001C6C03">
        <w:trPr>
          <w:trHeight w:val="170"/>
        </w:trPr>
        <w:tc>
          <w:tcPr>
            <w:tcW w:w="2808" w:type="dxa"/>
            <w:gridSpan w:val="2"/>
          </w:tcPr>
          <w:p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Agenda Item</w:t>
            </w:r>
          </w:p>
        </w:tc>
        <w:tc>
          <w:tcPr>
            <w:tcW w:w="6210" w:type="dxa"/>
            <w:gridSpan w:val="2"/>
          </w:tcPr>
          <w:p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Detail</w:t>
            </w:r>
          </w:p>
        </w:tc>
        <w:tc>
          <w:tcPr>
            <w:tcW w:w="3510" w:type="dxa"/>
            <w:gridSpan w:val="2"/>
          </w:tcPr>
          <w:p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Action Item</w:t>
            </w:r>
          </w:p>
        </w:tc>
        <w:tc>
          <w:tcPr>
            <w:tcW w:w="2093" w:type="dxa"/>
            <w:gridSpan w:val="2"/>
          </w:tcPr>
          <w:p w:rsidR="009B54A7" w:rsidRPr="00EA1B7A" w:rsidRDefault="009B54A7" w:rsidP="00BD7F91">
            <w:pPr>
              <w:jc w:val="center"/>
              <w:rPr>
                <w:rFonts w:asciiTheme="majorHAnsi" w:hAnsiTheme="majorHAnsi"/>
                <w:sz w:val="24"/>
                <w:szCs w:val="24"/>
              </w:rPr>
            </w:pPr>
            <w:r w:rsidRPr="00EA1B7A">
              <w:rPr>
                <w:rFonts w:asciiTheme="majorHAnsi" w:hAnsiTheme="majorHAnsi"/>
                <w:sz w:val="24"/>
                <w:szCs w:val="24"/>
              </w:rPr>
              <w:t>Responsible Party</w:t>
            </w:r>
          </w:p>
        </w:tc>
      </w:tr>
      <w:tr w:rsidR="00EA1B7A" w:rsidRPr="00EA1B7A" w:rsidTr="001C6C03">
        <w:trPr>
          <w:trHeight w:val="692"/>
        </w:trPr>
        <w:tc>
          <w:tcPr>
            <w:tcW w:w="2808" w:type="dxa"/>
            <w:gridSpan w:val="2"/>
          </w:tcPr>
          <w:p w:rsidR="00DF5CDF" w:rsidRPr="00EA1B7A" w:rsidRDefault="00783ABB" w:rsidP="00783ABB">
            <w:pPr>
              <w:rPr>
                <w:rFonts w:asciiTheme="majorHAnsi" w:hAnsiTheme="majorHAnsi"/>
                <w:sz w:val="24"/>
                <w:szCs w:val="24"/>
              </w:rPr>
            </w:pPr>
            <w:r w:rsidRPr="00EA1B7A">
              <w:rPr>
                <w:rFonts w:asciiTheme="majorHAnsi" w:hAnsiTheme="majorHAnsi"/>
                <w:sz w:val="24"/>
                <w:szCs w:val="24"/>
              </w:rPr>
              <w:t xml:space="preserve">Welcome &amp; Introductions </w:t>
            </w:r>
            <w:r w:rsidR="00BD7097" w:rsidRPr="00EA1B7A">
              <w:rPr>
                <w:rFonts w:asciiTheme="majorHAnsi" w:hAnsiTheme="majorHAnsi"/>
                <w:sz w:val="24"/>
                <w:szCs w:val="24"/>
              </w:rPr>
              <w:t>(5 min</w:t>
            </w:r>
            <w:r w:rsidR="00FF6D97">
              <w:rPr>
                <w:rFonts w:asciiTheme="majorHAnsi" w:hAnsiTheme="majorHAnsi"/>
                <w:sz w:val="24"/>
                <w:szCs w:val="24"/>
              </w:rPr>
              <w:t>) 1:30 – 1:3</w:t>
            </w:r>
            <w:r w:rsidR="00F540EE" w:rsidRPr="00EA1B7A">
              <w:rPr>
                <w:rFonts w:asciiTheme="majorHAnsi" w:hAnsiTheme="majorHAnsi"/>
                <w:sz w:val="24"/>
                <w:szCs w:val="24"/>
              </w:rPr>
              <w:t>5</w:t>
            </w:r>
          </w:p>
        </w:tc>
        <w:tc>
          <w:tcPr>
            <w:tcW w:w="6210" w:type="dxa"/>
            <w:gridSpan w:val="2"/>
          </w:tcPr>
          <w:p w:rsidR="00DF5CDF" w:rsidRPr="00EA1B7A" w:rsidRDefault="00783ABB" w:rsidP="00E6249B">
            <w:pPr>
              <w:rPr>
                <w:rFonts w:asciiTheme="majorHAnsi" w:hAnsiTheme="majorHAnsi"/>
                <w:sz w:val="24"/>
                <w:szCs w:val="24"/>
              </w:rPr>
            </w:pPr>
            <w:r w:rsidRPr="00EA1B7A">
              <w:rPr>
                <w:rFonts w:asciiTheme="majorHAnsi" w:hAnsiTheme="majorHAnsi"/>
                <w:sz w:val="24"/>
                <w:szCs w:val="24"/>
              </w:rPr>
              <w:t>Attendance</w:t>
            </w:r>
          </w:p>
        </w:tc>
        <w:tc>
          <w:tcPr>
            <w:tcW w:w="3510" w:type="dxa"/>
            <w:gridSpan w:val="2"/>
          </w:tcPr>
          <w:p w:rsidR="00E30E9E" w:rsidRPr="00EA1B7A" w:rsidRDefault="00E30E9E" w:rsidP="00E30E9E">
            <w:pPr>
              <w:rPr>
                <w:rFonts w:asciiTheme="majorHAnsi" w:hAnsiTheme="majorHAnsi"/>
                <w:sz w:val="24"/>
                <w:szCs w:val="24"/>
              </w:rPr>
            </w:pPr>
          </w:p>
        </w:tc>
        <w:tc>
          <w:tcPr>
            <w:tcW w:w="2093" w:type="dxa"/>
            <w:gridSpan w:val="2"/>
          </w:tcPr>
          <w:p w:rsidR="003A19B0" w:rsidRDefault="003A19B0" w:rsidP="003E0C0E">
            <w:pPr>
              <w:rPr>
                <w:rFonts w:asciiTheme="majorHAnsi" w:hAnsiTheme="majorHAnsi"/>
                <w:sz w:val="24"/>
                <w:szCs w:val="24"/>
              </w:rPr>
            </w:pPr>
            <w:r w:rsidRPr="00EA1B7A">
              <w:rPr>
                <w:rFonts w:asciiTheme="majorHAnsi" w:hAnsiTheme="majorHAnsi"/>
                <w:sz w:val="24"/>
                <w:szCs w:val="24"/>
              </w:rPr>
              <w:t>Jocelyn Warren</w:t>
            </w:r>
          </w:p>
          <w:p w:rsidR="00E33DB7" w:rsidRPr="00EA1B7A" w:rsidRDefault="00E33DB7" w:rsidP="003E0C0E">
            <w:pPr>
              <w:rPr>
                <w:rFonts w:asciiTheme="majorHAnsi" w:hAnsiTheme="majorHAnsi"/>
                <w:sz w:val="24"/>
                <w:szCs w:val="24"/>
              </w:rPr>
            </w:pPr>
            <w:r>
              <w:rPr>
                <w:rFonts w:asciiTheme="majorHAnsi" w:hAnsiTheme="majorHAnsi"/>
                <w:sz w:val="24"/>
                <w:szCs w:val="24"/>
              </w:rPr>
              <w:t>Tanya Phillips</w:t>
            </w:r>
          </w:p>
        </w:tc>
      </w:tr>
      <w:tr w:rsidR="00EA1B7A" w:rsidRPr="00EA1B7A" w:rsidTr="001C6C03">
        <w:trPr>
          <w:trHeight w:val="863"/>
        </w:trPr>
        <w:tc>
          <w:tcPr>
            <w:tcW w:w="2808" w:type="dxa"/>
            <w:gridSpan w:val="2"/>
          </w:tcPr>
          <w:p w:rsidR="009230DC" w:rsidRPr="00EA1B7A" w:rsidRDefault="00783ABB" w:rsidP="00783ABB">
            <w:pPr>
              <w:rPr>
                <w:rFonts w:asciiTheme="majorHAnsi" w:hAnsiTheme="majorHAnsi"/>
                <w:sz w:val="24"/>
                <w:szCs w:val="24"/>
              </w:rPr>
            </w:pPr>
            <w:r w:rsidRPr="00EA1B7A">
              <w:rPr>
                <w:rFonts w:asciiTheme="majorHAnsi" w:hAnsiTheme="majorHAnsi"/>
                <w:sz w:val="24"/>
                <w:szCs w:val="24"/>
              </w:rPr>
              <w:t>Review of Prior Month’s Minutes</w:t>
            </w:r>
            <w:r w:rsidR="00DF5CDF" w:rsidRPr="00EA1B7A">
              <w:rPr>
                <w:rFonts w:asciiTheme="majorHAnsi" w:hAnsiTheme="majorHAnsi"/>
                <w:sz w:val="24"/>
                <w:szCs w:val="24"/>
              </w:rPr>
              <w:t xml:space="preserve"> </w:t>
            </w:r>
            <w:r w:rsidRPr="00EA1B7A">
              <w:rPr>
                <w:rFonts w:asciiTheme="majorHAnsi" w:hAnsiTheme="majorHAnsi"/>
                <w:sz w:val="24"/>
                <w:szCs w:val="24"/>
              </w:rPr>
              <w:t>(5</w:t>
            </w:r>
            <w:r w:rsidR="00BD7097" w:rsidRPr="00EA1B7A">
              <w:rPr>
                <w:rFonts w:asciiTheme="majorHAnsi" w:hAnsiTheme="majorHAnsi"/>
                <w:sz w:val="24"/>
                <w:szCs w:val="24"/>
              </w:rPr>
              <w:t xml:space="preserve"> min</w:t>
            </w:r>
            <w:r w:rsidR="00DF5CDF" w:rsidRPr="00EA1B7A">
              <w:rPr>
                <w:rFonts w:asciiTheme="majorHAnsi" w:hAnsiTheme="majorHAnsi"/>
                <w:sz w:val="24"/>
                <w:szCs w:val="24"/>
              </w:rPr>
              <w:t>)</w:t>
            </w:r>
            <w:r w:rsidR="00F540EE" w:rsidRPr="00EA1B7A">
              <w:rPr>
                <w:rFonts w:asciiTheme="majorHAnsi" w:hAnsiTheme="majorHAnsi"/>
                <w:sz w:val="24"/>
                <w:szCs w:val="24"/>
              </w:rPr>
              <w:t xml:space="preserve"> </w:t>
            </w:r>
          </w:p>
          <w:p w:rsidR="00DF5CDF" w:rsidRPr="00EA1B7A" w:rsidRDefault="00F540EE" w:rsidP="00FF6D97">
            <w:pPr>
              <w:rPr>
                <w:rFonts w:asciiTheme="majorHAnsi" w:hAnsiTheme="majorHAnsi"/>
                <w:sz w:val="24"/>
                <w:szCs w:val="24"/>
              </w:rPr>
            </w:pPr>
            <w:r w:rsidRPr="00EA1B7A">
              <w:rPr>
                <w:rFonts w:asciiTheme="majorHAnsi" w:hAnsiTheme="majorHAnsi"/>
                <w:sz w:val="24"/>
                <w:szCs w:val="24"/>
              </w:rPr>
              <w:t>1:</w:t>
            </w:r>
            <w:r w:rsidR="00FF6D97">
              <w:rPr>
                <w:rFonts w:asciiTheme="majorHAnsi" w:hAnsiTheme="majorHAnsi"/>
                <w:sz w:val="24"/>
                <w:szCs w:val="24"/>
              </w:rPr>
              <w:t>3</w:t>
            </w:r>
            <w:r w:rsidRPr="00EA1B7A">
              <w:rPr>
                <w:rFonts w:asciiTheme="majorHAnsi" w:hAnsiTheme="majorHAnsi"/>
                <w:sz w:val="24"/>
                <w:szCs w:val="24"/>
              </w:rPr>
              <w:t>5 – 1:</w:t>
            </w:r>
            <w:r w:rsidR="00FF6D97">
              <w:rPr>
                <w:rFonts w:asciiTheme="majorHAnsi" w:hAnsiTheme="majorHAnsi"/>
                <w:sz w:val="24"/>
                <w:szCs w:val="24"/>
              </w:rPr>
              <w:t>4</w:t>
            </w:r>
            <w:r w:rsidR="00783ABB" w:rsidRPr="00EA1B7A">
              <w:rPr>
                <w:rFonts w:asciiTheme="majorHAnsi" w:hAnsiTheme="majorHAnsi"/>
                <w:sz w:val="24"/>
                <w:szCs w:val="24"/>
              </w:rPr>
              <w:t>0</w:t>
            </w:r>
          </w:p>
        </w:tc>
        <w:tc>
          <w:tcPr>
            <w:tcW w:w="6210" w:type="dxa"/>
            <w:gridSpan w:val="2"/>
          </w:tcPr>
          <w:p w:rsidR="00DF5CDF" w:rsidRPr="00EA1B7A" w:rsidRDefault="00561B6A" w:rsidP="005C6C0E">
            <w:pPr>
              <w:rPr>
                <w:rFonts w:asciiTheme="majorHAnsi" w:hAnsiTheme="majorHAnsi"/>
                <w:sz w:val="24"/>
                <w:szCs w:val="24"/>
              </w:rPr>
            </w:pPr>
            <w:r w:rsidRPr="00EA1B7A">
              <w:rPr>
                <w:rFonts w:asciiTheme="majorHAnsi" w:hAnsiTheme="majorHAnsi"/>
                <w:sz w:val="24"/>
                <w:szCs w:val="24"/>
              </w:rPr>
              <w:t xml:space="preserve">The Committee will have an opportunity to </w:t>
            </w:r>
            <w:r w:rsidR="00A61D28" w:rsidRPr="00EA1B7A">
              <w:rPr>
                <w:rFonts w:asciiTheme="majorHAnsi" w:hAnsiTheme="majorHAnsi"/>
                <w:sz w:val="24"/>
                <w:szCs w:val="24"/>
              </w:rPr>
              <w:t xml:space="preserve">review </w:t>
            </w:r>
            <w:r w:rsidR="00AD7C5E" w:rsidRPr="00EA1B7A">
              <w:rPr>
                <w:rFonts w:asciiTheme="majorHAnsi" w:hAnsiTheme="majorHAnsi"/>
                <w:sz w:val="24"/>
                <w:szCs w:val="24"/>
              </w:rPr>
              <w:t xml:space="preserve">minutes from the </w:t>
            </w:r>
            <w:r w:rsidR="005C6C0E" w:rsidRPr="00EA1B7A">
              <w:rPr>
                <w:rFonts w:asciiTheme="majorHAnsi" w:hAnsiTheme="majorHAnsi"/>
                <w:sz w:val="24"/>
                <w:szCs w:val="24"/>
              </w:rPr>
              <w:t>past meeting</w:t>
            </w:r>
            <w:r w:rsidR="00AD7C5E" w:rsidRPr="00EA1B7A">
              <w:rPr>
                <w:rFonts w:asciiTheme="majorHAnsi" w:hAnsiTheme="majorHAnsi"/>
                <w:sz w:val="24"/>
                <w:szCs w:val="24"/>
              </w:rPr>
              <w:t>,</w:t>
            </w:r>
            <w:r w:rsidRPr="00EA1B7A">
              <w:rPr>
                <w:rFonts w:asciiTheme="majorHAnsi" w:hAnsiTheme="majorHAnsi"/>
                <w:sz w:val="24"/>
                <w:szCs w:val="24"/>
              </w:rPr>
              <w:t xml:space="preserve"> make changes and/or adopt the minutes.</w:t>
            </w:r>
          </w:p>
        </w:tc>
        <w:tc>
          <w:tcPr>
            <w:tcW w:w="3510" w:type="dxa"/>
            <w:gridSpan w:val="2"/>
          </w:tcPr>
          <w:p w:rsidR="00E30E9E" w:rsidRPr="00EA1B7A" w:rsidRDefault="00E30E9E" w:rsidP="00FF6566">
            <w:pPr>
              <w:rPr>
                <w:rFonts w:asciiTheme="majorHAnsi" w:hAnsiTheme="majorHAnsi"/>
                <w:sz w:val="24"/>
                <w:szCs w:val="24"/>
              </w:rPr>
            </w:pPr>
          </w:p>
        </w:tc>
        <w:tc>
          <w:tcPr>
            <w:tcW w:w="2093" w:type="dxa"/>
            <w:gridSpan w:val="2"/>
          </w:tcPr>
          <w:p w:rsidR="003A19B0" w:rsidRDefault="003A19B0" w:rsidP="00354A29">
            <w:pPr>
              <w:rPr>
                <w:rFonts w:asciiTheme="majorHAnsi" w:hAnsiTheme="majorHAnsi"/>
                <w:sz w:val="24"/>
                <w:szCs w:val="24"/>
              </w:rPr>
            </w:pPr>
            <w:r w:rsidRPr="00EA1B7A">
              <w:rPr>
                <w:rFonts w:asciiTheme="majorHAnsi" w:hAnsiTheme="majorHAnsi"/>
                <w:sz w:val="24"/>
                <w:szCs w:val="24"/>
              </w:rPr>
              <w:t>Jocelyn Warren</w:t>
            </w:r>
          </w:p>
          <w:p w:rsidR="00E33DB7" w:rsidRDefault="00E33DB7" w:rsidP="00354A29">
            <w:pPr>
              <w:rPr>
                <w:rFonts w:asciiTheme="majorHAnsi" w:hAnsiTheme="majorHAnsi"/>
                <w:sz w:val="24"/>
                <w:szCs w:val="24"/>
              </w:rPr>
            </w:pPr>
            <w:r>
              <w:rPr>
                <w:rFonts w:asciiTheme="majorHAnsi" w:hAnsiTheme="majorHAnsi"/>
                <w:sz w:val="24"/>
                <w:szCs w:val="24"/>
              </w:rPr>
              <w:t>Tanya Phillips</w:t>
            </w:r>
          </w:p>
          <w:p w:rsidR="00E33DB7" w:rsidRPr="00EA1B7A" w:rsidRDefault="00E33DB7" w:rsidP="00354A29">
            <w:pPr>
              <w:rPr>
                <w:rFonts w:asciiTheme="majorHAnsi" w:hAnsiTheme="majorHAnsi"/>
                <w:sz w:val="24"/>
                <w:szCs w:val="24"/>
              </w:rPr>
            </w:pPr>
          </w:p>
        </w:tc>
      </w:tr>
      <w:tr w:rsidR="00EA1B7A" w:rsidRPr="00EA1B7A" w:rsidTr="001C6C03">
        <w:trPr>
          <w:trHeight w:val="692"/>
        </w:trPr>
        <w:tc>
          <w:tcPr>
            <w:tcW w:w="2808" w:type="dxa"/>
            <w:gridSpan w:val="2"/>
          </w:tcPr>
          <w:p w:rsidR="00053730" w:rsidRPr="00EA1B7A" w:rsidRDefault="00EA1B7A" w:rsidP="009230DC">
            <w:pPr>
              <w:rPr>
                <w:rFonts w:asciiTheme="majorHAnsi" w:hAnsiTheme="majorHAnsi"/>
                <w:sz w:val="24"/>
                <w:szCs w:val="24"/>
              </w:rPr>
            </w:pPr>
            <w:r w:rsidRPr="00EA1B7A">
              <w:rPr>
                <w:rFonts w:asciiTheme="majorHAnsi" w:hAnsiTheme="majorHAnsi"/>
                <w:sz w:val="24"/>
                <w:szCs w:val="24"/>
              </w:rPr>
              <w:t>Tobacco-free Properties Policy Evaluation in Counties (</w:t>
            </w:r>
            <w:r w:rsidR="00053730" w:rsidRPr="00EA1B7A">
              <w:rPr>
                <w:rFonts w:asciiTheme="majorHAnsi" w:hAnsiTheme="majorHAnsi"/>
                <w:sz w:val="24"/>
                <w:szCs w:val="24"/>
              </w:rPr>
              <w:t>ToPPEC</w:t>
            </w:r>
            <w:r w:rsidRPr="00EA1B7A">
              <w:rPr>
                <w:rFonts w:asciiTheme="majorHAnsi" w:hAnsiTheme="majorHAnsi"/>
                <w:sz w:val="24"/>
                <w:szCs w:val="24"/>
              </w:rPr>
              <w:t>)</w:t>
            </w:r>
            <w:r w:rsidR="00053730" w:rsidRPr="00EA1B7A">
              <w:rPr>
                <w:rFonts w:asciiTheme="majorHAnsi" w:hAnsiTheme="majorHAnsi"/>
                <w:sz w:val="24"/>
                <w:szCs w:val="24"/>
              </w:rPr>
              <w:t xml:space="preserve"> update</w:t>
            </w:r>
          </w:p>
          <w:p w:rsidR="009230DC" w:rsidRDefault="00053730" w:rsidP="009230DC">
            <w:pPr>
              <w:rPr>
                <w:rFonts w:asciiTheme="majorHAnsi" w:hAnsiTheme="majorHAnsi"/>
                <w:sz w:val="24"/>
                <w:szCs w:val="24"/>
              </w:rPr>
            </w:pPr>
            <w:r w:rsidRPr="00EA1B7A">
              <w:rPr>
                <w:rFonts w:asciiTheme="majorHAnsi" w:hAnsiTheme="majorHAnsi"/>
                <w:sz w:val="24"/>
                <w:szCs w:val="24"/>
              </w:rPr>
              <w:t>(20 min)</w:t>
            </w:r>
          </w:p>
          <w:p w:rsidR="00FF6D97" w:rsidRPr="00EA1B7A" w:rsidRDefault="00FF6D97" w:rsidP="00FF6D97">
            <w:pPr>
              <w:rPr>
                <w:rFonts w:asciiTheme="majorHAnsi" w:hAnsiTheme="majorHAnsi"/>
                <w:sz w:val="24"/>
                <w:szCs w:val="24"/>
              </w:rPr>
            </w:pPr>
            <w:r>
              <w:rPr>
                <w:rFonts w:asciiTheme="majorHAnsi" w:hAnsiTheme="majorHAnsi"/>
                <w:sz w:val="24"/>
                <w:szCs w:val="24"/>
              </w:rPr>
              <w:t>1:40 – 2:00</w:t>
            </w:r>
          </w:p>
        </w:tc>
        <w:tc>
          <w:tcPr>
            <w:tcW w:w="6210" w:type="dxa"/>
            <w:gridSpan w:val="2"/>
          </w:tcPr>
          <w:p w:rsidR="000F7335" w:rsidRPr="00EA1B7A" w:rsidRDefault="000F7335" w:rsidP="000F7335">
            <w:pPr>
              <w:rPr>
                <w:rFonts w:asciiTheme="majorHAnsi" w:hAnsiTheme="majorHAnsi"/>
                <w:sz w:val="24"/>
                <w:szCs w:val="24"/>
              </w:rPr>
            </w:pPr>
            <w:r w:rsidRPr="00EA1B7A">
              <w:rPr>
                <w:rFonts w:asciiTheme="majorHAnsi" w:hAnsiTheme="majorHAnsi"/>
                <w:b/>
                <w:sz w:val="24"/>
                <w:szCs w:val="24"/>
              </w:rPr>
              <w:t xml:space="preserve">Background: </w:t>
            </w:r>
            <w:r w:rsidR="00053730" w:rsidRPr="00EA1B7A">
              <w:rPr>
                <w:rFonts w:asciiTheme="majorHAnsi" w:hAnsiTheme="majorHAnsi"/>
                <w:sz w:val="24"/>
                <w:szCs w:val="24"/>
              </w:rPr>
              <w:t xml:space="preserve">The </w:t>
            </w:r>
            <w:r w:rsidR="00EA1B7A" w:rsidRPr="00EA1B7A">
              <w:rPr>
                <w:rFonts w:asciiTheme="majorHAnsi" w:hAnsiTheme="majorHAnsi"/>
                <w:sz w:val="24"/>
                <w:szCs w:val="24"/>
              </w:rPr>
              <w:t xml:space="preserve">Tobacco-free Properties Policy Evaluation in Counties (ToPPEC) </w:t>
            </w:r>
            <w:r w:rsidR="00053730" w:rsidRPr="00EA1B7A">
              <w:rPr>
                <w:rFonts w:asciiTheme="majorHAnsi" w:hAnsiTheme="majorHAnsi"/>
                <w:sz w:val="24"/>
                <w:szCs w:val="24"/>
              </w:rPr>
              <w:t xml:space="preserve">user panel is nearing completion of their work. </w:t>
            </w:r>
          </w:p>
          <w:p w:rsidR="00053730" w:rsidRPr="00EA1B7A" w:rsidRDefault="00053730" w:rsidP="000F7335">
            <w:pPr>
              <w:rPr>
                <w:rFonts w:asciiTheme="majorHAnsi" w:hAnsiTheme="majorHAnsi"/>
                <w:sz w:val="24"/>
                <w:szCs w:val="24"/>
              </w:rPr>
            </w:pPr>
          </w:p>
          <w:p w:rsidR="000F7335" w:rsidRPr="00EA1B7A" w:rsidRDefault="000F7335" w:rsidP="000F7335">
            <w:pPr>
              <w:rPr>
                <w:rFonts w:asciiTheme="majorHAnsi" w:hAnsiTheme="majorHAnsi"/>
                <w:sz w:val="24"/>
                <w:szCs w:val="24"/>
              </w:rPr>
            </w:pPr>
            <w:r w:rsidRPr="00EA1B7A">
              <w:rPr>
                <w:rFonts w:asciiTheme="majorHAnsi" w:hAnsiTheme="majorHAnsi"/>
                <w:b/>
                <w:sz w:val="24"/>
                <w:szCs w:val="24"/>
              </w:rPr>
              <w:t xml:space="preserve">Objective: </w:t>
            </w:r>
            <w:r w:rsidR="00053730" w:rsidRPr="00EA1B7A">
              <w:rPr>
                <w:rFonts w:asciiTheme="majorHAnsi" w:hAnsiTheme="majorHAnsi"/>
                <w:sz w:val="24"/>
                <w:szCs w:val="24"/>
              </w:rPr>
              <w:t xml:space="preserve">Provide an overview of the work of ToPPEC over the past 18 months. </w:t>
            </w:r>
          </w:p>
          <w:p w:rsidR="009230DC" w:rsidRPr="00EA1B7A" w:rsidRDefault="009230DC" w:rsidP="009230DC">
            <w:pPr>
              <w:rPr>
                <w:rFonts w:asciiTheme="majorHAnsi" w:hAnsiTheme="majorHAnsi"/>
                <w:sz w:val="24"/>
                <w:szCs w:val="24"/>
              </w:rPr>
            </w:pPr>
          </w:p>
        </w:tc>
        <w:tc>
          <w:tcPr>
            <w:tcW w:w="3510" w:type="dxa"/>
            <w:gridSpan w:val="2"/>
          </w:tcPr>
          <w:p w:rsidR="009230DC" w:rsidRPr="00EA1B7A" w:rsidRDefault="009230DC" w:rsidP="009230DC">
            <w:pPr>
              <w:rPr>
                <w:rFonts w:asciiTheme="majorHAnsi" w:hAnsiTheme="majorHAnsi"/>
                <w:sz w:val="24"/>
                <w:szCs w:val="24"/>
              </w:rPr>
            </w:pPr>
          </w:p>
        </w:tc>
        <w:tc>
          <w:tcPr>
            <w:tcW w:w="2093" w:type="dxa"/>
            <w:gridSpan w:val="2"/>
          </w:tcPr>
          <w:p w:rsidR="00E33DB7" w:rsidRDefault="00E33DB7" w:rsidP="009230DC">
            <w:pPr>
              <w:rPr>
                <w:rFonts w:asciiTheme="majorHAnsi" w:hAnsiTheme="majorHAnsi"/>
                <w:sz w:val="24"/>
                <w:szCs w:val="24"/>
              </w:rPr>
            </w:pPr>
            <w:r>
              <w:rPr>
                <w:rFonts w:asciiTheme="majorHAnsi" w:hAnsiTheme="majorHAnsi"/>
                <w:sz w:val="24"/>
                <w:szCs w:val="24"/>
              </w:rPr>
              <w:t>Kris Williams</w:t>
            </w:r>
          </w:p>
          <w:p w:rsidR="000F7335" w:rsidRPr="00EA1B7A" w:rsidRDefault="00053730" w:rsidP="009230DC">
            <w:pPr>
              <w:rPr>
                <w:rFonts w:asciiTheme="majorHAnsi" w:hAnsiTheme="majorHAnsi"/>
                <w:sz w:val="24"/>
                <w:szCs w:val="24"/>
              </w:rPr>
            </w:pPr>
            <w:r w:rsidRPr="00EA1B7A">
              <w:rPr>
                <w:rFonts w:asciiTheme="majorHAnsi" w:hAnsiTheme="majorHAnsi"/>
                <w:sz w:val="24"/>
                <w:szCs w:val="24"/>
              </w:rPr>
              <w:t>Janet Jones</w:t>
            </w:r>
          </w:p>
        </w:tc>
      </w:tr>
      <w:tr w:rsidR="00EA1B7A" w:rsidRPr="00EA1B7A" w:rsidTr="001C6C03">
        <w:trPr>
          <w:trHeight w:val="692"/>
        </w:trPr>
        <w:tc>
          <w:tcPr>
            <w:tcW w:w="2808" w:type="dxa"/>
            <w:gridSpan w:val="2"/>
          </w:tcPr>
          <w:p w:rsidR="00053730" w:rsidRPr="00EA1B7A" w:rsidRDefault="00E33DB7" w:rsidP="00AD7C5E">
            <w:pPr>
              <w:rPr>
                <w:rFonts w:asciiTheme="majorHAnsi" w:hAnsiTheme="majorHAnsi"/>
                <w:sz w:val="24"/>
                <w:szCs w:val="24"/>
              </w:rPr>
            </w:pPr>
            <w:r>
              <w:rPr>
                <w:rFonts w:asciiTheme="majorHAnsi" w:hAnsiTheme="majorHAnsi"/>
                <w:sz w:val="24"/>
                <w:szCs w:val="24"/>
              </w:rPr>
              <w:t>Cessation C</w:t>
            </w:r>
            <w:r w:rsidR="00053730" w:rsidRPr="00EA1B7A">
              <w:rPr>
                <w:rFonts w:asciiTheme="majorHAnsi" w:hAnsiTheme="majorHAnsi"/>
                <w:sz w:val="24"/>
                <w:szCs w:val="24"/>
              </w:rPr>
              <w:t xml:space="preserve">ampaigns </w:t>
            </w:r>
            <w:r>
              <w:rPr>
                <w:rFonts w:asciiTheme="majorHAnsi" w:hAnsiTheme="majorHAnsi"/>
                <w:sz w:val="24"/>
                <w:szCs w:val="24"/>
              </w:rPr>
              <w:t>Supported by Coordinated Care Organizations (CCOs)</w:t>
            </w:r>
          </w:p>
          <w:p w:rsidR="009230DC" w:rsidRDefault="00053730" w:rsidP="00AD7C5E">
            <w:pPr>
              <w:rPr>
                <w:rFonts w:asciiTheme="majorHAnsi" w:hAnsiTheme="majorHAnsi"/>
                <w:sz w:val="24"/>
                <w:szCs w:val="24"/>
              </w:rPr>
            </w:pPr>
            <w:r w:rsidRPr="00EA1B7A">
              <w:rPr>
                <w:rFonts w:asciiTheme="majorHAnsi" w:hAnsiTheme="majorHAnsi"/>
                <w:sz w:val="24"/>
                <w:szCs w:val="24"/>
              </w:rPr>
              <w:t>(20 min)</w:t>
            </w:r>
          </w:p>
          <w:p w:rsidR="00FF6D97" w:rsidRPr="00EA1B7A" w:rsidRDefault="00FF6D97" w:rsidP="00AD7C5E">
            <w:pPr>
              <w:rPr>
                <w:rFonts w:asciiTheme="majorHAnsi" w:hAnsiTheme="majorHAnsi"/>
                <w:sz w:val="24"/>
                <w:szCs w:val="24"/>
              </w:rPr>
            </w:pPr>
            <w:r>
              <w:rPr>
                <w:rFonts w:asciiTheme="majorHAnsi" w:hAnsiTheme="majorHAnsi"/>
                <w:sz w:val="24"/>
                <w:szCs w:val="24"/>
              </w:rPr>
              <w:t>2:00 – 2:20</w:t>
            </w:r>
          </w:p>
        </w:tc>
        <w:tc>
          <w:tcPr>
            <w:tcW w:w="6210" w:type="dxa"/>
            <w:gridSpan w:val="2"/>
          </w:tcPr>
          <w:p w:rsidR="00E441BB" w:rsidRPr="00EA1B7A" w:rsidRDefault="00E441BB" w:rsidP="00E441BB">
            <w:pPr>
              <w:rPr>
                <w:rFonts w:asciiTheme="majorHAnsi" w:hAnsiTheme="majorHAnsi"/>
                <w:sz w:val="24"/>
                <w:szCs w:val="24"/>
              </w:rPr>
            </w:pPr>
            <w:r w:rsidRPr="00EA1B7A">
              <w:rPr>
                <w:rFonts w:asciiTheme="majorHAnsi" w:hAnsiTheme="majorHAnsi"/>
                <w:b/>
                <w:sz w:val="24"/>
                <w:szCs w:val="24"/>
              </w:rPr>
              <w:t>Background:</w:t>
            </w:r>
            <w:r w:rsidRPr="00EA1B7A">
              <w:rPr>
                <w:rFonts w:asciiTheme="majorHAnsi" w:hAnsiTheme="majorHAnsi"/>
                <w:sz w:val="24"/>
                <w:szCs w:val="24"/>
              </w:rPr>
              <w:t xml:space="preserve"> </w:t>
            </w:r>
            <w:r w:rsidR="00E33DB7">
              <w:rPr>
                <w:rFonts w:asciiTheme="majorHAnsi" w:hAnsiTheme="majorHAnsi"/>
                <w:sz w:val="24"/>
                <w:szCs w:val="24"/>
              </w:rPr>
              <w:t>Oregon Health Authority (OHA)</w:t>
            </w:r>
            <w:r w:rsidR="008B1C26">
              <w:rPr>
                <w:rFonts w:asciiTheme="majorHAnsi" w:hAnsiTheme="majorHAnsi"/>
                <w:sz w:val="24"/>
                <w:szCs w:val="24"/>
              </w:rPr>
              <w:t xml:space="preserve"> is working with Lane County and Trillium</w:t>
            </w:r>
            <w:r w:rsidR="00E33DB7">
              <w:rPr>
                <w:rFonts w:asciiTheme="majorHAnsi" w:hAnsiTheme="majorHAnsi"/>
                <w:sz w:val="24"/>
                <w:szCs w:val="24"/>
              </w:rPr>
              <w:t xml:space="preserve"> Community Health Plan CCO</w:t>
            </w:r>
            <w:r w:rsidR="008B1C26">
              <w:rPr>
                <w:rFonts w:asciiTheme="majorHAnsi" w:hAnsiTheme="majorHAnsi"/>
                <w:sz w:val="24"/>
                <w:szCs w:val="24"/>
              </w:rPr>
              <w:t xml:space="preserve"> to implement an evidence-based, tobacco cessation media campaign in Lane County.  OHA is </w:t>
            </w:r>
            <w:r w:rsidR="00E33DB7">
              <w:rPr>
                <w:rFonts w:asciiTheme="majorHAnsi" w:hAnsiTheme="majorHAnsi"/>
                <w:sz w:val="24"/>
                <w:szCs w:val="24"/>
              </w:rPr>
              <w:t xml:space="preserve">pursuing a similar agreement </w:t>
            </w:r>
            <w:r w:rsidR="008B1C26">
              <w:rPr>
                <w:rFonts w:asciiTheme="majorHAnsi" w:hAnsiTheme="majorHAnsi"/>
                <w:sz w:val="24"/>
                <w:szCs w:val="24"/>
              </w:rPr>
              <w:t>with Deschutes County and PacificSource</w:t>
            </w:r>
            <w:r w:rsidR="00E33DB7">
              <w:rPr>
                <w:rFonts w:asciiTheme="majorHAnsi" w:hAnsiTheme="majorHAnsi"/>
                <w:sz w:val="24"/>
                <w:szCs w:val="24"/>
              </w:rPr>
              <w:t xml:space="preserve"> Community Solutions CCO</w:t>
            </w:r>
            <w:r w:rsidR="008B1C26">
              <w:rPr>
                <w:rFonts w:asciiTheme="majorHAnsi" w:hAnsiTheme="majorHAnsi"/>
                <w:sz w:val="24"/>
                <w:szCs w:val="24"/>
              </w:rPr>
              <w:t>.</w:t>
            </w:r>
          </w:p>
          <w:p w:rsidR="00600806" w:rsidRPr="00EA1B7A" w:rsidRDefault="00600806" w:rsidP="008C6C2B">
            <w:pPr>
              <w:pStyle w:val="NormalWeb"/>
              <w:spacing w:before="0" w:beforeAutospacing="0" w:after="0" w:afterAutospacing="0"/>
              <w:rPr>
                <w:rFonts w:asciiTheme="majorHAnsi" w:hAnsiTheme="majorHAnsi" w:cs="Times"/>
              </w:rPr>
            </w:pPr>
          </w:p>
          <w:p w:rsidR="00E441BB" w:rsidRPr="00EA1B7A" w:rsidRDefault="00E441BB" w:rsidP="008A532A">
            <w:pPr>
              <w:rPr>
                <w:rFonts w:asciiTheme="majorHAnsi" w:hAnsiTheme="majorHAnsi" w:cs="Times"/>
              </w:rPr>
            </w:pPr>
            <w:r w:rsidRPr="00EA1B7A">
              <w:rPr>
                <w:rFonts w:asciiTheme="majorHAnsi" w:hAnsiTheme="majorHAnsi"/>
                <w:b/>
                <w:sz w:val="24"/>
                <w:szCs w:val="24"/>
              </w:rPr>
              <w:t>Objective:</w:t>
            </w:r>
            <w:r w:rsidRPr="00EA1B7A">
              <w:rPr>
                <w:rFonts w:asciiTheme="majorHAnsi" w:hAnsiTheme="majorHAnsi"/>
                <w:sz w:val="24"/>
                <w:szCs w:val="24"/>
              </w:rPr>
              <w:t xml:space="preserve"> </w:t>
            </w:r>
            <w:r w:rsidR="008B1C26">
              <w:rPr>
                <w:rFonts w:asciiTheme="majorHAnsi" w:hAnsiTheme="majorHAnsi"/>
                <w:sz w:val="24"/>
                <w:szCs w:val="24"/>
              </w:rPr>
              <w:t>Discuss potential models for moving similar work forward with other CCOs.</w:t>
            </w:r>
          </w:p>
        </w:tc>
        <w:tc>
          <w:tcPr>
            <w:tcW w:w="3510" w:type="dxa"/>
            <w:gridSpan w:val="2"/>
          </w:tcPr>
          <w:p w:rsidR="00600806" w:rsidRPr="00EA1B7A" w:rsidRDefault="00600806" w:rsidP="00A61D28">
            <w:pPr>
              <w:rPr>
                <w:rFonts w:asciiTheme="majorHAnsi" w:hAnsiTheme="majorHAnsi"/>
                <w:sz w:val="24"/>
                <w:szCs w:val="24"/>
              </w:rPr>
            </w:pPr>
          </w:p>
        </w:tc>
        <w:tc>
          <w:tcPr>
            <w:tcW w:w="2093" w:type="dxa"/>
            <w:gridSpan w:val="2"/>
          </w:tcPr>
          <w:p w:rsidR="00053730" w:rsidRPr="00EA1B7A" w:rsidRDefault="00053730" w:rsidP="009247C3">
            <w:pPr>
              <w:rPr>
                <w:rFonts w:asciiTheme="majorHAnsi" w:hAnsiTheme="majorHAnsi"/>
                <w:sz w:val="24"/>
                <w:szCs w:val="24"/>
              </w:rPr>
            </w:pPr>
            <w:r w:rsidRPr="00EA1B7A">
              <w:rPr>
                <w:rFonts w:asciiTheme="majorHAnsi" w:hAnsiTheme="majorHAnsi"/>
                <w:sz w:val="24"/>
                <w:szCs w:val="24"/>
              </w:rPr>
              <w:t>Tom Kuhn</w:t>
            </w:r>
          </w:p>
          <w:p w:rsidR="00600806" w:rsidRPr="00EA1B7A" w:rsidRDefault="00053730" w:rsidP="009247C3">
            <w:pPr>
              <w:rPr>
                <w:rFonts w:asciiTheme="majorHAnsi" w:hAnsiTheme="majorHAnsi"/>
                <w:sz w:val="24"/>
                <w:szCs w:val="24"/>
              </w:rPr>
            </w:pPr>
            <w:r w:rsidRPr="00EA1B7A">
              <w:rPr>
                <w:rFonts w:asciiTheme="majorHAnsi" w:hAnsiTheme="majorHAnsi"/>
                <w:sz w:val="24"/>
                <w:szCs w:val="24"/>
              </w:rPr>
              <w:t>Holly Heiberg</w:t>
            </w:r>
          </w:p>
        </w:tc>
      </w:tr>
      <w:tr w:rsidR="001C6C03" w:rsidRPr="00C6494F" w:rsidTr="001C6C03">
        <w:trPr>
          <w:gridAfter w:val="1"/>
          <w:wAfter w:w="41" w:type="dxa"/>
          <w:trHeight w:val="890"/>
        </w:trPr>
        <w:tc>
          <w:tcPr>
            <w:tcW w:w="2790" w:type="dxa"/>
          </w:tcPr>
          <w:p w:rsidR="001C6C03" w:rsidRPr="00C6494F" w:rsidRDefault="001C6C03" w:rsidP="00FF6D97">
            <w:pPr>
              <w:rPr>
                <w:rFonts w:asciiTheme="majorHAnsi" w:hAnsiTheme="majorHAnsi"/>
                <w:sz w:val="24"/>
                <w:szCs w:val="24"/>
              </w:rPr>
            </w:pPr>
            <w:r w:rsidRPr="00C6494F">
              <w:rPr>
                <w:rFonts w:asciiTheme="majorHAnsi" w:hAnsiTheme="majorHAnsi"/>
                <w:sz w:val="24"/>
                <w:szCs w:val="24"/>
              </w:rPr>
              <w:t xml:space="preserve">Prevention integration update (10 min) </w:t>
            </w:r>
            <w:r w:rsidR="00FF6D97">
              <w:rPr>
                <w:rFonts w:asciiTheme="majorHAnsi" w:hAnsiTheme="majorHAnsi"/>
                <w:sz w:val="24"/>
                <w:szCs w:val="24"/>
              </w:rPr>
              <w:t>2:20 – 2:30</w:t>
            </w:r>
          </w:p>
        </w:tc>
        <w:tc>
          <w:tcPr>
            <w:tcW w:w="6210" w:type="dxa"/>
            <w:gridSpan w:val="2"/>
          </w:tcPr>
          <w:p w:rsidR="001C6C03" w:rsidRPr="00C6494F" w:rsidRDefault="001C6C03" w:rsidP="00A77CE9">
            <w:pPr>
              <w:rPr>
                <w:rFonts w:asciiTheme="majorHAnsi" w:hAnsiTheme="majorHAnsi" w:cs="Calibri"/>
                <w:sz w:val="24"/>
                <w:szCs w:val="24"/>
              </w:rPr>
            </w:pPr>
            <w:r w:rsidRPr="00C6494F">
              <w:rPr>
                <w:rFonts w:asciiTheme="majorHAnsi" w:hAnsiTheme="majorHAnsi" w:cs="Calibri"/>
                <w:b/>
                <w:bCs/>
                <w:sz w:val="24"/>
                <w:szCs w:val="24"/>
              </w:rPr>
              <w:t xml:space="preserve">Background:  </w:t>
            </w:r>
            <w:r w:rsidRPr="00C6494F">
              <w:rPr>
                <w:rFonts w:asciiTheme="majorHAnsi" w:hAnsiTheme="majorHAnsi" w:cstheme="minorHAnsi"/>
                <w:sz w:val="24"/>
                <w:szCs w:val="24"/>
              </w:rPr>
              <w:t xml:space="preserve">As part of an OHA effort to create a coordinated, efficient system to reduce substance use disorders and tobacco use among Oregonians, interventions for tobacco, alcohol and other drugs </w:t>
            </w:r>
            <w:r w:rsidRPr="00C6494F">
              <w:rPr>
                <w:rFonts w:asciiTheme="majorHAnsi" w:hAnsiTheme="majorHAnsi" w:cstheme="minorHAnsi"/>
                <w:sz w:val="24"/>
                <w:szCs w:val="24"/>
              </w:rPr>
              <w:lastRenderedPageBreak/>
              <w:t xml:space="preserve">prevention, cessation and regulation are being integrated and now reside in the Public Health Division. </w:t>
            </w:r>
          </w:p>
          <w:p w:rsidR="001C6C03" w:rsidRPr="00C6494F" w:rsidRDefault="001C6C03" w:rsidP="00A77CE9">
            <w:pPr>
              <w:ind w:left="720" w:hanging="720"/>
              <w:rPr>
                <w:rFonts w:asciiTheme="majorHAnsi" w:hAnsiTheme="majorHAnsi" w:cs="Calibri"/>
                <w:sz w:val="24"/>
                <w:szCs w:val="24"/>
              </w:rPr>
            </w:pPr>
          </w:p>
          <w:p w:rsidR="001C6C03" w:rsidRPr="00C6494F" w:rsidRDefault="001C6C03" w:rsidP="00A77CE9">
            <w:pPr>
              <w:rPr>
                <w:rFonts w:asciiTheme="majorHAnsi" w:hAnsiTheme="majorHAnsi" w:cs="Calibri"/>
                <w:sz w:val="24"/>
                <w:szCs w:val="24"/>
              </w:rPr>
            </w:pPr>
            <w:r w:rsidRPr="00C6494F">
              <w:rPr>
                <w:rFonts w:asciiTheme="majorHAnsi" w:hAnsiTheme="majorHAnsi" w:cs="Calibri"/>
                <w:b/>
                <w:bCs/>
                <w:sz w:val="24"/>
                <w:szCs w:val="24"/>
              </w:rPr>
              <w:t xml:space="preserve">Objective: </w:t>
            </w:r>
            <w:r w:rsidRPr="00C6494F">
              <w:rPr>
                <w:rFonts w:asciiTheme="majorHAnsi" w:hAnsiTheme="majorHAnsi" w:cs="Calibri"/>
                <w:bCs/>
                <w:sz w:val="24"/>
                <w:szCs w:val="24"/>
              </w:rPr>
              <w:t xml:space="preserve">Provide an update on ongoing prevention integration efforts. </w:t>
            </w:r>
          </w:p>
          <w:p w:rsidR="001C6C03" w:rsidRPr="00C6494F" w:rsidRDefault="001C6C03" w:rsidP="00A77CE9">
            <w:pPr>
              <w:rPr>
                <w:rFonts w:asciiTheme="majorHAnsi" w:hAnsiTheme="majorHAnsi"/>
                <w:sz w:val="24"/>
                <w:szCs w:val="24"/>
              </w:rPr>
            </w:pPr>
          </w:p>
        </w:tc>
        <w:tc>
          <w:tcPr>
            <w:tcW w:w="3510" w:type="dxa"/>
            <w:gridSpan w:val="2"/>
          </w:tcPr>
          <w:p w:rsidR="001C6C03" w:rsidRPr="00C6494F" w:rsidRDefault="001C6C03" w:rsidP="00A77CE9">
            <w:pPr>
              <w:rPr>
                <w:rFonts w:asciiTheme="majorHAnsi" w:hAnsiTheme="majorHAnsi"/>
                <w:sz w:val="24"/>
                <w:szCs w:val="24"/>
              </w:rPr>
            </w:pPr>
          </w:p>
        </w:tc>
        <w:tc>
          <w:tcPr>
            <w:tcW w:w="2070" w:type="dxa"/>
            <w:gridSpan w:val="2"/>
          </w:tcPr>
          <w:p w:rsidR="001C6C03" w:rsidRPr="00C6494F" w:rsidRDefault="001C6C03" w:rsidP="00A77CE9">
            <w:pPr>
              <w:rPr>
                <w:rFonts w:asciiTheme="majorHAnsi" w:hAnsiTheme="majorHAnsi"/>
                <w:sz w:val="24"/>
                <w:szCs w:val="24"/>
              </w:rPr>
            </w:pPr>
            <w:r w:rsidRPr="00C6494F">
              <w:rPr>
                <w:rFonts w:asciiTheme="majorHAnsi" w:hAnsiTheme="majorHAnsi"/>
                <w:sz w:val="24"/>
                <w:szCs w:val="24"/>
              </w:rPr>
              <w:t>Karen Girard</w:t>
            </w:r>
          </w:p>
        </w:tc>
      </w:tr>
      <w:tr w:rsidR="00087277" w:rsidRPr="00C6494F" w:rsidTr="005724E1">
        <w:trPr>
          <w:gridAfter w:val="1"/>
          <w:wAfter w:w="41" w:type="dxa"/>
          <w:trHeight w:val="890"/>
        </w:trPr>
        <w:tc>
          <w:tcPr>
            <w:tcW w:w="2790" w:type="dxa"/>
          </w:tcPr>
          <w:p w:rsidR="00087277" w:rsidRPr="00C6494F" w:rsidRDefault="00087277" w:rsidP="005724E1">
            <w:pPr>
              <w:rPr>
                <w:rFonts w:asciiTheme="majorHAnsi" w:hAnsiTheme="majorHAnsi"/>
                <w:sz w:val="24"/>
                <w:szCs w:val="24"/>
              </w:rPr>
            </w:pPr>
            <w:r>
              <w:rPr>
                <w:rFonts w:asciiTheme="majorHAnsi" w:hAnsiTheme="majorHAnsi"/>
                <w:sz w:val="24"/>
                <w:szCs w:val="24"/>
              </w:rPr>
              <w:lastRenderedPageBreak/>
              <w:t>CLHO Healthy Communities retreat (15 min) 2:30 – 2:45</w:t>
            </w:r>
          </w:p>
        </w:tc>
        <w:tc>
          <w:tcPr>
            <w:tcW w:w="6210" w:type="dxa"/>
            <w:gridSpan w:val="2"/>
          </w:tcPr>
          <w:p w:rsidR="00087277" w:rsidRPr="00C6494F" w:rsidRDefault="00087277" w:rsidP="005724E1">
            <w:pPr>
              <w:rPr>
                <w:rFonts w:asciiTheme="majorHAnsi" w:hAnsiTheme="majorHAnsi" w:cs="Calibri"/>
                <w:sz w:val="24"/>
                <w:szCs w:val="24"/>
              </w:rPr>
            </w:pPr>
            <w:r w:rsidRPr="00C6494F">
              <w:rPr>
                <w:rFonts w:asciiTheme="majorHAnsi" w:hAnsiTheme="majorHAnsi" w:cs="Calibri"/>
                <w:b/>
                <w:bCs/>
                <w:sz w:val="24"/>
                <w:szCs w:val="24"/>
              </w:rPr>
              <w:t xml:space="preserve">Background:  </w:t>
            </w:r>
            <w:r>
              <w:rPr>
                <w:rFonts w:asciiTheme="majorHAnsi" w:hAnsiTheme="majorHAnsi" w:cstheme="minorHAnsi"/>
                <w:sz w:val="24"/>
                <w:szCs w:val="24"/>
              </w:rPr>
              <w:t xml:space="preserve">The CLHO Healthy Communities committee has traditionally held </w:t>
            </w:r>
            <w:r w:rsidR="005D5F95">
              <w:rPr>
                <w:rFonts w:asciiTheme="majorHAnsi" w:hAnsiTheme="majorHAnsi" w:cstheme="minorHAnsi"/>
                <w:sz w:val="24"/>
                <w:szCs w:val="24"/>
              </w:rPr>
              <w:t>an in-person retreat annually during the summer</w:t>
            </w:r>
            <w:r>
              <w:rPr>
                <w:rFonts w:asciiTheme="majorHAnsi" w:hAnsiTheme="majorHAnsi" w:cstheme="minorHAnsi"/>
                <w:sz w:val="24"/>
                <w:szCs w:val="24"/>
              </w:rPr>
              <w:t xml:space="preserve">. </w:t>
            </w:r>
            <w:r w:rsidRPr="00C6494F">
              <w:rPr>
                <w:rFonts w:asciiTheme="majorHAnsi" w:hAnsiTheme="majorHAnsi" w:cstheme="minorHAnsi"/>
                <w:sz w:val="24"/>
                <w:szCs w:val="24"/>
              </w:rPr>
              <w:t xml:space="preserve"> </w:t>
            </w:r>
          </w:p>
          <w:p w:rsidR="00087277" w:rsidRPr="00C6494F" w:rsidRDefault="00087277" w:rsidP="005724E1">
            <w:pPr>
              <w:ind w:left="720" w:hanging="720"/>
              <w:rPr>
                <w:rFonts w:asciiTheme="majorHAnsi" w:hAnsiTheme="majorHAnsi" w:cs="Calibri"/>
                <w:sz w:val="24"/>
                <w:szCs w:val="24"/>
              </w:rPr>
            </w:pPr>
          </w:p>
          <w:p w:rsidR="00087277" w:rsidRPr="00C6494F" w:rsidRDefault="00087277" w:rsidP="005724E1">
            <w:pPr>
              <w:rPr>
                <w:rFonts w:asciiTheme="majorHAnsi" w:hAnsiTheme="majorHAnsi" w:cs="Calibri"/>
                <w:sz w:val="24"/>
                <w:szCs w:val="24"/>
              </w:rPr>
            </w:pPr>
            <w:r w:rsidRPr="00C6494F">
              <w:rPr>
                <w:rFonts w:asciiTheme="majorHAnsi" w:hAnsiTheme="majorHAnsi" w:cs="Calibri"/>
                <w:b/>
                <w:bCs/>
                <w:sz w:val="24"/>
                <w:szCs w:val="24"/>
              </w:rPr>
              <w:t xml:space="preserve">Objective: </w:t>
            </w:r>
            <w:r w:rsidR="005D5F95">
              <w:rPr>
                <w:rFonts w:asciiTheme="majorHAnsi" w:hAnsiTheme="majorHAnsi" w:cs="Calibri"/>
                <w:bCs/>
                <w:sz w:val="24"/>
                <w:szCs w:val="24"/>
              </w:rPr>
              <w:t>Begin</w:t>
            </w:r>
            <w:r>
              <w:rPr>
                <w:rFonts w:asciiTheme="majorHAnsi" w:hAnsiTheme="majorHAnsi" w:cs="Calibri"/>
                <w:bCs/>
                <w:sz w:val="24"/>
                <w:szCs w:val="24"/>
              </w:rPr>
              <w:t xml:space="preserve"> </w:t>
            </w:r>
            <w:r w:rsidR="005D5F95">
              <w:rPr>
                <w:rFonts w:asciiTheme="majorHAnsi" w:hAnsiTheme="majorHAnsi" w:cs="Calibri"/>
                <w:bCs/>
                <w:sz w:val="24"/>
                <w:szCs w:val="24"/>
              </w:rPr>
              <w:t>to consider</w:t>
            </w:r>
            <w:r>
              <w:rPr>
                <w:rFonts w:asciiTheme="majorHAnsi" w:hAnsiTheme="majorHAnsi" w:cs="Calibri"/>
                <w:bCs/>
                <w:sz w:val="24"/>
                <w:szCs w:val="24"/>
              </w:rPr>
              <w:t xml:space="preserve"> possible topics for the retreat. </w:t>
            </w:r>
            <w:r w:rsidRPr="00C6494F">
              <w:rPr>
                <w:rFonts w:asciiTheme="majorHAnsi" w:hAnsiTheme="majorHAnsi" w:cs="Calibri"/>
                <w:bCs/>
                <w:sz w:val="24"/>
                <w:szCs w:val="24"/>
              </w:rPr>
              <w:t xml:space="preserve"> </w:t>
            </w:r>
          </w:p>
          <w:p w:rsidR="00087277" w:rsidRPr="00C6494F" w:rsidRDefault="00087277" w:rsidP="005724E1">
            <w:pPr>
              <w:rPr>
                <w:rFonts w:asciiTheme="majorHAnsi" w:hAnsiTheme="majorHAnsi"/>
                <w:sz w:val="24"/>
                <w:szCs w:val="24"/>
              </w:rPr>
            </w:pPr>
          </w:p>
        </w:tc>
        <w:tc>
          <w:tcPr>
            <w:tcW w:w="3510" w:type="dxa"/>
            <w:gridSpan w:val="2"/>
          </w:tcPr>
          <w:p w:rsidR="00087277" w:rsidRPr="00C6494F" w:rsidRDefault="00087277" w:rsidP="005724E1">
            <w:pPr>
              <w:rPr>
                <w:rFonts w:asciiTheme="majorHAnsi" w:hAnsiTheme="majorHAnsi"/>
                <w:sz w:val="24"/>
                <w:szCs w:val="24"/>
              </w:rPr>
            </w:pPr>
          </w:p>
        </w:tc>
        <w:tc>
          <w:tcPr>
            <w:tcW w:w="2070" w:type="dxa"/>
            <w:gridSpan w:val="2"/>
          </w:tcPr>
          <w:p w:rsidR="00087277" w:rsidRDefault="00087277" w:rsidP="00087277">
            <w:pPr>
              <w:rPr>
                <w:rFonts w:asciiTheme="majorHAnsi" w:hAnsiTheme="majorHAnsi"/>
                <w:sz w:val="24"/>
                <w:szCs w:val="24"/>
              </w:rPr>
            </w:pPr>
            <w:r w:rsidRPr="00EA1B7A">
              <w:rPr>
                <w:rFonts w:asciiTheme="majorHAnsi" w:hAnsiTheme="majorHAnsi"/>
                <w:sz w:val="24"/>
                <w:szCs w:val="24"/>
              </w:rPr>
              <w:t>Jocelyn Warren</w:t>
            </w:r>
          </w:p>
          <w:p w:rsidR="00087277" w:rsidRPr="00C6494F" w:rsidRDefault="00087277" w:rsidP="00087277">
            <w:pPr>
              <w:rPr>
                <w:rFonts w:asciiTheme="majorHAnsi" w:hAnsiTheme="majorHAnsi"/>
                <w:sz w:val="24"/>
                <w:szCs w:val="24"/>
              </w:rPr>
            </w:pPr>
            <w:r>
              <w:rPr>
                <w:rFonts w:asciiTheme="majorHAnsi" w:hAnsiTheme="majorHAnsi"/>
                <w:sz w:val="24"/>
                <w:szCs w:val="24"/>
              </w:rPr>
              <w:t>Tanya Phillips</w:t>
            </w:r>
          </w:p>
        </w:tc>
      </w:tr>
      <w:tr w:rsidR="00EA1B7A" w:rsidRPr="00EA1B7A" w:rsidTr="001C6C03">
        <w:trPr>
          <w:trHeight w:val="278"/>
        </w:trPr>
        <w:tc>
          <w:tcPr>
            <w:tcW w:w="2808" w:type="dxa"/>
            <w:gridSpan w:val="2"/>
          </w:tcPr>
          <w:p w:rsidR="00663EBC" w:rsidRPr="00EA1B7A" w:rsidRDefault="00264C03" w:rsidP="00087277">
            <w:pPr>
              <w:rPr>
                <w:rFonts w:asciiTheme="majorHAnsi" w:hAnsiTheme="majorHAnsi"/>
                <w:sz w:val="24"/>
                <w:szCs w:val="24"/>
              </w:rPr>
            </w:pPr>
            <w:r w:rsidRPr="00EA1B7A">
              <w:rPr>
                <w:rFonts w:asciiTheme="majorHAnsi" w:hAnsiTheme="majorHAnsi"/>
                <w:sz w:val="24"/>
                <w:szCs w:val="24"/>
              </w:rPr>
              <w:t>Updates &amp; Announcements (10 min)</w:t>
            </w:r>
            <w:r w:rsidR="00724511" w:rsidRPr="00EA1B7A">
              <w:rPr>
                <w:rFonts w:asciiTheme="majorHAnsi" w:hAnsiTheme="majorHAnsi"/>
                <w:sz w:val="24"/>
                <w:szCs w:val="24"/>
              </w:rPr>
              <w:t xml:space="preserve"> </w:t>
            </w:r>
            <w:r w:rsidR="00E33DB7">
              <w:rPr>
                <w:rFonts w:asciiTheme="majorHAnsi" w:hAnsiTheme="majorHAnsi"/>
                <w:sz w:val="24"/>
                <w:szCs w:val="24"/>
              </w:rPr>
              <w:t>2:</w:t>
            </w:r>
            <w:r w:rsidR="00087277">
              <w:rPr>
                <w:rFonts w:asciiTheme="majorHAnsi" w:hAnsiTheme="majorHAnsi"/>
                <w:sz w:val="24"/>
                <w:szCs w:val="24"/>
              </w:rPr>
              <w:t>45 – 2:55</w:t>
            </w:r>
          </w:p>
        </w:tc>
        <w:tc>
          <w:tcPr>
            <w:tcW w:w="6210" w:type="dxa"/>
            <w:gridSpan w:val="2"/>
          </w:tcPr>
          <w:p w:rsidR="003A2926" w:rsidRPr="003A2926" w:rsidRDefault="003A2926" w:rsidP="00535B28">
            <w:pPr>
              <w:rPr>
                <w:rFonts w:asciiTheme="majorHAnsi" w:hAnsiTheme="majorHAnsi"/>
                <w:sz w:val="24"/>
                <w:szCs w:val="24"/>
              </w:rPr>
            </w:pPr>
          </w:p>
          <w:p w:rsidR="00535B28" w:rsidRPr="00535B28" w:rsidRDefault="00535B28" w:rsidP="00535B28">
            <w:pPr>
              <w:rPr>
                <w:rFonts w:asciiTheme="majorHAnsi" w:hAnsiTheme="majorHAnsi"/>
                <w:sz w:val="24"/>
                <w:szCs w:val="24"/>
              </w:rPr>
            </w:pPr>
          </w:p>
          <w:p w:rsidR="00535B28" w:rsidRPr="00EA1B7A" w:rsidRDefault="00535B28" w:rsidP="0001214E">
            <w:pPr>
              <w:rPr>
                <w:rFonts w:asciiTheme="majorHAnsi" w:hAnsiTheme="majorHAnsi"/>
                <w:sz w:val="24"/>
                <w:szCs w:val="24"/>
              </w:rPr>
            </w:pPr>
          </w:p>
        </w:tc>
        <w:tc>
          <w:tcPr>
            <w:tcW w:w="3510" w:type="dxa"/>
            <w:gridSpan w:val="2"/>
          </w:tcPr>
          <w:p w:rsidR="00663EBC" w:rsidRPr="00EA1B7A" w:rsidRDefault="00663EBC" w:rsidP="0001214E">
            <w:pPr>
              <w:rPr>
                <w:rFonts w:asciiTheme="majorHAnsi" w:hAnsiTheme="majorHAnsi"/>
                <w:sz w:val="24"/>
                <w:szCs w:val="24"/>
              </w:rPr>
            </w:pPr>
          </w:p>
        </w:tc>
        <w:tc>
          <w:tcPr>
            <w:tcW w:w="2093" w:type="dxa"/>
            <w:gridSpan w:val="2"/>
          </w:tcPr>
          <w:p w:rsidR="00663EBC" w:rsidRPr="00EA1B7A" w:rsidRDefault="00663EBC" w:rsidP="0001214E">
            <w:pPr>
              <w:rPr>
                <w:rFonts w:asciiTheme="majorHAnsi" w:hAnsiTheme="majorHAnsi"/>
                <w:sz w:val="24"/>
                <w:szCs w:val="24"/>
              </w:rPr>
            </w:pPr>
          </w:p>
        </w:tc>
      </w:tr>
      <w:tr w:rsidR="00EA1B7A" w:rsidRPr="00EA1B7A" w:rsidTr="001C6C03">
        <w:trPr>
          <w:trHeight w:val="278"/>
        </w:trPr>
        <w:tc>
          <w:tcPr>
            <w:tcW w:w="2808" w:type="dxa"/>
            <w:gridSpan w:val="2"/>
          </w:tcPr>
          <w:p w:rsidR="00264C03" w:rsidRPr="00EA1B7A" w:rsidRDefault="00264C03" w:rsidP="0001214E">
            <w:pPr>
              <w:rPr>
                <w:rFonts w:asciiTheme="majorHAnsi" w:hAnsiTheme="majorHAnsi"/>
                <w:sz w:val="24"/>
                <w:szCs w:val="24"/>
              </w:rPr>
            </w:pPr>
            <w:r w:rsidRPr="00EA1B7A">
              <w:rPr>
                <w:rFonts w:asciiTheme="majorHAnsi" w:hAnsiTheme="majorHAnsi"/>
                <w:sz w:val="24"/>
                <w:szCs w:val="24"/>
              </w:rPr>
              <w:t>Adjourn</w:t>
            </w:r>
          </w:p>
        </w:tc>
        <w:tc>
          <w:tcPr>
            <w:tcW w:w="6210" w:type="dxa"/>
            <w:gridSpan w:val="2"/>
          </w:tcPr>
          <w:p w:rsidR="00264C03" w:rsidRPr="00EA1B7A" w:rsidRDefault="00264C03" w:rsidP="0001214E">
            <w:pPr>
              <w:rPr>
                <w:rFonts w:asciiTheme="majorHAnsi" w:hAnsiTheme="majorHAnsi"/>
                <w:sz w:val="24"/>
                <w:szCs w:val="24"/>
              </w:rPr>
            </w:pPr>
          </w:p>
        </w:tc>
        <w:tc>
          <w:tcPr>
            <w:tcW w:w="3510" w:type="dxa"/>
            <w:gridSpan w:val="2"/>
          </w:tcPr>
          <w:p w:rsidR="00264C03" w:rsidRPr="00EA1B7A" w:rsidRDefault="00264C03" w:rsidP="0001214E">
            <w:pPr>
              <w:rPr>
                <w:rFonts w:asciiTheme="majorHAnsi" w:hAnsiTheme="majorHAnsi"/>
                <w:sz w:val="24"/>
                <w:szCs w:val="24"/>
              </w:rPr>
            </w:pPr>
          </w:p>
        </w:tc>
        <w:tc>
          <w:tcPr>
            <w:tcW w:w="2093" w:type="dxa"/>
            <w:gridSpan w:val="2"/>
          </w:tcPr>
          <w:p w:rsidR="00264C03" w:rsidRPr="00EA1B7A" w:rsidRDefault="00264C03" w:rsidP="0001214E">
            <w:pPr>
              <w:rPr>
                <w:rFonts w:asciiTheme="majorHAnsi" w:hAnsiTheme="majorHAnsi"/>
                <w:sz w:val="24"/>
                <w:szCs w:val="24"/>
              </w:rPr>
            </w:pPr>
          </w:p>
        </w:tc>
      </w:tr>
    </w:tbl>
    <w:p w:rsidR="009B1451" w:rsidRPr="00EA1B7A" w:rsidRDefault="009B1451" w:rsidP="00E36A8C">
      <w:pPr>
        <w:rPr>
          <w:rFonts w:asciiTheme="majorHAnsi" w:hAnsiTheme="majorHAnsi"/>
          <w:sz w:val="24"/>
          <w:szCs w:val="24"/>
          <w:u w:val="single"/>
        </w:rPr>
      </w:pPr>
    </w:p>
    <w:p w:rsidR="00663EBC" w:rsidRPr="00EA1B7A" w:rsidRDefault="00BD7097" w:rsidP="00E36A8C">
      <w:pPr>
        <w:rPr>
          <w:rFonts w:asciiTheme="majorHAnsi" w:hAnsiTheme="majorHAnsi"/>
          <w:sz w:val="24"/>
          <w:szCs w:val="24"/>
          <w:u w:val="single"/>
        </w:rPr>
      </w:pPr>
      <w:r w:rsidRPr="00EA1B7A">
        <w:rPr>
          <w:rFonts w:asciiTheme="majorHAnsi" w:hAnsiTheme="majorHAnsi"/>
          <w:sz w:val="24"/>
          <w:szCs w:val="24"/>
          <w:u w:val="single"/>
        </w:rPr>
        <w:t>Future</w:t>
      </w:r>
      <w:r w:rsidR="00D0653B" w:rsidRPr="00EA1B7A">
        <w:rPr>
          <w:rFonts w:asciiTheme="majorHAnsi" w:hAnsiTheme="majorHAnsi"/>
          <w:sz w:val="24"/>
          <w:szCs w:val="24"/>
          <w:u w:val="single"/>
        </w:rPr>
        <w:t xml:space="preserve"> Topics: </w:t>
      </w:r>
    </w:p>
    <w:p w:rsidR="00225301" w:rsidRPr="00EA1B7A" w:rsidRDefault="00225301" w:rsidP="00225301">
      <w:pPr>
        <w:rPr>
          <w:rFonts w:asciiTheme="majorHAnsi" w:hAnsiTheme="majorHAnsi"/>
          <w:sz w:val="24"/>
          <w:szCs w:val="24"/>
          <w:u w:val="single"/>
        </w:rPr>
      </w:pPr>
    </w:p>
    <w:p w:rsidR="00225301" w:rsidRPr="00EA1B7A" w:rsidRDefault="00225301" w:rsidP="00225301">
      <w:pPr>
        <w:rPr>
          <w:rFonts w:asciiTheme="majorHAnsi" w:hAnsiTheme="majorHAnsi"/>
          <w:sz w:val="24"/>
          <w:szCs w:val="24"/>
          <w:u w:val="single"/>
        </w:rPr>
      </w:pPr>
    </w:p>
    <w:p w:rsidR="00C662A4" w:rsidRDefault="00E36A8C" w:rsidP="00690827">
      <w:pPr>
        <w:rPr>
          <w:rFonts w:asciiTheme="majorHAnsi" w:hAnsiTheme="majorHAnsi"/>
          <w:sz w:val="24"/>
          <w:szCs w:val="24"/>
          <w:u w:val="single"/>
        </w:rPr>
      </w:pPr>
      <w:r w:rsidRPr="00EA1B7A">
        <w:rPr>
          <w:rFonts w:asciiTheme="majorHAnsi" w:hAnsiTheme="majorHAnsi"/>
          <w:sz w:val="24"/>
          <w:szCs w:val="24"/>
          <w:u w:val="single"/>
        </w:rPr>
        <w:t xml:space="preserve">Announcements: </w:t>
      </w:r>
    </w:p>
    <w:p w:rsidR="000E34AC" w:rsidRPr="00535B28" w:rsidRDefault="000E34AC" w:rsidP="000E34AC">
      <w:pPr>
        <w:rPr>
          <w:rFonts w:asciiTheme="majorHAnsi" w:hAnsiTheme="majorHAnsi"/>
          <w:sz w:val="24"/>
          <w:szCs w:val="24"/>
        </w:rPr>
      </w:pPr>
      <w:r w:rsidRPr="00535B28">
        <w:rPr>
          <w:rFonts w:asciiTheme="majorHAnsi" w:hAnsiTheme="majorHAnsi"/>
          <w:b/>
          <w:sz w:val="24"/>
          <w:szCs w:val="24"/>
        </w:rPr>
        <w:t>Packaging and Labeling Rule</w:t>
      </w:r>
      <w:r>
        <w:rPr>
          <w:rFonts w:asciiTheme="majorHAnsi" w:hAnsiTheme="majorHAnsi"/>
          <w:b/>
          <w:sz w:val="24"/>
          <w:szCs w:val="24"/>
        </w:rPr>
        <w:t>s for Inhalant Delivery Systems</w:t>
      </w:r>
      <w:r w:rsidRPr="00535B28">
        <w:rPr>
          <w:rFonts w:asciiTheme="majorHAnsi" w:hAnsiTheme="majorHAnsi"/>
          <w:sz w:val="24"/>
          <w:szCs w:val="24"/>
        </w:rPr>
        <w:t xml:space="preserve"> </w:t>
      </w:r>
    </w:p>
    <w:p w:rsidR="000E34AC" w:rsidRPr="00535B28" w:rsidRDefault="000E34AC" w:rsidP="000E34AC">
      <w:pPr>
        <w:rPr>
          <w:rFonts w:asciiTheme="majorHAnsi" w:hAnsiTheme="majorHAnsi"/>
          <w:sz w:val="24"/>
          <w:szCs w:val="24"/>
        </w:rPr>
      </w:pPr>
      <w:r w:rsidRPr="00535B28">
        <w:rPr>
          <w:rFonts w:asciiTheme="majorHAnsi" w:hAnsiTheme="majorHAnsi"/>
          <w:sz w:val="24"/>
          <w:szCs w:val="24"/>
        </w:rPr>
        <w:t>The rule establish</w:t>
      </w:r>
      <w:r>
        <w:rPr>
          <w:rFonts w:asciiTheme="majorHAnsi" w:hAnsiTheme="majorHAnsi"/>
          <w:sz w:val="24"/>
          <w:szCs w:val="24"/>
        </w:rPr>
        <w:t>es</w:t>
      </w:r>
      <w:r w:rsidRPr="00535B28">
        <w:rPr>
          <w:rFonts w:asciiTheme="majorHAnsi" w:hAnsiTheme="majorHAnsi"/>
          <w:sz w:val="24"/>
          <w:szCs w:val="24"/>
        </w:rPr>
        <w:t xml:space="preserve"> packaging standards which includes prohibitions on “packaging that is attractive to minors” and requirements for child-resistant packaging. </w:t>
      </w:r>
    </w:p>
    <w:p w:rsidR="000E34AC" w:rsidRPr="00535B28" w:rsidRDefault="000E34AC" w:rsidP="000E34AC">
      <w:pPr>
        <w:rPr>
          <w:rFonts w:asciiTheme="majorHAnsi" w:hAnsiTheme="majorHAnsi"/>
          <w:sz w:val="24"/>
          <w:szCs w:val="24"/>
        </w:rPr>
      </w:pPr>
    </w:p>
    <w:p w:rsidR="000E34AC" w:rsidRPr="00535B28" w:rsidRDefault="000E34AC" w:rsidP="000E34AC">
      <w:pPr>
        <w:rPr>
          <w:rFonts w:asciiTheme="majorHAnsi" w:hAnsiTheme="majorHAnsi"/>
          <w:sz w:val="24"/>
          <w:szCs w:val="24"/>
        </w:rPr>
      </w:pPr>
      <w:r w:rsidRPr="00535B28">
        <w:rPr>
          <w:rFonts w:asciiTheme="majorHAnsi" w:hAnsiTheme="majorHAnsi"/>
          <w:sz w:val="24"/>
          <w:szCs w:val="24"/>
        </w:rPr>
        <w:t>The rule also requires display labels that conform to design criteria (e.g., size and font) and contain certain language intended to inform consumers about the content of these products and their health risks.</w:t>
      </w:r>
    </w:p>
    <w:p w:rsidR="000E34AC" w:rsidRPr="00535B28" w:rsidRDefault="000E34AC" w:rsidP="000E34AC">
      <w:pPr>
        <w:rPr>
          <w:rFonts w:asciiTheme="majorHAnsi" w:hAnsiTheme="majorHAnsi"/>
          <w:sz w:val="24"/>
          <w:szCs w:val="24"/>
        </w:rPr>
      </w:pPr>
    </w:p>
    <w:p w:rsidR="000E34AC" w:rsidRDefault="000E34AC" w:rsidP="000E34AC">
      <w:pPr>
        <w:rPr>
          <w:rFonts w:asciiTheme="majorHAnsi" w:hAnsiTheme="majorHAnsi"/>
          <w:sz w:val="24"/>
          <w:szCs w:val="24"/>
        </w:rPr>
      </w:pPr>
      <w:r w:rsidRPr="00535B28">
        <w:rPr>
          <w:rFonts w:asciiTheme="majorHAnsi" w:hAnsiTheme="majorHAnsi"/>
          <w:sz w:val="24"/>
          <w:szCs w:val="24"/>
        </w:rPr>
        <w:t xml:space="preserve">The proposed rules </w:t>
      </w:r>
      <w:r>
        <w:rPr>
          <w:rFonts w:asciiTheme="majorHAnsi" w:hAnsiTheme="majorHAnsi"/>
          <w:sz w:val="24"/>
          <w:szCs w:val="24"/>
        </w:rPr>
        <w:t>were</w:t>
      </w:r>
      <w:r w:rsidRPr="00535B28">
        <w:rPr>
          <w:rFonts w:asciiTheme="majorHAnsi" w:hAnsiTheme="majorHAnsi"/>
          <w:sz w:val="24"/>
          <w:szCs w:val="24"/>
        </w:rPr>
        <w:t xml:space="preserve"> filed on Tuesday 3/15 with the Secretary of State (SOS). The public comment period </w:t>
      </w:r>
      <w:r>
        <w:rPr>
          <w:rFonts w:asciiTheme="majorHAnsi" w:hAnsiTheme="majorHAnsi"/>
          <w:sz w:val="24"/>
          <w:szCs w:val="24"/>
        </w:rPr>
        <w:t>is</w:t>
      </w:r>
      <w:r w:rsidRPr="00535B28">
        <w:rPr>
          <w:rFonts w:asciiTheme="majorHAnsi" w:hAnsiTheme="majorHAnsi"/>
          <w:sz w:val="24"/>
          <w:szCs w:val="24"/>
        </w:rPr>
        <w:t xml:space="preserve"> from 3/15/16 to 4/29/16. Written comments can be sent to </w:t>
      </w:r>
      <w:hyperlink r:id="rId8" w:history="1">
        <w:r w:rsidRPr="00535B28">
          <w:rPr>
            <w:rFonts w:asciiTheme="majorHAnsi" w:hAnsiTheme="majorHAnsi"/>
            <w:sz w:val="24"/>
            <w:szCs w:val="24"/>
          </w:rPr>
          <w:t>publichealth.rules@state.or.us</w:t>
        </w:r>
      </w:hyperlink>
      <w:r w:rsidRPr="00535B28">
        <w:rPr>
          <w:rFonts w:asciiTheme="majorHAnsi" w:hAnsiTheme="majorHAnsi"/>
          <w:sz w:val="24"/>
          <w:szCs w:val="24"/>
        </w:rPr>
        <w:t xml:space="preserve"> until 4/29 at 5 pm. </w:t>
      </w:r>
    </w:p>
    <w:p w:rsidR="000E34AC" w:rsidRDefault="000E34AC" w:rsidP="000E34AC">
      <w:pPr>
        <w:rPr>
          <w:rFonts w:asciiTheme="majorHAnsi" w:hAnsiTheme="majorHAnsi"/>
          <w:sz w:val="24"/>
          <w:szCs w:val="24"/>
        </w:rPr>
      </w:pPr>
    </w:p>
    <w:p w:rsidR="000E34AC" w:rsidRPr="00535B28" w:rsidRDefault="000E34AC" w:rsidP="000E34AC">
      <w:pPr>
        <w:rPr>
          <w:rFonts w:asciiTheme="majorHAnsi" w:hAnsiTheme="majorHAnsi"/>
          <w:sz w:val="24"/>
          <w:szCs w:val="24"/>
        </w:rPr>
      </w:pPr>
      <w:r w:rsidRPr="00535B28">
        <w:rPr>
          <w:rFonts w:asciiTheme="majorHAnsi" w:hAnsiTheme="majorHAnsi"/>
          <w:sz w:val="24"/>
          <w:szCs w:val="24"/>
        </w:rPr>
        <w:t xml:space="preserve">There are three public hearings scheduled in April (4/18-Bend, 4/20-Portland, </w:t>
      </w:r>
      <w:r w:rsidR="007B71DC">
        <w:rPr>
          <w:rFonts w:asciiTheme="majorHAnsi" w:hAnsiTheme="majorHAnsi"/>
          <w:sz w:val="24"/>
          <w:szCs w:val="24"/>
        </w:rPr>
        <w:t xml:space="preserve">and </w:t>
      </w:r>
      <w:r w:rsidRPr="00535B28">
        <w:rPr>
          <w:rFonts w:asciiTheme="majorHAnsi" w:hAnsiTheme="majorHAnsi"/>
          <w:sz w:val="24"/>
          <w:szCs w:val="24"/>
        </w:rPr>
        <w:t xml:space="preserve">4/22-Medford). </w:t>
      </w:r>
    </w:p>
    <w:p w:rsidR="000E34AC" w:rsidRPr="00535B28" w:rsidRDefault="000E34AC" w:rsidP="000E34AC">
      <w:pPr>
        <w:rPr>
          <w:rFonts w:asciiTheme="majorHAnsi" w:hAnsiTheme="majorHAnsi"/>
          <w:sz w:val="24"/>
          <w:szCs w:val="24"/>
        </w:rPr>
      </w:pPr>
    </w:p>
    <w:p w:rsidR="007B71DC" w:rsidRDefault="000E34AC" w:rsidP="000E34AC">
      <w:pPr>
        <w:rPr>
          <w:rFonts w:asciiTheme="majorHAnsi" w:hAnsiTheme="majorHAnsi"/>
          <w:sz w:val="24"/>
          <w:szCs w:val="24"/>
        </w:rPr>
      </w:pPr>
      <w:r w:rsidRPr="00535B28">
        <w:rPr>
          <w:rFonts w:asciiTheme="majorHAnsi" w:hAnsiTheme="majorHAnsi"/>
          <w:sz w:val="24"/>
          <w:szCs w:val="24"/>
        </w:rPr>
        <w:t xml:space="preserve">After the public comment period, the Public Health Division will complete written responses to parties who testified in writing or orally and will revise the rules, as necessary. The final rules will be filed with the SOS on May 16, 2016. </w:t>
      </w:r>
      <w:r>
        <w:rPr>
          <w:rFonts w:asciiTheme="majorHAnsi" w:hAnsiTheme="majorHAnsi"/>
          <w:sz w:val="24"/>
          <w:szCs w:val="24"/>
        </w:rPr>
        <w:t xml:space="preserve">The effective date is June 1, 2016. </w:t>
      </w:r>
    </w:p>
    <w:p w:rsidR="007B71DC" w:rsidRDefault="007B71DC" w:rsidP="000E34AC">
      <w:pPr>
        <w:rPr>
          <w:rFonts w:asciiTheme="majorHAnsi" w:hAnsiTheme="majorHAnsi"/>
          <w:sz w:val="24"/>
          <w:szCs w:val="24"/>
        </w:rPr>
      </w:pPr>
    </w:p>
    <w:p w:rsidR="000E34AC" w:rsidRPr="00535B28" w:rsidRDefault="007B71DC" w:rsidP="000E34AC">
      <w:pPr>
        <w:rPr>
          <w:rFonts w:asciiTheme="majorHAnsi" w:hAnsiTheme="majorHAnsi"/>
          <w:sz w:val="24"/>
          <w:szCs w:val="24"/>
        </w:rPr>
      </w:pPr>
      <w:r w:rsidRPr="00535B28">
        <w:rPr>
          <w:rFonts w:asciiTheme="majorHAnsi" w:hAnsiTheme="majorHAnsi"/>
          <w:sz w:val="24"/>
          <w:szCs w:val="24"/>
        </w:rPr>
        <w:t xml:space="preserve">Please </w:t>
      </w:r>
      <w:r>
        <w:rPr>
          <w:rFonts w:asciiTheme="majorHAnsi" w:hAnsiTheme="majorHAnsi"/>
          <w:sz w:val="24"/>
          <w:szCs w:val="24"/>
        </w:rPr>
        <w:t xml:space="preserve">contact Kim LaCroix at </w:t>
      </w:r>
      <w:hyperlink r:id="rId9" w:history="1">
        <w:r w:rsidRPr="00165049">
          <w:rPr>
            <w:rStyle w:val="Hyperlink"/>
            <w:rFonts w:asciiTheme="majorHAnsi" w:hAnsiTheme="majorHAnsi"/>
            <w:sz w:val="24"/>
            <w:szCs w:val="24"/>
          </w:rPr>
          <w:t>Kimberly.w.lacroix@state.or.us</w:t>
        </w:r>
      </w:hyperlink>
      <w:r>
        <w:rPr>
          <w:rFonts w:asciiTheme="majorHAnsi" w:hAnsiTheme="majorHAnsi"/>
          <w:sz w:val="24"/>
          <w:szCs w:val="24"/>
        </w:rPr>
        <w:t xml:space="preserve"> and 971-673-0606 for additional information. </w:t>
      </w:r>
    </w:p>
    <w:p w:rsidR="000E34AC" w:rsidRDefault="000E34AC" w:rsidP="000E34AC">
      <w:pPr>
        <w:rPr>
          <w:rFonts w:asciiTheme="majorHAnsi" w:hAnsiTheme="majorHAnsi"/>
          <w:sz w:val="24"/>
          <w:szCs w:val="24"/>
        </w:rPr>
      </w:pPr>
    </w:p>
    <w:p w:rsidR="000E34AC" w:rsidRDefault="000E34AC" w:rsidP="000E34AC">
      <w:pPr>
        <w:rPr>
          <w:rFonts w:asciiTheme="majorHAnsi" w:hAnsiTheme="majorHAnsi"/>
          <w:b/>
          <w:sz w:val="24"/>
          <w:szCs w:val="24"/>
        </w:rPr>
      </w:pPr>
      <w:r>
        <w:rPr>
          <w:rFonts w:asciiTheme="majorHAnsi" w:hAnsiTheme="majorHAnsi"/>
          <w:b/>
          <w:sz w:val="24"/>
          <w:szCs w:val="24"/>
        </w:rPr>
        <w:t xml:space="preserve">Rules related to </w:t>
      </w:r>
      <w:r w:rsidRPr="00535B28">
        <w:rPr>
          <w:rFonts w:asciiTheme="majorHAnsi" w:hAnsiTheme="majorHAnsi"/>
          <w:b/>
          <w:sz w:val="24"/>
          <w:szCs w:val="24"/>
        </w:rPr>
        <w:t xml:space="preserve">Reducing the Sale of Tobacco Products and Inhalant Delivery Systems to Minors </w:t>
      </w:r>
    </w:p>
    <w:p w:rsidR="000E34AC" w:rsidRPr="00535B28" w:rsidRDefault="000E34AC" w:rsidP="000E34AC">
      <w:pPr>
        <w:tabs>
          <w:tab w:val="right" w:pos="-2430"/>
          <w:tab w:val="left" w:pos="360"/>
        </w:tabs>
        <w:rPr>
          <w:rFonts w:asciiTheme="majorHAnsi" w:hAnsiTheme="majorHAnsi"/>
          <w:sz w:val="24"/>
          <w:szCs w:val="24"/>
        </w:rPr>
      </w:pPr>
      <w:r w:rsidRPr="00535B28">
        <w:rPr>
          <w:rFonts w:asciiTheme="majorHAnsi" w:hAnsiTheme="majorHAnsi"/>
          <w:sz w:val="24"/>
          <w:szCs w:val="24"/>
        </w:rPr>
        <w:t xml:space="preserve">This rulemaking adds inhalant delivery systems to requirements specifying the location </w:t>
      </w:r>
      <w:r>
        <w:rPr>
          <w:rFonts w:asciiTheme="majorHAnsi" w:hAnsiTheme="majorHAnsi"/>
          <w:sz w:val="24"/>
          <w:szCs w:val="24"/>
        </w:rPr>
        <w:t xml:space="preserve">of </w:t>
      </w:r>
      <w:r w:rsidRPr="00535B28">
        <w:rPr>
          <w:rFonts w:asciiTheme="majorHAnsi" w:hAnsiTheme="majorHAnsi"/>
          <w:sz w:val="24"/>
          <w:szCs w:val="24"/>
        </w:rPr>
        <w:t xml:space="preserve">tobacco products within a retail store and to enforcement activities for implementing sales to minors regulations. </w:t>
      </w:r>
      <w:r>
        <w:rPr>
          <w:rFonts w:asciiTheme="majorHAnsi" w:hAnsiTheme="majorHAnsi"/>
          <w:sz w:val="24"/>
          <w:szCs w:val="24"/>
        </w:rPr>
        <w:t>The rule also r</w:t>
      </w:r>
      <w:r w:rsidRPr="00535B28">
        <w:rPr>
          <w:rFonts w:asciiTheme="majorHAnsi" w:hAnsiTheme="majorHAnsi"/>
          <w:sz w:val="24"/>
          <w:szCs w:val="24"/>
        </w:rPr>
        <w:t>equires tobacco and inhalant delivery sy</w:t>
      </w:r>
      <w:r>
        <w:rPr>
          <w:rFonts w:asciiTheme="majorHAnsi" w:hAnsiTheme="majorHAnsi"/>
          <w:sz w:val="24"/>
          <w:szCs w:val="24"/>
        </w:rPr>
        <w:t xml:space="preserve">stem retailers to post a notice </w:t>
      </w:r>
      <w:r w:rsidRPr="00535B28">
        <w:rPr>
          <w:rFonts w:asciiTheme="majorHAnsi" w:hAnsiTheme="majorHAnsi"/>
          <w:sz w:val="24"/>
          <w:szCs w:val="24"/>
        </w:rPr>
        <w:t xml:space="preserve">substantially similar to the content of </w:t>
      </w:r>
      <w:r>
        <w:rPr>
          <w:rFonts w:asciiTheme="majorHAnsi" w:hAnsiTheme="majorHAnsi"/>
          <w:sz w:val="24"/>
          <w:szCs w:val="24"/>
        </w:rPr>
        <w:t xml:space="preserve">the </w:t>
      </w:r>
      <w:r w:rsidRPr="00535B28">
        <w:rPr>
          <w:rFonts w:asciiTheme="majorHAnsi" w:hAnsiTheme="majorHAnsi"/>
          <w:sz w:val="24"/>
          <w:szCs w:val="24"/>
        </w:rPr>
        <w:t>notice as defined in rule.</w:t>
      </w:r>
    </w:p>
    <w:p w:rsidR="000E34AC" w:rsidRDefault="000E34AC" w:rsidP="000E34AC">
      <w:pPr>
        <w:rPr>
          <w:rFonts w:asciiTheme="majorHAnsi" w:hAnsiTheme="majorHAnsi"/>
          <w:sz w:val="24"/>
          <w:szCs w:val="24"/>
        </w:rPr>
      </w:pPr>
    </w:p>
    <w:p w:rsidR="000E34AC" w:rsidRDefault="000E34AC" w:rsidP="000E34AC">
      <w:pPr>
        <w:rPr>
          <w:rFonts w:asciiTheme="majorHAnsi" w:hAnsiTheme="majorHAnsi"/>
          <w:sz w:val="24"/>
          <w:szCs w:val="24"/>
        </w:rPr>
      </w:pPr>
      <w:r>
        <w:rPr>
          <w:rFonts w:asciiTheme="majorHAnsi" w:hAnsiTheme="majorHAnsi"/>
          <w:sz w:val="24"/>
          <w:szCs w:val="24"/>
        </w:rPr>
        <w:t xml:space="preserve">A Rules Advisory Committee Meeting (RAC) meeting was held on 3/17. </w:t>
      </w:r>
      <w:r w:rsidRPr="00535B28">
        <w:rPr>
          <w:rFonts w:asciiTheme="majorHAnsi" w:hAnsiTheme="majorHAnsi"/>
          <w:sz w:val="24"/>
          <w:szCs w:val="24"/>
        </w:rPr>
        <w:t xml:space="preserve">The proposed rules will </w:t>
      </w:r>
      <w:r>
        <w:rPr>
          <w:rFonts w:asciiTheme="majorHAnsi" w:hAnsiTheme="majorHAnsi"/>
          <w:sz w:val="24"/>
          <w:szCs w:val="24"/>
        </w:rPr>
        <w:t>be</w:t>
      </w:r>
      <w:r w:rsidRPr="00535B28">
        <w:rPr>
          <w:rFonts w:asciiTheme="majorHAnsi" w:hAnsiTheme="majorHAnsi"/>
          <w:sz w:val="24"/>
          <w:szCs w:val="24"/>
        </w:rPr>
        <w:t xml:space="preserve"> filed on </w:t>
      </w:r>
      <w:r>
        <w:rPr>
          <w:rFonts w:asciiTheme="majorHAnsi" w:hAnsiTheme="majorHAnsi"/>
          <w:sz w:val="24"/>
          <w:szCs w:val="24"/>
        </w:rPr>
        <w:t>4</w:t>
      </w:r>
      <w:r w:rsidRPr="00535B28">
        <w:rPr>
          <w:rFonts w:asciiTheme="majorHAnsi" w:hAnsiTheme="majorHAnsi"/>
          <w:sz w:val="24"/>
          <w:szCs w:val="24"/>
        </w:rPr>
        <w:t>/15 with the SOS. The</w:t>
      </w:r>
      <w:r>
        <w:rPr>
          <w:rFonts w:asciiTheme="majorHAnsi" w:hAnsiTheme="majorHAnsi"/>
          <w:sz w:val="24"/>
          <w:szCs w:val="24"/>
        </w:rPr>
        <w:t xml:space="preserve"> public comment period is from 4/15/16 to 5/30</w:t>
      </w:r>
      <w:r w:rsidRPr="00535B28">
        <w:rPr>
          <w:rFonts w:asciiTheme="majorHAnsi" w:hAnsiTheme="majorHAnsi"/>
          <w:sz w:val="24"/>
          <w:szCs w:val="24"/>
        </w:rPr>
        <w:t>/16. Written comments can be sent to public</w:t>
      </w:r>
      <w:r>
        <w:rPr>
          <w:rFonts w:asciiTheme="majorHAnsi" w:hAnsiTheme="majorHAnsi"/>
          <w:sz w:val="24"/>
          <w:szCs w:val="24"/>
        </w:rPr>
        <w:t>health.rules@state.or.us until 5</w:t>
      </w:r>
      <w:r w:rsidRPr="00535B28">
        <w:rPr>
          <w:rFonts w:asciiTheme="majorHAnsi" w:hAnsiTheme="majorHAnsi"/>
          <w:sz w:val="24"/>
          <w:szCs w:val="24"/>
        </w:rPr>
        <w:t>/</w:t>
      </w:r>
      <w:r>
        <w:rPr>
          <w:rFonts w:asciiTheme="majorHAnsi" w:hAnsiTheme="majorHAnsi"/>
          <w:sz w:val="24"/>
          <w:szCs w:val="24"/>
        </w:rPr>
        <w:t xml:space="preserve">30 at 5 pm. </w:t>
      </w:r>
      <w:r w:rsidRPr="00535B28">
        <w:rPr>
          <w:rFonts w:asciiTheme="majorHAnsi" w:hAnsiTheme="majorHAnsi"/>
          <w:sz w:val="24"/>
          <w:szCs w:val="24"/>
        </w:rPr>
        <w:t xml:space="preserve">There </w:t>
      </w:r>
      <w:r>
        <w:rPr>
          <w:rFonts w:asciiTheme="majorHAnsi" w:hAnsiTheme="majorHAnsi"/>
          <w:sz w:val="24"/>
          <w:szCs w:val="24"/>
        </w:rPr>
        <w:t>is one</w:t>
      </w:r>
      <w:r w:rsidRPr="00535B28">
        <w:rPr>
          <w:rFonts w:asciiTheme="majorHAnsi" w:hAnsiTheme="majorHAnsi"/>
          <w:sz w:val="24"/>
          <w:szCs w:val="24"/>
        </w:rPr>
        <w:t xml:space="preserve"> public hearings scheduled </w:t>
      </w:r>
      <w:r>
        <w:rPr>
          <w:rFonts w:asciiTheme="majorHAnsi" w:hAnsiTheme="majorHAnsi"/>
          <w:sz w:val="24"/>
          <w:szCs w:val="24"/>
        </w:rPr>
        <w:t xml:space="preserve">for May 16. </w:t>
      </w:r>
    </w:p>
    <w:p w:rsidR="000E34AC" w:rsidRDefault="000E34AC" w:rsidP="000E34AC">
      <w:pPr>
        <w:rPr>
          <w:rFonts w:asciiTheme="majorHAnsi" w:hAnsiTheme="majorHAnsi"/>
          <w:sz w:val="24"/>
          <w:szCs w:val="24"/>
        </w:rPr>
      </w:pPr>
    </w:p>
    <w:p w:rsidR="000E34AC" w:rsidRPr="00535B28" w:rsidRDefault="000E34AC" w:rsidP="000E34AC">
      <w:pPr>
        <w:rPr>
          <w:rFonts w:asciiTheme="majorHAnsi" w:hAnsiTheme="majorHAnsi"/>
          <w:sz w:val="24"/>
          <w:szCs w:val="24"/>
        </w:rPr>
      </w:pPr>
      <w:r w:rsidRPr="00535B28">
        <w:rPr>
          <w:rFonts w:asciiTheme="majorHAnsi" w:hAnsiTheme="majorHAnsi"/>
          <w:sz w:val="24"/>
          <w:szCs w:val="24"/>
        </w:rPr>
        <w:t xml:space="preserve">After the public comment period, the Public Health Division will complete written responses to parties who testified in writing or orally and will revise the rules, as necessary. The final rules will be filed with the SOS on </w:t>
      </w:r>
      <w:r>
        <w:rPr>
          <w:rFonts w:asciiTheme="majorHAnsi" w:hAnsiTheme="majorHAnsi"/>
          <w:sz w:val="24"/>
          <w:szCs w:val="24"/>
        </w:rPr>
        <w:t>June</w:t>
      </w:r>
      <w:r w:rsidRPr="00535B28">
        <w:rPr>
          <w:rFonts w:asciiTheme="majorHAnsi" w:hAnsiTheme="majorHAnsi"/>
          <w:sz w:val="24"/>
          <w:szCs w:val="24"/>
        </w:rPr>
        <w:t xml:space="preserve"> 16, 2016. The effective date is July 1, 2016.</w:t>
      </w:r>
    </w:p>
    <w:p w:rsidR="000E34AC" w:rsidRDefault="000E34AC" w:rsidP="000E34AC">
      <w:pPr>
        <w:rPr>
          <w:rFonts w:asciiTheme="majorHAnsi" w:hAnsiTheme="majorHAnsi"/>
          <w:sz w:val="24"/>
          <w:szCs w:val="24"/>
        </w:rPr>
      </w:pPr>
    </w:p>
    <w:p w:rsidR="007B71DC" w:rsidRPr="00535B28" w:rsidRDefault="007B71DC" w:rsidP="007B71DC">
      <w:pPr>
        <w:rPr>
          <w:rFonts w:asciiTheme="majorHAnsi" w:hAnsiTheme="majorHAnsi"/>
          <w:sz w:val="24"/>
          <w:szCs w:val="24"/>
        </w:rPr>
      </w:pPr>
      <w:r w:rsidRPr="00535B28">
        <w:rPr>
          <w:rFonts w:asciiTheme="majorHAnsi" w:hAnsiTheme="majorHAnsi"/>
          <w:sz w:val="24"/>
          <w:szCs w:val="24"/>
        </w:rPr>
        <w:t xml:space="preserve">Please </w:t>
      </w:r>
      <w:r>
        <w:rPr>
          <w:rFonts w:asciiTheme="majorHAnsi" w:hAnsiTheme="majorHAnsi"/>
          <w:sz w:val="24"/>
          <w:szCs w:val="24"/>
        </w:rPr>
        <w:t xml:space="preserve">contact Kim LaCroix at </w:t>
      </w:r>
      <w:hyperlink r:id="rId10" w:history="1">
        <w:r w:rsidRPr="00165049">
          <w:rPr>
            <w:rStyle w:val="Hyperlink"/>
            <w:rFonts w:asciiTheme="majorHAnsi" w:hAnsiTheme="majorHAnsi"/>
            <w:sz w:val="24"/>
            <w:szCs w:val="24"/>
          </w:rPr>
          <w:t>Kimberly.w.lacroix@state.or.us</w:t>
        </w:r>
      </w:hyperlink>
      <w:r>
        <w:rPr>
          <w:rFonts w:asciiTheme="majorHAnsi" w:hAnsiTheme="majorHAnsi"/>
          <w:sz w:val="24"/>
          <w:szCs w:val="24"/>
        </w:rPr>
        <w:t xml:space="preserve"> and 971-673-0606 for additional information. </w:t>
      </w:r>
    </w:p>
    <w:p w:rsidR="000E34AC" w:rsidRDefault="000E34AC" w:rsidP="000E34AC">
      <w:pPr>
        <w:rPr>
          <w:rFonts w:asciiTheme="majorHAnsi" w:hAnsiTheme="majorHAnsi"/>
          <w:sz w:val="24"/>
          <w:szCs w:val="24"/>
        </w:rPr>
      </w:pPr>
    </w:p>
    <w:p w:rsidR="000E34AC" w:rsidRPr="003A2926" w:rsidRDefault="000E34AC" w:rsidP="000E34AC">
      <w:pPr>
        <w:rPr>
          <w:rFonts w:asciiTheme="majorHAnsi" w:hAnsiTheme="majorHAnsi"/>
          <w:sz w:val="24"/>
          <w:szCs w:val="24"/>
        </w:rPr>
      </w:pPr>
      <w:r w:rsidRPr="003A2926">
        <w:rPr>
          <w:rFonts w:asciiTheme="majorHAnsi" w:hAnsiTheme="majorHAnsi"/>
          <w:b/>
          <w:sz w:val="24"/>
          <w:szCs w:val="24"/>
        </w:rPr>
        <w:t>Oregon Compass Self-Management Data System</w:t>
      </w:r>
    </w:p>
    <w:p w:rsidR="000E34AC" w:rsidRPr="003A2926" w:rsidRDefault="000E34AC" w:rsidP="000E34AC">
      <w:pPr>
        <w:pStyle w:val="Default"/>
        <w:rPr>
          <w:rFonts w:asciiTheme="majorHAnsi" w:hAnsiTheme="majorHAnsi" w:cs="Times New Roman"/>
        </w:rPr>
      </w:pPr>
      <w:r w:rsidRPr="003A2926">
        <w:rPr>
          <w:rFonts w:asciiTheme="majorHAnsi" w:hAnsiTheme="majorHAnsi" w:cs="Times New Roman"/>
        </w:rPr>
        <w:t xml:space="preserve">A registration and data management tool, </w:t>
      </w:r>
      <w:r w:rsidRPr="003A2926">
        <w:rPr>
          <w:rFonts w:asciiTheme="majorHAnsi" w:hAnsiTheme="majorHAnsi" w:cs="Times New Roman"/>
          <w:i/>
          <w:iCs/>
        </w:rPr>
        <w:t xml:space="preserve">Compass </w:t>
      </w:r>
      <w:r w:rsidRPr="003A2926">
        <w:rPr>
          <w:rFonts w:asciiTheme="majorHAnsi" w:hAnsiTheme="majorHAnsi" w:cs="Times New Roman"/>
        </w:rPr>
        <w:t xml:space="preserve">assists organizations in delivery and tracking of evidence-based health programs, including the Stanford Chronic Disease Self-Management Programs, the Diabetes Prevention Program, and Walk With Ease. The Oregon Public Health Division has licensed </w:t>
      </w:r>
      <w:r w:rsidRPr="003A2926">
        <w:rPr>
          <w:rFonts w:asciiTheme="majorHAnsi" w:hAnsiTheme="majorHAnsi" w:cs="Times New Roman"/>
          <w:i/>
        </w:rPr>
        <w:t>Compass</w:t>
      </w:r>
      <w:r w:rsidRPr="003A2926">
        <w:rPr>
          <w:rFonts w:asciiTheme="majorHAnsi" w:hAnsiTheme="majorHAnsi" w:cs="Times New Roman"/>
        </w:rPr>
        <w:t xml:space="preserve"> on behalf of Oregon Self-Management Network partners. Access to Compass is being provided free of charge to organizations via a memorandum of understanding. The system is up and running as of March 15, 2016. Visit  </w:t>
      </w:r>
      <w:hyperlink r:id="rId11" w:history="1">
        <w:r w:rsidR="007B71DC" w:rsidRPr="00165049">
          <w:rPr>
            <w:rStyle w:val="Hyperlink"/>
            <w:rFonts w:asciiTheme="majorHAnsi" w:hAnsiTheme="majorHAnsi"/>
          </w:rPr>
          <w:t>http://public.health.oregon.gov/DiseasesConditions/ChronicDisease/LivingWell/Pages/reportprograminfo.aspx</w:t>
        </w:r>
      </w:hyperlink>
      <w:r>
        <w:rPr>
          <w:rFonts w:asciiTheme="majorHAnsi" w:hAnsiTheme="majorHAnsi" w:cs="Times New Roman"/>
        </w:rPr>
        <w:t xml:space="preserve"> or contact </w:t>
      </w:r>
      <w:hyperlink r:id="rId12" w:history="1">
        <w:r w:rsidRPr="002F5790">
          <w:rPr>
            <w:rStyle w:val="Hyperlink"/>
            <w:rFonts w:asciiTheme="majorHAnsi" w:hAnsiTheme="majorHAnsi"/>
          </w:rPr>
          <w:t>living.well@state.or.us</w:t>
        </w:r>
      </w:hyperlink>
      <w:r>
        <w:rPr>
          <w:rFonts w:asciiTheme="majorHAnsi" w:hAnsiTheme="majorHAnsi" w:cs="Times New Roman"/>
        </w:rPr>
        <w:t xml:space="preserve"> for more information.</w:t>
      </w:r>
    </w:p>
    <w:p w:rsidR="000E34AC" w:rsidRDefault="000E34AC" w:rsidP="00690827">
      <w:pPr>
        <w:rPr>
          <w:rFonts w:asciiTheme="majorHAnsi" w:hAnsiTheme="majorHAnsi"/>
          <w:sz w:val="24"/>
          <w:szCs w:val="24"/>
        </w:rPr>
      </w:pPr>
    </w:p>
    <w:p w:rsidR="00D214FD" w:rsidRDefault="00D214FD" w:rsidP="00D214FD">
      <w:pPr>
        <w:rPr>
          <w:b/>
          <w:bCs/>
          <w:sz w:val="24"/>
          <w:szCs w:val="24"/>
        </w:rPr>
      </w:pPr>
      <w:r>
        <w:rPr>
          <w:b/>
          <w:bCs/>
          <w:sz w:val="24"/>
          <w:szCs w:val="24"/>
        </w:rPr>
        <w:t>OHA Health Evidence Review Commission, Obesity Task Force (Phase 2)</w:t>
      </w:r>
    </w:p>
    <w:p w:rsidR="00D214FD" w:rsidRDefault="00D214FD" w:rsidP="00D214FD">
      <w:pPr>
        <w:rPr>
          <w:sz w:val="24"/>
          <w:szCs w:val="24"/>
        </w:rPr>
      </w:pPr>
      <w:r>
        <w:rPr>
          <w:sz w:val="24"/>
          <w:szCs w:val="24"/>
        </w:rPr>
        <w:t xml:space="preserve">The </w:t>
      </w:r>
      <w:hyperlink r:id="rId13" w:history="1">
        <w:r>
          <w:rPr>
            <w:rStyle w:val="Hyperlink"/>
            <w:sz w:val="24"/>
            <w:szCs w:val="24"/>
          </w:rPr>
          <w:t>Health Evidence Review Commission</w:t>
        </w:r>
      </w:hyperlink>
      <w:r>
        <w:rPr>
          <w:sz w:val="24"/>
          <w:szCs w:val="24"/>
        </w:rPr>
        <w:t xml:space="preserve"> (HERC) reviews medical evidence in order to prioritize health spending in the Oregon Health Plan and to promote evidence​-based medical practice statewide through comparative effectiveness reports, including </w:t>
      </w:r>
      <w:hyperlink r:id="rId14" w:history="1">
        <w:r>
          <w:rPr>
            <w:rStyle w:val="Hyperlink"/>
            <w:sz w:val="24"/>
            <w:szCs w:val="24"/>
          </w:rPr>
          <w:t>Coverage Guidances</w:t>
        </w:r>
      </w:hyperlink>
      <w:r>
        <w:rPr>
          <w:sz w:val="24"/>
          <w:szCs w:val="24"/>
        </w:rPr>
        <w:t>, health technology assessments and evidence-based practice guidelines. The commission uses a transparent public process to ensure that its decisions are made in the best interest of patients and taxpayers while consi</w:t>
      </w:r>
      <w:bookmarkStart w:id="0" w:name="_GoBack"/>
      <w:bookmarkEnd w:id="0"/>
      <w:r>
        <w:rPr>
          <w:sz w:val="24"/>
          <w:szCs w:val="24"/>
        </w:rPr>
        <w:t xml:space="preserve">dering input from providers and members of the public, including those affected by the conditions discussed. The HERC has established a two-phase Obesity Task Force to review and discuss clinical and community interventions for reducing obesity. Discussions with the Obesity Task Force are designed to elicit feedback on draft recommendations that will ultimately be presented to the HERC for evidence-based practice guidelines. </w:t>
      </w:r>
    </w:p>
    <w:p w:rsidR="00D214FD" w:rsidRDefault="00D214FD" w:rsidP="00D214FD">
      <w:pPr>
        <w:rPr>
          <w:sz w:val="24"/>
          <w:szCs w:val="24"/>
        </w:rPr>
      </w:pPr>
    </w:p>
    <w:p w:rsidR="00D214FD" w:rsidRDefault="00D214FD" w:rsidP="00D214FD">
      <w:pPr>
        <w:rPr>
          <w:sz w:val="24"/>
          <w:szCs w:val="24"/>
        </w:rPr>
      </w:pPr>
      <w:r>
        <w:rPr>
          <w:sz w:val="24"/>
          <w:szCs w:val="24"/>
        </w:rPr>
        <w:t xml:space="preserve">The Obesity Task Force Phase 1 has begun their review of clinical practices. Obesity Task Force Phase 2 will review and discuss “multisector interventions” – community interventions, policy, systems and environmental change. Two meetings have been set so far for Phase 2; one April 15 from 1:30-4:30pm, and one June 3 from 1:30-3:30. A conference call option is available for the public, listen-in only. Go to the follow link for more information: </w:t>
      </w:r>
      <w:hyperlink r:id="rId15" w:anchor="other" w:history="1">
        <w:r>
          <w:rPr>
            <w:rStyle w:val="Hyperlink"/>
            <w:sz w:val="24"/>
            <w:szCs w:val="24"/>
          </w:rPr>
          <w:t>http://www.oregon.gov/oha/herc/Pages/Upcoming.aspx#other</w:t>
        </w:r>
      </w:hyperlink>
      <w:r w:rsidR="00634CE0">
        <w:rPr>
          <w:sz w:val="24"/>
          <w:szCs w:val="24"/>
        </w:rPr>
        <w:t xml:space="preserve">. </w:t>
      </w:r>
      <w:r>
        <w:rPr>
          <w:sz w:val="24"/>
          <w:szCs w:val="24"/>
        </w:rPr>
        <w:t>Contact Luci Longoria at 971-673-1064 for more information.</w:t>
      </w:r>
    </w:p>
    <w:p w:rsidR="00D214FD" w:rsidRDefault="00D214FD" w:rsidP="00690827">
      <w:pPr>
        <w:rPr>
          <w:rFonts w:asciiTheme="majorHAnsi" w:hAnsiTheme="majorHAnsi"/>
          <w:sz w:val="24"/>
          <w:szCs w:val="24"/>
        </w:rPr>
      </w:pPr>
    </w:p>
    <w:p w:rsidR="00634CE0" w:rsidRPr="00634CE0" w:rsidRDefault="00634CE0" w:rsidP="00634CE0">
      <w:pPr>
        <w:rPr>
          <w:rFonts w:asciiTheme="minorHAnsi" w:hAnsiTheme="minorHAnsi" w:cstheme="minorHAnsi"/>
          <w:sz w:val="24"/>
          <w:szCs w:val="24"/>
        </w:rPr>
      </w:pPr>
      <w:r w:rsidRPr="00634CE0">
        <w:rPr>
          <w:rFonts w:asciiTheme="minorHAnsi" w:hAnsiTheme="minorHAnsi" w:cstheme="minorHAnsi"/>
          <w:b/>
          <w:sz w:val="24"/>
          <w:szCs w:val="24"/>
        </w:rPr>
        <w:lastRenderedPageBreak/>
        <w:t>Synar coverage study and retail assessment</w:t>
      </w:r>
    </w:p>
    <w:p w:rsidR="00634CE0" w:rsidRPr="00634CE0" w:rsidRDefault="00634CE0" w:rsidP="00634CE0">
      <w:pPr>
        <w:rPr>
          <w:rFonts w:asciiTheme="minorHAnsi" w:hAnsiTheme="minorHAnsi" w:cstheme="minorHAnsi"/>
          <w:sz w:val="24"/>
          <w:szCs w:val="24"/>
        </w:rPr>
      </w:pPr>
      <w:r w:rsidRPr="00634CE0">
        <w:rPr>
          <w:rFonts w:asciiTheme="minorHAnsi" w:hAnsiTheme="minorHAnsi" w:cstheme="minorHAnsi"/>
          <w:sz w:val="24"/>
          <w:szCs w:val="24"/>
        </w:rPr>
        <w:t xml:space="preserve">The Substance Abuse and Mental Health Services Administration (SAMHSA) requires that states conduct a “Coverage Study” every three years to confirm the accuracy of the state’s list of tobacco retail outlets.  This involves the physical inspection of tobacco retail outlets in a random sample of census tracts from across the state.  Inspections include a variety of items, including the verification of the outlet address and whether or not the outlet sells tobacco products.  In addition to the Coverage Study, Oregon Health Promotion and Chronic Disease Prevention (HPCDP) will also conduct a statewide tobacco, alcohol and food products environment survey of the retailers included during the Coverage Study canvassing. This combination of efforts is a tangible example of how the integration of the Synar program into the Public Health Divisions Tobacco Prevention and Education Program allows HPCDP to leverage expertise and resources. The counties with areas that will be sampled are:  Clackamas, Clatsop, Coos, Deschutes, Jackson, Josephine, Lane, Lincoln, Marion, Multnomah, Polk, Umatilla, Wasco and Washington. Additional information about the study will be shared with these counties prior to the launch of data collection. Contact Holly Heiberg for more information: </w:t>
      </w:r>
      <w:hyperlink r:id="rId16" w:history="1">
        <w:r w:rsidRPr="00634CE0">
          <w:rPr>
            <w:rStyle w:val="Hyperlink"/>
            <w:rFonts w:asciiTheme="minorHAnsi" w:hAnsiTheme="minorHAnsi" w:cstheme="minorHAnsi"/>
            <w:sz w:val="24"/>
            <w:szCs w:val="24"/>
          </w:rPr>
          <w:t>holly.heiberg@state.or.us</w:t>
        </w:r>
      </w:hyperlink>
      <w:r w:rsidRPr="00634CE0">
        <w:rPr>
          <w:rFonts w:asciiTheme="minorHAnsi" w:hAnsiTheme="minorHAnsi" w:cstheme="minorHAnsi"/>
          <w:sz w:val="24"/>
          <w:szCs w:val="24"/>
        </w:rPr>
        <w:t xml:space="preserve"> and 971-673-0984. </w:t>
      </w:r>
    </w:p>
    <w:p w:rsidR="00634CE0" w:rsidRPr="00634CE0" w:rsidRDefault="00634CE0" w:rsidP="00690827">
      <w:pPr>
        <w:rPr>
          <w:rFonts w:asciiTheme="minorHAnsi" w:hAnsiTheme="minorHAnsi" w:cstheme="minorHAnsi"/>
          <w:sz w:val="24"/>
          <w:szCs w:val="24"/>
        </w:rPr>
      </w:pPr>
    </w:p>
    <w:sectPr w:rsidR="00634CE0" w:rsidRPr="00634CE0"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0199"/>
    <w:multiLevelType w:val="hybridMultilevel"/>
    <w:tmpl w:val="55B09E9E"/>
    <w:lvl w:ilvl="0" w:tplc="A03A5EFA">
      <w:start w:val="1"/>
      <w:numFmt w:val="decimal"/>
      <w:lvlText w:val="%1."/>
      <w:lvlJc w:val="left"/>
      <w:pPr>
        <w:ind w:left="720" w:hanging="360"/>
      </w:pPr>
      <w:rPr>
        <w:rFonts w:ascii="Times New Roman" w:eastAsia="Times"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B2313"/>
    <w:multiLevelType w:val="multilevel"/>
    <w:tmpl w:val="A3A6C5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9"/>
  </w:num>
  <w:num w:numId="4">
    <w:abstractNumId w:val="34"/>
  </w:num>
  <w:num w:numId="5">
    <w:abstractNumId w:val="35"/>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7"/>
  </w:num>
  <w:num w:numId="15">
    <w:abstractNumId w:val="26"/>
  </w:num>
  <w:num w:numId="16">
    <w:abstractNumId w:val="10"/>
  </w:num>
  <w:num w:numId="17">
    <w:abstractNumId w:val="32"/>
  </w:num>
  <w:num w:numId="18">
    <w:abstractNumId w:val="12"/>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8"/>
  </w:num>
  <w:num w:numId="29">
    <w:abstractNumId w:val="16"/>
  </w:num>
  <w:num w:numId="30">
    <w:abstractNumId w:val="29"/>
  </w:num>
  <w:num w:numId="31">
    <w:abstractNumId w:val="11"/>
  </w:num>
  <w:num w:numId="32">
    <w:abstractNumId w:val="1"/>
  </w:num>
  <w:num w:numId="33">
    <w:abstractNumId w:val="20"/>
  </w:num>
  <w:num w:numId="34">
    <w:abstractNumId w:val="1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53730"/>
    <w:rsid w:val="00064E68"/>
    <w:rsid w:val="0007323B"/>
    <w:rsid w:val="000739C6"/>
    <w:rsid w:val="00077B04"/>
    <w:rsid w:val="00081811"/>
    <w:rsid w:val="00083DA5"/>
    <w:rsid w:val="00084AA0"/>
    <w:rsid w:val="00086A9D"/>
    <w:rsid w:val="00086AB5"/>
    <w:rsid w:val="00087277"/>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34A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3324F"/>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2B8"/>
    <w:rsid w:val="001B7DC9"/>
    <w:rsid w:val="001C3022"/>
    <w:rsid w:val="001C393F"/>
    <w:rsid w:val="001C439B"/>
    <w:rsid w:val="001C6C03"/>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2926"/>
    <w:rsid w:val="003A3DDF"/>
    <w:rsid w:val="003A695A"/>
    <w:rsid w:val="003B2B16"/>
    <w:rsid w:val="003B31B4"/>
    <w:rsid w:val="003C38D2"/>
    <w:rsid w:val="003D02FC"/>
    <w:rsid w:val="003D04BC"/>
    <w:rsid w:val="003D18EE"/>
    <w:rsid w:val="003D4DFB"/>
    <w:rsid w:val="003D71DA"/>
    <w:rsid w:val="003D75BE"/>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5B28"/>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5F95"/>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4CE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5599"/>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B71DC"/>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32A"/>
    <w:rsid w:val="008A5408"/>
    <w:rsid w:val="008A6AAE"/>
    <w:rsid w:val="008B167F"/>
    <w:rsid w:val="008B1C26"/>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5D80"/>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16C2"/>
    <w:rsid w:val="00C4308A"/>
    <w:rsid w:val="00C430F9"/>
    <w:rsid w:val="00C4575B"/>
    <w:rsid w:val="00C47C87"/>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4FD"/>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3DB7"/>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B7A"/>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14966570">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14952446">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72320834">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019825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62642282">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0845552">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0925845">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health.rules@state.or.us" TargetMode="External"/><Relationship Id="rId13" Type="http://schemas.openxmlformats.org/officeDocument/2006/relationships/hyperlink" Target="http://www.oregon.gov/oha/herc/pages/index.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ving.well@state.o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lly.heiberg@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ealth.oregon.gov/DiseasesConditions/ChronicDisease/LivingWell/Pages/reportprograminfo.aspx" TargetMode="External"/><Relationship Id="rId5" Type="http://schemas.openxmlformats.org/officeDocument/2006/relationships/webSettings" Target="webSettings.xml"/><Relationship Id="rId15" Type="http://schemas.openxmlformats.org/officeDocument/2006/relationships/hyperlink" Target="http://www.oregon.gov/oha/herc/Pages/Upcoming.aspx" TargetMode="External"/><Relationship Id="rId10" Type="http://schemas.openxmlformats.org/officeDocument/2006/relationships/hyperlink" Target="mailto:Kimberly.w.lacroix@state.or.us" TargetMode="External"/><Relationship Id="rId4" Type="http://schemas.openxmlformats.org/officeDocument/2006/relationships/settings" Target="settings.xml"/><Relationship Id="rId9" Type="http://schemas.openxmlformats.org/officeDocument/2006/relationships/hyperlink" Target="mailto:Kimberly.w.lacroix@state.or.us" TargetMode="External"/><Relationship Id="rId14" Type="http://schemas.openxmlformats.org/officeDocument/2006/relationships/hyperlink" Target="http://www.oregon.gov/oha/herc/Pages/x-obsolete-CoverageGuidances-ol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51E2C-3E8B-4E27-9ECC-B6DEBC91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Freewynn Sabrina L</cp:lastModifiedBy>
  <cp:revision>18</cp:revision>
  <cp:lastPrinted>2016-04-01T22:22:00Z</cp:lastPrinted>
  <dcterms:created xsi:type="dcterms:W3CDTF">2016-03-17T16:17:00Z</dcterms:created>
  <dcterms:modified xsi:type="dcterms:W3CDTF">2016-04-06T15:04:00Z</dcterms:modified>
</cp:coreProperties>
</file>