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w:t>
      </w:r>
      <w:r w:rsidR="00627A73">
        <w:rPr>
          <w:rFonts w:ascii="Cambria" w:hAnsi="Cambria"/>
          <w:sz w:val="24"/>
          <w:szCs w:val="24"/>
        </w:rPr>
        <w:t>January 5,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097"/>
        <w:gridCol w:w="333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1246F0">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609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333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1246F0">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609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3330" w:type="dxa"/>
          </w:tcPr>
          <w:p w:rsidR="008049D2" w:rsidRPr="005A0B5F" w:rsidRDefault="008049D2" w:rsidP="005205C1">
            <w:pPr>
              <w:rPr>
                <w:rFonts w:asciiTheme="majorHAnsi" w:hAnsiTheme="majorHAnsi"/>
                <w:sz w:val="24"/>
                <w:szCs w:val="24"/>
              </w:rPr>
            </w:pP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1246F0">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6097" w:type="dxa"/>
          </w:tcPr>
          <w:p w:rsidR="008049D2" w:rsidRPr="00724511" w:rsidRDefault="008049D2" w:rsidP="005C6C0E">
            <w:pPr>
              <w:rPr>
                <w:rFonts w:ascii="Cambria" w:hAnsi="Cambria"/>
                <w:sz w:val="24"/>
                <w:szCs w:val="24"/>
              </w:rPr>
            </w:pPr>
            <w:r w:rsidRPr="00724511">
              <w:rPr>
                <w:rFonts w:ascii="Cambria" w:hAnsi="Cambria"/>
                <w:sz w:val="24"/>
                <w:szCs w:val="24"/>
              </w:rPr>
              <w:t>The Committee will have an opportunity to review minutes from the past meeting, make changes and/or adopt the minutes.</w:t>
            </w:r>
          </w:p>
        </w:tc>
        <w:tc>
          <w:tcPr>
            <w:tcW w:w="3330" w:type="dxa"/>
          </w:tcPr>
          <w:p w:rsidR="005205C1" w:rsidRPr="00724511" w:rsidRDefault="005205C1" w:rsidP="00627A73">
            <w:pPr>
              <w:rPr>
                <w:rFonts w:ascii="Cambria" w:hAnsi="Cambria"/>
                <w:sz w:val="24"/>
                <w:szCs w:val="24"/>
              </w:rPr>
            </w:pP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8049D2" w:rsidRPr="00724511" w:rsidTr="001246F0">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1246F0" w:rsidP="00627A73">
            <w:pPr>
              <w:rPr>
                <w:rFonts w:ascii="Cambria" w:hAnsi="Cambria"/>
                <w:sz w:val="24"/>
                <w:szCs w:val="24"/>
              </w:rPr>
            </w:pPr>
            <w:r>
              <w:rPr>
                <w:rFonts w:ascii="Cambria" w:hAnsi="Cambria"/>
                <w:sz w:val="24"/>
                <w:szCs w:val="24"/>
              </w:rPr>
              <w:t>1:40-1:50</w:t>
            </w:r>
          </w:p>
          <w:p w:rsidR="008049D2" w:rsidRPr="00CF23EE" w:rsidRDefault="008049D2" w:rsidP="00E2239E">
            <w:pPr>
              <w:rPr>
                <w:rFonts w:ascii="Cambria" w:hAnsi="Cambria"/>
                <w:color w:val="003300"/>
                <w:sz w:val="24"/>
                <w:szCs w:val="24"/>
              </w:rPr>
            </w:pPr>
          </w:p>
        </w:tc>
        <w:tc>
          <w:tcPr>
            <w:tcW w:w="609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CLHO received grant funds through the Robert Wood Johnson Foundation to advance public health modernization in Oregon. Grant funds are supporting 10 meetings across Oregon to engage local communities, health and 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committee members have attended so far,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3330" w:type="dxa"/>
          </w:tcPr>
          <w:p w:rsidR="008049D2" w:rsidRPr="00724511" w:rsidRDefault="008049D2" w:rsidP="00627A73">
            <w:pPr>
              <w:rPr>
                <w:rFonts w:ascii="Cambria" w:hAnsi="Cambria"/>
                <w:sz w:val="24"/>
                <w:szCs w:val="24"/>
              </w:rPr>
            </w:pPr>
          </w:p>
        </w:tc>
        <w:tc>
          <w:tcPr>
            <w:tcW w:w="2160" w:type="dxa"/>
          </w:tcPr>
          <w:p w:rsidR="008049D2" w:rsidRPr="00724511" w:rsidRDefault="001246F0" w:rsidP="00BE67BF">
            <w:pPr>
              <w:rPr>
                <w:rFonts w:ascii="Cambria" w:hAnsi="Cambria"/>
                <w:sz w:val="24"/>
                <w:szCs w:val="24"/>
              </w:rPr>
            </w:pPr>
            <w:r>
              <w:rPr>
                <w:rFonts w:ascii="Cambria" w:hAnsi="Cambria"/>
                <w:sz w:val="24"/>
                <w:szCs w:val="24"/>
              </w:rPr>
              <w:t xml:space="preserve">Jocelyn </w:t>
            </w:r>
          </w:p>
        </w:tc>
      </w:tr>
      <w:tr w:rsidR="008049D2" w:rsidRPr="00724511" w:rsidTr="001246F0">
        <w:trPr>
          <w:trHeight w:val="692"/>
        </w:trPr>
        <w:tc>
          <w:tcPr>
            <w:tcW w:w="2808" w:type="dxa"/>
          </w:tcPr>
          <w:p w:rsidR="008049D2" w:rsidRPr="007601FC" w:rsidRDefault="00E7719E" w:rsidP="00BA22DF">
            <w:pPr>
              <w:rPr>
                <w:rFonts w:ascii="Cambria" w:hAnsi="Cambria"/>
                <w:sz w:val="24"/>
                <w:szCs w:val="24"/>
              </w:rPr>
            </w:pPr>
            <w:r>
              <w:rPr>
                <w:rFonts w:ascii="Cambria" w:hAnsi="Cambria"/>
                <w:sz w:val="24"/>
                <w:szCs w:val="24"/>
              </w:rPr>
              <w:t xml:space="preserve">Prevention Integration </w:t>
            </w:r>
          </w:p>
          <w:p w:rsidR="008049D2" w:rsidRPr="007601FC" w:rsidRDefault="008049D2" w:rsidP="00CF23EE">
            <w:pPr>
              <w:rPr>
                <w:rFonts w:ascii="Cambria" w:hAnsi="Cambria"/>
                <w:sz w:val="24"/>
                <w:szCs w:val="24"/>
              </w:rPr>
            </w:pPr>
            <w:r w:rsidRPr="007601FC">
              <w:rPr>
                <w:rFonts w:ascii="Cambria" w:hAnsi="Cambria"/>
                <w:sz w:val="24"/>
                <w:szCs w:val="24"/>
              </w:rPr>
              <w:t>(10 min)</w:t>
            </w:r>
          </w:p>
          <w:p w:rsidR="008049D2" w:rsidRPr="007601FC" w:rsidRDefault="001246F0" w:rsidP="00CF23EE">
            <w:pPr>
              <w:rPr>
                <w:rFonts w:ascii="Cambria" w:hAnsi="Cambria"/>
                <w:sz w:val="24"/>
                <w:szCs w:val="24"/>
              </w:rPr>
            </w:pPr>
            <w:r>
              <w:rPr>
                <w:rFonts w:ascii="Cambria" w:hAnsi="Cambria"/>
                <w:sz w:val="24"/>
                <w:szCs w:val="24"/>
              </w:rPr>
              <w:t>1:50-2:00</w:t>
            </w:r>
          </w:p>
        </w:tc>
        <w:tc>
          <w:tcPr>
            <w:tcW w:w="6097" w:type="dxa"/>
          </w:tcPr>
          <w:p w:rsidR="008049D2" w:rsidRPr="007601FC" w:rsidRDefault="008049D2" w:rsidP="0066155D">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8049D2" w:rsidRPr="007601FC" w:rsidRDefault="008049D2" w:rsidP="0066155D">
            <w:pPr>
              <w:ind w:left="720" w:hanging="720"/>
              <w:rPr>
                <w:rFonts w:ascii="Cambria" w:hAnsi="Cambria" w:cs="Calibri"/>
                <w:sz w:val="24"/>
                <w:szCs w:val="24"/>
              </w:rPr>
            </w:pPr>
          </w:p>
          <w:p w:rsidR="008049D2" w:rsidRPr="007601FC" w:rsidRDefault="008049D2" w:rsidP="0002633C">
            <w:pPr>
              <w:rPr>
                <w:rFonts w:ascii="Cambria" w:hAnsi="Cambria"/>
                <w:sz w:val="24"/>
                <w:szCs w:val="24"/>
              </w:rPr>
            </w:pPr>
            <w:r w:rsidRPr="007601FC">
              <w:rPr>
                <w:rFonts w:ascii="Cambria" w:hAnsi="Cambria" w:cs="Calibri"/>
                <w:b/>
                <w:bCs/>
                <w:sz w:val="24"/>
                <w:szCs w:val="24"/>
              </w:rPr>
              <w:t xml:space="preserve">Objective: </w:t>
            </w:r>
            <w:r w:rsidRPr="007601FC">
              <w:rPr>
                <w:rFonts w:ascii="Cambria" w:hAnsi="Cambria" w:cs="Calibri"/>
                <w:bCs/>
                <w:sz w:val="24"/>
                <w:szCs w:val="24"/>
              </w:rPr>
              <w:t xml:space="preserve">Discuss </w:t>
            </w:r>
            <w:r>
              <w:rPr>
                <w:rFonts w:ascii="Cambria" w:hAnsi="Cambria" w:cs="Calibri"/>
                <w:bCs/>
                <w:sz w:val="24"/>
                <w:szCs w:val="24"/>
              </w:rPr>
              <w:t xml:space="preserve">prevention integration actions and next steps. </w:t>
            </w:r>
          </w:p>
        </w:tc>
        <w:tc>
          <w:tcPr>
            <w:tcW w:w="3330" w:type="dxa"/>
          </w:tcPr>
          <w:p w:rsidR="008049D2" w:rsidRDefault="008049D2" w:rsidP="00DF4E1A">
            <w:pPr>
              <w:rPr>
                <w:rFonts w:ascii="Cambria" w:hAnsi="Cambria"/>
                <w:sz w:val="24"/>
                <w:szCs w:val="24"/>
              </w:rPr>
            </w:pPr>
          </w:p>
          <w:p w:rsidR="008049D2" w:rsidRPr="007601FC" w:rsidRDefault="00AA289B" w:rsidP="00250235">
            <w:pPr>
              <w:rPr>
                <w:rFonts w:ascii="Cambria" w:hAnsi="Cambria"/>
                <w:sz w:val="24"/>
                <w:szCs w:val="24"/>
              </w:rPr>
            </w:pPr>
            <w:r>
              <w:rPr>
                <w:rFonts w:ascii="Cambria" w:hAnsi="Cambria"/>
                <w:sz w:val="24"/>
                <w:szCs w:val="24"/>
              </w:rPr>
              <w:t xml:space="preserve"> </w:t>
            </w:r>
          </w:p>
        </w:tc>
        <w:tc>
          <w:tcPr>
            <w:tcW w:w="2160" w:type="dxa"/>
          </w:tcPr>
          <w:p w:rsidR="008049D2" w:rsidRPr="007601FC" w:rsidRDefault="008049D2" w:rsidP="00CF23EE">
            <w:pPr>
              <w:rPr>
                <w:rFonts w:ascii="Cambria" w:hAnsi="Cambria"/>
                <w:sz w:val="24"/>
                <w:szCs w:val="24"/>
              </w:rPr>
            </w:pPr>
            <w:r w:rsidRPr="007601FC">
              <w:rPr>
                <w:rFonts w:ascii="Cambria" w:hAnsi="Cambria"/>
                <w:sz w:val="24"/>
                <w:szCs w:val="24"/>
              </w:rPr>
              <w:t>Jocelyn Warren</w:t>
            </w:r>
          </w:p>
          <w:p w:rsidR="008049D2" w:rsidRPr="007601FC" w:rsidRDefault="008049D2" w:rsidP="00CF23EE">
            <w:pPr>
              <w:rPr>
                <w:rFonts w:ascii="Cambria" w:hAnsi="Cambria"/>
                <w:sz w:val="24"/>
                <w:szCs w:val="24"/>
              </w:rPr>
            </w:pPr>
            <w:r>
              <w:rPr>
                <w:rFonts w:ascii="Cambria" w:hAnsi="Cambria"/>
                <w:sz w:val="24"/>
                <w:szCs w:val="24"/>
              </w:rPr>
              <w:t>Luci Longoria</w:t>
            </w:r>
            <w:r w:rsidRPr="007601FC">
              <w:rPr>
                <w:rFonts w:ascii="Cambria" w:hAnsi="Cambria"/>
                <w:sz w:val="24"/>
                <w:szCs w:val="24"/>
              </w:rPr>
              <w:t xml:space="preserve"> </w:t>
            </w:r>
          </w:p>
        </w:tc>
      </w:tr>
      <w:tr w:rsidR="001246F0" w:rsidRPr="00724511" w:rsidTr="001246F0">
        <w:trPr>
          <w:trHeight w:val="863"/>
        </w:trPr>
        <w:tc>
          <w:tcPr>
            <w:tcW w:w="2808" w:type="dxa"/>
          </w:tcPr>
          <w:p w:rsidR="001246F0" w:rsidRDefault="001246F0" w:rsidP="00990521">
            <w:pPr>
              <w:rPr>
                <w:rFonts w:ascii="Cambria" w:hAnsi="Cambria"/>
                <w:sz w:val="24"/>
                <w:szCs w:val="24"/>
              </w:rPr>
            </w:pPr>
            <w:r>
              <w:rPr>
                <w:rFonts w:ascii="Cambria" w:hAnsi="Cambria"/>
                <w:sz w:val="24"/>
                <w:szCs w:val="24"/>
              </w:rPr>
              <w:lastRenderedPageBreak/>
              <w:t xml:space="preserve"> Marijuana Prevention Campaign (15 min)</w:t>
            </w:r>
          </w:p>
          <w:p w:rsidR="001246F0" w:rsidRPr="00724511" w:rsidRDefault="001246F0" w:rsidP="00990521">
            <w:pPr>
              <w:rPr>
                <w:rFonts w:ascii="Cambria" w:hAnsi="Cambria"/>
                <w:sz w:val="24"/>
                <w:szCs w:val="24"/>
              </w:rPr>
            </w:pPr>
            <w:r>
              <w:rPr>
                <w:rFonts w:ascii="Cambria" w:hAnsi="Cambria"/>
                <w:sz w:val="24"/>
                <w:szCs w:val="24"/>
              </w:rPr>
              <w:t>2:00-2:15</w:t>
            </w:r>
          </w:p>
        </w:tc>
        <w:tc>
          <w:tcPr>
            <w:tcW w:w="6097" w:type="dxa"/>
          </w:tcPr>
          <w:p w:rsidR="001246F0" w:rsidRDefault="001246F0" w:rsidP="00990521">
            <w:pPr>
              <w:rPr>
                <w:color w:val="1F497D"/>
                <w:sz w:val="28"/>
                <w:szCs w:val="28"/>
              </w:rPr>
            </w:pPr>
            <w:r w:rsidRPr="00D42B4A">
              <w:rPr>
                <w:rFonts w:ascii="Cambria" w:hAnsi="Cambria"/>
                <w:b/>
                <w:sz w:val="24"/>
                <w:szCs w:val="24"/>
              </w:rPr>
              <w:t>Background:</w:t>
            </w:r>
            <w:r>
              <w:rPr>
                <w:rFonts w:ascii="Cambria" w:hAnsi="Cambria"/>
                <w:sz w:val="24"/>
                <w:szCs w:val="24"/>
              </w:rPr>
              <w:t xml:space="preserve">  </w:t>
            </w:r>
            <w:r w:rsidRPr="005968ED">
              <w:rPr>
                <w:rFonts w:ascii="Cambria" w:hAnsi="Cambria"/>
                <w:sz w:val="24"/>
                <w:szCs w:val="24"/>
              </w:rPr>
              <w:t>In December, OHA-PHD submitted to the legislature a mid-term evaluation report for the youth marijuana use prevention pilot campaign.</w:t>
            </w:r>
          </w:p>
          <w:p w:rsidR="001246F0" w:rsidRDefault="001246F0" w:rsidP="00990521">
            <w:pPr>
              <w:rPr>
                <w:rFonts w:ascii="Cambria" w:hAnsi="Cambria"/>
                <w:sz w:val="24"/>
                <w:szCs w:val="24"/>
              </w:rPr>
            </w:pPr>
          </w:p>
          <w:p w:rsidR="001246F0" w:rsidRPr="00724511" w:rsidRDefault="001246F0" w:rsidP="00990521">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w:t>
            </w:r>
            <w:r w:rsidRPr="005968ED">
              <w:rPr>
                <w:rFonts w:ascii="Cambria" w:hAnsi="Cambria"/>
                <w:sz w:val="24"/>
                <w:szCs w:val="24"/>
              </w:rPr>
              <w:t>Review the high level results of the campaign, and present policy recommendations made to the legislature.</w:t>
            </w:r>
          </w:p>
        </w:tc>
        <w:tc>
          <w:tcPr>
            <w:tcW w:w="3330" w:type="dxa"/>
          </w:tcPr>
          <w:p w:rsidR="001246F0" w:rsidRPr="00724511" w:rsidRDefault="001246F0" w:rsidP="00990521">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Pr>
                <w:rFonts w:ascii="Cambria" w:hAnsi="Cambria"/>
                <w:sz w:val="24"/>
                <w:szCs w:val="24"/>
              </w:rPr>
              <w:t>Kati Moseley</w:t>
            </w:r>
          </w:p>
        </w:tc>
      </w:tr>
      <w:tr w:rsidR="001246F0" w:rsidRPr="00724511" w:rsidTr="001246F0">
        <w:trPr>
          <w:trHeight w:val="539"/>
        </w:trPr>
        <w:tc>
          <w:tcPr>
            <w:tcW w:w="2808" w:type="dxa"/>
          </w:tcPr>
          <w:p w:rsidR="001246F0" w:rsidRDefault="001246F0" w:rsidP="00990521">
            <w:pPr>
              <w:rPr>
                <w:rFonts w:asciiTheme="majorHAnsi" w:hAnsiTheme="majorHAnsi"/>
                <w:sz w:val="24"/>
                <w:szCs w:val="24"/>
              </w:rPr>
            </w:pPr>
            <w:r w:rsidRPr="00CF23EE">
              <w:rPr>
                <w:rFonts w:asciiTheme="majorHAnsi" w:hAnsiTheme="majorHAnsi"/>
                <w:sz w:val="24"/>
                <w:szCs w:val="24"/>
              </w:rPr>
              <w:t>Tobacco Reta</w:t>
            </w:r>
            <w:r>
              <w:rPr>
                <w:rFonts w:asciiTheme="majorHAnsi" w:hAnsiTheme="majorHAnsi"/>
                <w:sz w:val="24"/>
                <w:szCs w:val="24"/>
              </w:rPr>
              <w:t>il Licensing – Multnomah County</w:t>
            </w:r>
            <w:r w:rsidRPr="00CF23EE">
              <w:rPr>
                <w:rFonts w:asciiTheme="majorHAnsi" w:hAnsiTheme="majorHAnsi"/>
                <w:sz w:val="24"/>
                <w:szCs w:val="24"/>
              </w:rPr>
              <w:t xml:space="preserve"> (1</w:t>
            </w:r>
            <w:r>
              <w:rPr>
                <w:rFonts w:asciiTheme="majorHAnsi" w:hAnsiTheme="majorHAnsi"/>
                <w:sz w:val="24"/>
                <w:szCs w:val="24"/>
              </w:rPr>
              <w:t>0 min</w:t>
            </w:r>
            <w:r w:rsidRPr="00CF23EE">
              <w:rPr>
                <w:rFonts w:asciiTheme="majorHAnsi" w:hAnsiTheme="majorHAnsi"/>
                <w:sz w:val="24"/>
                <w:szCs w:val="24"/>
              </w:rPr>
              <w:t>)</w:t>
            </w:r>
          </w:p>
          <w:p w:rsidR="001246F0" w:rsidRPr="00CF23EE" w:rsidRDefault="001246F0" w:rsidP="00990521">
            <w:pPr>
              <w:rPr>
                <w:rFonts w:asciiTheme="majorHAnsi" w:hAnsiTheme="majorHAnsi"/>
                <w:sz w:val="24"/>
                <w:szCs w:val="24"/>
              </w:rPr>
            </w:pPr>
            <w:r>
              <w:rPr>
                <w:rFonts w:asciiTheme="majorHAnsi" w:hAnsiTheme="majorHAnsi"/>
                <w:sz w:val="24"/>
                <w:szCs w:val="24"/>
              </w:rPr>
              <w:t xml:space="preserve">2:15-2:25 </w:t>
            </w:r>
          </w:p>
        </w:tc>
        <w:tc>
          <w:tcPr>
            <w:tcW w:w="6097" w:type="dxa"/>
          </w:tcPr>
          <w:p w:rsidR="001246F0" w:rsidRPr="0066155D" w:rsidRDefault="001246F0" w:rsidP="00990521">
            <w:pPr>
              <w:rPr>
                <w:rFonts w:asciiTheme="majorHAnsi" w:hAnsiTheme="majorHAnsi" w:cs="Calibri"/>
                <w:bCs/>
                <w:sz w:val="24"/>
                <w:szCs w:val="24"/>
              </w:rPr>
            </w:pPr>
            <w:r w:rsidRPr="0066155D">
              <w:rPr>
                <w:rFonts w:asciiTheme="majorHAnsi" w:hAnsiTheme="majorHAnsi" w:cs="Calibri"/>
                <w:b/>
                <w:bCs/>
                <w:sz w:val="24"/>
                <w:szCs w:val="24"/>
              </w:rPr>
              <w:t>Background: </w:t>
            </w:r>
            <w:r w:rsidRPr="0066155D">
              <w:rPr>
                <w:rFonts w:asciiTheme="majorHAnsi" w:hAnsiTheme="majorHAnsi" w:cs="Calibri"/>
                <w:bCs/>
                <w:sz w:val="24"/>
                <w:szCs w:val="24"/>
              </w:rPr>
              <w:t xml:space="preserve">Multnomah County implemented its tobacco retail licensing (TRL) system in July 2016. All county TPEP programs are pursuing tobacco retail licensing or some other recommended policy strategy related to the tobacco retail environment. </w:t>
            </w:r>
          </w:p>
          <w:p w:rsidR="001246F0" w:rsidRPr="0066155D" w:rsidRDefault="001246F0" w:rsidP="00990521">
            <w:pPr>
              <w:rPr>
                <w:rFonts w:asciiTheme="majorHAnsi" w:hAnsiTheme="majorHAnsi" w:cs="Calibri"/>
                <w:bCs/>
                <w:sz w:val="24"/>
                <w:szCs w:val="24"/>
              </w:rPr>
            </w:pPr>
          </w:p>
          <w:p w:rsidR="001246F0" w:rsidRPr="00724511" w:rsidRDefault="001246F0" w:rsidP="00990521">
            <w:pPr>
              <w:rPr>
                <w:rFonts w:asciiTheme="majorHAnsi" w:hAnsiTheme="majorHAnsi"/>
                <w:sz w:val="24"/>
                <w:szCs w:val="24"/>
              </w:rPr>
            </w:pPr>
            <w:r w:rsidRPr="0066155D">
              <w:rPr>
                <w:rFonts w:asciiTheme="majorHAnsi" w:hAnsiTheme="majorHAnsi" w:cs="Calibri"/>
                <w:b/>
                <w:bCs/>
                <w:sz w:val="24"/>
                <w:szCs w:val="24"/>
              </w:rPr>
              <w:t>Objective:</w:t>
            </w:r>
            <w:r w:rsidRPr="0066155D">
              <w:rPr>
                <w:rFonts w:asciiTheme="majorHAnsi" w:hAnsiTheme="majorHAnsi" w:cs="Calibri"/>
                <w:bCs/>
                <w:sz w:val="24"/>
                <w:szCs w:val="24"/>
              </w:rPr>
              <w:t xml:space="preserve"> Provide an opportunity for CLHO Healthy Communities members to learn more about Multnomah County’s experience with TRL implementation. </w:t>
            </w:r>
          </w:p>
        </w:tc>
        <w:tc>
          <w:tcPr>
            <w:tcW w:w="3330" w:type="dxa"/>
          </w:tcPr>
          <w:p w:rsidR="001246F0" w:rsidRPr="00724511" w:rsidRDefault="001246F0" w:rsidP="00990521">
            <w:pPr>
              <w:rPr>
                <w:rFonts w:asciiTheme="majorHAnsi" w:hAnsiTheme="majorHAnsi"/>
                <w:sz w:val="24"/>
                <w:szCs w:val="24"/>
              </w:rPr>
            </w:pPr>
          </w:p>
        </w:tc>
        <w:tc>
          <w:tcPr>
            <w:tcW w:w="2160" w:type="dxa"/>
          </w:tcPr>
          <w:p w:rsidR="001246F0" w:rsidRPr="00724511" w:rsidRDefault="001246F0" w:rsidP="00990521">
            <w:pPr>
              <w:rPr>
                <w:rFonts w:asciiTheme="majorHAnsi" w:hAnsiTheme="majorHAnsi"/>
                <w:sz w:val="24"/>
                <w:szCs w:val="24"/>
              </w:rPr>
            </w:pPr>
            <w:r w:rsidRPr="0066155D">
              <w:rPr>
                <w:rFonts w:asciiTheme="majorHAnsi" w:hAnsiTheme="majorHAnsi"/>
                <w:sz w:val="24"/>
                <w:szCs w:val="24"/>
              </w:rPr>
              <w:t>Kari</w:t>
            </w:r>
            <w:r>
              <w:rPr>
                <w:rFonts w:asciiTheme="majorHAnsi" w:hAnsiTheme="majorHAnsi"/>
                <w:sz w:val="24"/>
                <w:szCs w:val="24"/>
              </w:rPr>
              <w:t xml:space="preserve"> McFarlan</w:t>
            </w:r>
          </w:p>
        </w:tc>
      </w:tr>
      <w:tr w:rsidR="001246F0" w:rsidRPr="00724511" w:rsidTr="001246F0">
        <w:trPr>
          <w:trHeight w:val="539"/>
        </w:trPr>
        <w:tc>
          <w:tcPr>
            <w:tcW w:w="2808" w:type="dxa"/>
          </w:tcPr>
          <w:p w:rsidR="001246F0" w:rsidRPr="00724511" w:rsidRDefault="001246F0" w:rsidP="00990521">
            <w:pPr>
              <w:rPr>
                <w:rFonts w:ascii="Cambria" w:hAnsi="Cambria"/>
                <w:sz w:val="24"/>
                <w:szCs w:val="24"/>
              </w:rPr>
            </w:pPr>
            <w:r w:rsidRPr="00724511">
              <w:rPr>
                <w:rFonts w:ascii="Cambria" w:hAnsi="Cambria"/>
                <w:sz w:val="24"/>
                <w:szCs w:val="24"/>
              </w:rPr>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6097" w:type="dxa"/>
          </w:tcPr>
          <w:p w:rsidR="001246F0" w:rsidRPr="00724511" w:rsidRDefault="001246F0" w:rsidP="00990521">
            <w:pPr>
              <w:rPr>
                <w:rFonts w:ascii="Cambria" w:hAnsi="Cambria"/>
                <w:sz w:val="24"/>
                <w:szCs w:val="24"/>
              </w:rPr>
            </w:pPr>
          </w:p>
        </w:tc>
        <w:tc>
          <w:tcPr>
            <w:tcW w:w="3330" w:type="dxa"/>
          </w:tcPr>
          <w:p w:rsidR="001246F0" w:rsidRPr="00724511" w:rsidRDefault="001246F0" w:rsidP="00990521">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sidRPr="00724511">
              <w:rPr>
                <w:rFonts w:ascii="Cambria" w:hAnsi="Cambria"/>
                <w:sz w:val="24"/>
                <w:szCs w:val="24"/>
              </w:rPr>
              <w:t>All</w:t>
            </w:r>
          </w:p>
        </w:tc>
      </w:tr>
      <w:tr w:rsidR="008049D2" w:rsidRPr="00724511" w:rsidTr="001246F0">
        <w:trPr>
          <w:trHeight w:val="539"/>
        </w:trPr>
        <w:tc>
          <w:tcPr>
            <w:tcW w:w="2808" w:type="dxa"/>
          </w:tcPr>
          <w:p w:rsidR="008049D2" w:rsidRDefault="008049D2" w:rsidP="00956528">
            <w:pPr>
              <w:rPr>
                <w:rFonts w:ascii="Cambria" w:hAnsi="Cambria"/>
                <w:sz w:val="24"/>
                <w:szCs w:val="24"/>
              </w:rPr>
            </w:pPr>
            <w:r>
              <w:rPr>
                <w:rFonts w:ascii="Cambria" w:hAnsi="Cambria"/>
                <w:sz w:val="24"/>
                <w:szCs w:val="24"/>
              </w:rPr>
              <w:t>Tobacco-related legislation for 2017 session (10 min)</w:t>
            </w:r>
          </w:p>
          <w:p w:rsidR="008049D2" w:rsidRPr="00CF23EE" w:rsidRDefault="008049D2" w:rsidP="00956528">
            <w:pPr>
              <w:rPr>
                <w:rFonts w:ascii="Cambria" w:hAnsi="Cambria"/>
                <w:sz w:val="24"/>
                <w:szCs w:val="24"/>
              </w:rPr>
            </w:pPr>
            <w:r>
              <w:rPr>
                <w:rFonts w:ascii="Cambria" w:hAnsi="Cambria"/>
                <w:sz w:val="24"/>
                <w:szCs w:val="24"/>
              </w:rPr>
              <w:t xml:space="preserve">2:30-2:40 </w:t>
            </w:r>
          </w:p>
        </w:tc>
        <w:tc>
          <w:tcPr>
            <w:tcW w:w="609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t xml:space="preserve">Background:  </w:t>
            </w:r>
            <w:r w:rsidRPr="00DA0C6E">
              <w:rPr>
                <w:rFonts w:ascii="Cambria" w:hAnsi="Cambria" w:cs="Calibri"/>
                <w:bCs/>
                <w:sz w:val="24"/>
                <w:szCs w:val="24"/>
              </w:rPr>
              <w:t xml:space="preserve">At the August 2016 CLHO Healthy Community retreat, the committee requested updates on 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3330" w:type="dxa"/>
          </w:tcPr>
          <w:p w:rsidR="008049D2" w:rsidRPr="00724511" w:rsidRDefault="008049D2" w:rsidP="00627A73">
            <w:pPr>
              <w:rPr>
                <w:rFonts w:ascii="Cambria" w:hAnsi="Cambria"/>
                <w:sz w:val="24"/>
                <w:szCs w:val="24"/>
              </w:rPr>
            </w:pPr>
          </w:p>
        </w:tc>
        <w:tc>
          <w:tcPr>
            <w:tcW w:w="2160" w:type="dxa"/>
          </w:tcPr>
          <w:p w:rsidR="008049D2" w:rsidRDefault="008049D2" w:rsidP="00956528">
            <w:pPr>
              <w:rPr>
                <w:rFonts w:ascii="Cambria" w:hAnsi="Cambria"/>
                <w:sz w:val="24"/>
                <w:szCs w:val="24"/>
              </w:rPr>
            </w:pPr>
            <w:r>
              <w:rPr>
                <w:rFonts w:ascii="Cambria" w:hAnsi="Cambria"/>
                <w:sz w:val="24"/>
                <w:szCs w:val="24"/>
              </w:rPr>
              <w:t xml:space="preserve">Luci Longoria  </w:t>
            </w:r>
          </w:p>
          <w:p w:rsidR="008049D2" w:rsidRPr="00724511" w:rsidRDefault="008049D2" w:rsidP="00956528">
            <w:pPr>
              <w:rPr>
                <w:rFonts w:ascii="Cambria" w:hAnsi="Cambria"/>
                <w:sz w:val="24"/>
                <w:szCs w:val="24"/>
              </w:rPr>
            </w:pPr>
            <w:r>
              <w:rPr>
                <w:rFonts w:ascii="Cambria" w:hAnsi="Cambria"/>
                <w:sz w:val="24"/>
                <w:szCs w:val="24"/>
              </w:rPr>
              <w:t>Karen Girard</w:t>
            </w:r>
          </w:p>
        </w:tc>
      </w:tr>
      <w:tr w:rsidR="008049D2" w:rsidRPr="00724511" w:rsidTr="001246F0">
        <w:trPr>
          <w:trHeight w:val="890"/>
        </w:trPr>
        <w:tc>
          <w:tcPr>
            <w:tcW w:w="2808" w:type="dxa"/>
          </w:tcPr>
          <w:p w:rsidR="008049D2" w:rsidRDefault="008049D2" w:rsidP="005C2902">
            <w:pPr>
              <w:rPr>
                <w:rFonts w:ascii="Cambria" w:hAnsi="Cambria"/>
                <w:sz w:val="24"/>
                <w:szCs w:val="24"/>
              </w:rPr>
            </w:pPr>
            <w:r w:rsidRPr="005C2902">
              <w:rPr>
                <w:rFonts w:ascii="Cambria" w:hAnsi="Cambria"/>
                <w:sz w:val="24"/>
                <w:szCs w:val="24"/>
              </w:rPr>
              <w:t xml:space="preserve">Indoor Clean Air Act </w:t>
            </w:r>
            <w:r w:rsidRPr="00EC56AD">
              <w:rPr>
                <w:rFonts w:ascii="Cambria" w:hAnsi="Cambria"/>
                <w:sz w:val="24"/>
                <w:szCs w:val="24"/>
              </w:rPr>
              <w:t>Quality Improvement (15 min.)</w:t>
            </w:r>
            <w:r w:rsidRPr="005C2902">
              <w:rPr>
                <w:rFonts w:ascii="Cambria" w:hAnsi="Cambria"/>
                <w:sz w:val="24"/>
                <w:szCs w:val="24"/>
              </w:rPr>
              <w:t xml:space="preserve"> </w:t>
            </w:r>
          </w:p>
          <w:p w:rsidR="008049D2" w:rsidRPr="001246F0" w:rsidRDefault="008049D2" w:rsidP="001246F0">
            <w:pPr>
              <w:rPr>
                <w:rFonts w:ascii="Cambria" w:hAnsi="Cambria"/>
                <w:sz w:val="24"/>
                <w:szCs w:val="24"/>
              </w:rPr>
            </w:pPr>
            <w:r>
              <w:rPr>
                <w:rFonts w:ascii="Cambria" w:hAnsi="Cambria"/>
                <w:sz w:val="24"/>
                <w:szCs w:val="24"/>
              </w:rPr>
              <w:t xml:space="preserve">2:40-2:55 </w:t>
            </w:r>
          </w:p>
        </w:tc>
        <w:tc>
          <w:tcPr>
            <w:tcW w:w="6097" w:type="dxa"/>
          </w:tcPr>
          <w:p w:rsidR="0004485F" w:rsidRPr="006A5588" w:rsidRDefault="008049D2" w:rsidP="0004485F">
            <w:pPr>
              <w:rPr>
                <w:rFonts w:asciiTheme="majorHAnsi" w:hAnsiTheme="majorHAnsi" w:cs="Calibri"/>
                <w:bCs/>
                <w:sz w:val="24"/>
                <w:szCs w:val="24"/>
              </w:rPr>
            </w:pPr>
            <w:r>
              <w:rPr>
                <w:rFonts w:ascii="Cambria" w:hAnsi="Cambria"/>
                <w:b/>
                <w:bCs/>
                <w:sz w:val="24"/>
                <w:szCs w:val="24"/>
              </w:rPr>
              <w:t xml:space="preserve">Background: </w:t>
            </w:r>
            <w:r w:rsidR="0004485F" w:rsidRPr="0004485F">
              <w:rPr>
                <w:rFonts w:ascii="Cambria" w:hAnsi="Cambria" w:cs="Calibri"/>
                <w:bCs/>
                <w:sz w:val="24"/>
                <w:szCs w:val="24"/>
              </w:rPr>
              <w:t>In the 2015 legislative session, House Bill 2546 removed the definition of “enclosed area” from statute and instead gave the Oregon Health Authority the authority to define “enclosed area” in rule. This provided an opportunity to clarify the applicability of the Indoor Clean Air Act [ORS § 433.835 - 433.875] to outdoor and semi-outdoor spaces within and around public places and places of employment that are covered by the ICAA.</w:t>
            </w:r>
          </w:p>
          <w:p w:rsidR="008049D2" w:rsidRDefault="008049D2" w:rsidP="005C2902">
            <w:pPr>
              <w:rPr>
                <w:rFonts w:ascii="Cambria" w:hAnsi="Cambria"/>
                <w:sz w:val="24"/>
                <w:szCs w:val="24"/>
              </w:rPr>
            </w:pPr>
          </w:p>
          <w:p w:rsidR="008049D2" w:rsidRPr="007601FC" w:rsidRDefault="008049D2" w:rsidP="00F31CCD">
            <w:pPr>
              <w:rPr>
                <w:rFonts w:ascii="Cambria" w:hAnsi="Cambria"/>
                <w:sz w:val="24"/>
                <w:szCs w:val="24"/>
                <w:highlight w:val="yellow"/>
              </w:rPr>
            </w:pPr>
            <w:r>
              <w:rPr>
                <w:rFonts w:ascii="Cambria" w:hAnsi="Cambria"/>
                <w:b/>
                <w:bCs/>
                <w:sz w:val="24"/>
                <w:szCs w:val="24"/>
              </w:rPr>
              <w:t>Objective:</w:t>
            </w:r>
            <w:r>
              <w:rPr>
                <w:rFonts w:ascii="Cambria" w:hAnsi="Cambria"/>
                <w:sz w:val="24"/>
                <w:szCs w:val="24"/>
              </w:rPr>
              <w:t xml:space="preserve"> </w:t>
            </w:r>
            <w:r w:rsidR="0004485F">
              <w:rPr>
                <w:rFonts w:ascii="Cambria" w:hAnsi="Cambria"/>
                <w:sz w:val="24"/>
                <w:szCs w:val="24"/>
              </w:rPr>
              <w:t xml:space="preserve">Update the committee on the </w:t>
            </w:r>
            <w:r w:rsidR="0004485F" w:rsidRPr="006A5588">
              <w:rPr>
                <w:rFonts w:ascii="Cambria" w:hAnsi="Cambria"/>
                <w:sz w:val="24"/>
                <w:szCs w:val="24"/>
              </w:rPr>
              <w:t>steps</w:t>
            </w:r>
            <w:r w:rsidR="0004485F">
              <w:rPr>
                <w:rFonts w:ascii="Cambria" w:hAnsi="Cambria"/>
                <w:sz w:val="24"/>
                <w:szCs w:val="24"/>
              </w:rPr>
              <w:t xml:space="preserve"> that OHA is taking</w:t>
            </w:r>
            <w:r w:rsidR="0004485F" w:rsidRPr="006A5588">
              <w:rPr>
                <w:rFonts w:ascii="Cambria" w:hAnsi="Cambria"/>
                <w:sz w:val="24"/>
                <w:szCs w:val="24"/>
              </w:rPr>
              <w:t xml:space="preserve"> to address concerns about communications to business and perceived ambiguity in the n</w:t>
            </w:r>
            <w:r w:rsidR="0004485F">
              <w:rPr>
                <w:rFonts w:ascii="Cambria" w:hAnsi="Cambria"/>
                <w:sz w:val="24"/>
                <w:szCs w:val="24"/>
              </w:rPr>
              <w:t xml:space="preserve">ew definition of enclosed areas, including the delaying enforcement of </w:t>
            </w:r>
            <w:r w:rsidR="0004485F">
              <w:rPr>
                <w:rFonts w:ascii="Cambria" w:hAnsi="Cambria"/>
                <w:sz w:val="24"/>
                <w:szCs w:val="24"/>
              </w:rPr>
              <w:lastRenderedPageBreak/>
              <w:t xml:space="preserve">the rules </w:t>
            </w:r>
            <w:r w:rsidR="0004485F" w:rsidRPr="006A5588">
              <w:rPr>
                <w:rFonts w:ascii="Cambria" w:hAnsi="Cambria"/>
                <w:sz w:val="24"/>
                <w:szCs w:val="24"/>
              </w:rPr>
              <w:t>pertaining specifically to the newly revised “enclosed area” definition until January 1, 2018</w:t>
            </w:r>
            <w:r w:rsidR="0004485F">
              <w:rPr>
                <w:rFonts w:ascii="Cambria" w:hAnsi="Cambria"/>
                <w:sz w:val="24"/>
                <w:szCs w:val="24"/>
              </w:rPr>
              <w:t>.</w:t>
            </w:r>
          </w:p>
        </w:tc>
        <w:tc>
          <w:tcPr>
            <w:tcW w:w="3330" w:type="dxa"/>
          </w:tcPr>
          <w:p w:rsidR="008049D2" w:rsidRPr="006C0D45" w:rsidRDefault="008049D2" w:rsidP="006C0D45">
            <w:pPr>
              <w:rPr>
                <w:rFonts w:ascii="Cambria" w:hAnsi="Cambria"/>
                <w:sz w:val="24"/>
                <w:szCs w:val="24"/>
                <w:highlight w:val="yellow"/>
              </w:rPr>
            </w:pPr>
          </w:p>
        </w:tc>
        <w:tc>
          <w:tcPr>
            <w:tcW w:w="2160" w:type="dxa"/>
          </w:tcPr>
          <w:p w:rsidR="008049D2" w:rsidRPr="007601FC" w:rsidRDefault="008049D2" w:rsidP="009E6423">
            <w:pPr>
              <w:rPr>
                <w:rFonts w:ascii="Cambria" w:hAnsi="Cambria"/>
                <w:sz w:val="24"/>
                <w:szCs w:val="24"/>
                <w:highlight w:val="yellow"/>
              </w:rPr>
            </w:pPr>
            <w:r w:rsidRPr="005C2902">
              <w:rPr>
                <w:rFonts w:ascii="Cambria" w:hAnsi="Cambria"/>
                <w:sz w:val="24"/>
                <w:szCs w:val="24"/>
              </w:rPr>
              <w:t>Luci Longoria, Kim La Croix</w:t>
            </w:r>
          </w:p>
        </w:tc>
      </w:tr>
      <w:tr w:rsidR="008049D2" w:rsidRPr="00724511" w:rsidTr="001246F0">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8049D2" w:rsidP="000508F0">
            <w:pPr>
              <w:rPr>
                <w:rFonts w:ascii="Cambria" w:hAnsi="Cambria"/>
                <w:sz w:val="24"/>
                <w:szCs w:val="24"/>
              </w:rPr>
            </w:pPr>
            <w:r>
              <w:rPr>
                <w:rFonts w:ascii="Cambria" w:hAnsi="Cambria"/>
                <w:sz w:val="24"/>
                <w:szCs w:val="24"/>
              </w:rPr>
              <w:t>2:55-3:05</w:t>
            </w:r>
          </w:p>
        </w:tc>
        <w:tc>
          <w:tcPr>
            <w:tcW w:w="6097" w:type="dxa"/>
          </w:tcPr>
          <w:p w:rsidR="008049D2" w:rsidRPr="00724511" w:rsidRDefault="008049D2" w:rsidP="009E6423">
            <w:pPr>
              <w:rPr>
                <w:rFonts w:ascii="Cambria" w:hAnsi="Cambria"/>
                <w:sz w:val="24"/>
                <w:szCs w:val="24"/>
              </w:rPr>
            </w:pPr>
            <w:bookmarkStart w:id="0" w:name="_GoBack"/>
            <w:bookmarkEnd w:id="0"/>
          </w:p>
        </w:tc>
        <w:tc>
          <w:tcPr>
            <w:tcW w:w="3330" w:type="dxa"/>
          </w:tcPr>
          <w:p w:rsidR="008049D2" w:rsidRPr="00724511" w:rsidRDefault="008049D2" w:rsidP="009E6423">
            <w:pPr>
              <w:rPr>
                <w:rFonts w:ascii="Cambria" w:hAnsi="Cambria"/>
                <w:sz w:val="24"/>
                <w:szCs w:val="24"/>
              </w:rPr>
            </w:pPr>
            <w:r>
              <w:rPr>
                <w:rFonts w:ascii="Cambria" w:hAnsi="Cambria"/>
                <w:sz w:val="24"/>
                <w:szCs w:val="24"/>
              </w:rPr>
              <w:t xml:space="preserve"> </w:t>
            </w:r>
          </w:p>
        </w:tc>
        <w:tc>
          <w:tcPr>
            <w:tcW w:w="2160" w:type="dxa"/>
          </w:tcPr>
          <w:p w:rsidR="008049D2" w:rsidRPr="00724511" w:rsidRDefault="008049D2" w:rsidP="009E6423">
            <w:pPr>
              <w:rPr>
                <w:rFonts w:ascii="Cambria" w:hAnsi="Cambria"/>
                <w:sz w:val="24"/>
                <w:szCs w:val="24"/>
              </w:rPr>
            </w:pPr>
          </w:p>
        </w:tc>
      </w:tr>
      <w:tr w:rsidR="008049D2" w:rsidRPr="00724511" w:rsidTr="001246F0">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6097" w:type="dxa"/>
          </w:tcPr>
          <w:p w:rsidR="008049D2" w:rsidRPr="00724511" w:rsidRDefault="008049D2" w:rsidP="009E6423">
            <w:pPr>
              <w:rPr>
                <w:rFonts w:ascii="Cambria" w:hAnsi="Cambria"/>
                <w:sz w:val="24"/>
                <w:szCs w:val="24"/>
              </w:rPr>
            </w:pPr>
          </w:p>
        </w:tc>
        <w:tc>
          <w:tcPr>
            <w:tcW w:w="3330" w:type="dxa"/>
          </w:tcPr>
          <w:p w:rsidR="008049D2" w:rsidRPr="00724511" w:rsidRDefault="008049D2"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04485F" w:rsidRPr="00724511" w:rsidRDefault="0004485F"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FBD"/>
    <w:rsid w:val="00035B8A"/>
    <w:rsid w:val="00037D12"/>
    <w:rsid w:val="000424A5"/>
    <w:rsid w:val="00042FEA"/>
    <w:rsid w:val="000430C5"/>
    <w:rsid w:val="0004485F"/>
    <w:rsid w:val="00044CF6"/>
    <w:rsid w:val="000508F0"/>
    <w:rsid w:val="00064E68"/>
    <w:rsid w:val="00070540"/>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3F32"/>
    <w:rsid w:val="000B49F2"/>
    <w:rsid w:val="000B7B95"/>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B86"/>
    <w:rsid w:val="001549C5"/>
    <w:rsid w:val="00155130"/>
    <w:rsid w:val="0015688B"/>
    <w:rsid w:val="00156E8B"/>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4F1E"/>
    <w:rsid w:val="00385461"/>
    <w:rsid w:val="0038693D"/>
    <w:rsid w:val="00387D35"/>
    <w:rsid w:val="00395D04"/>
    <w:rsid w:val="003A19B0"/>
    <w:rsid w:val="003A333F"/>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205C1"/>
    <w:rsid w:val="005207A1"/>
    <w:rsid w:val="00522F94"/>
    <w:rsid w:val="00526A04"/>
    <w:rsid w:val="0052779A"/>
    <w:rsid w:val="00527D89"/>
    <w:rsid w:val="00531D74"/>
    <w:rsid w:val="00535A75"/>
    <w:rsid w:val="00536C1A"/>
    <w:rsid w:val="00536E03"/>
    <w:rsid w:val="005423FF"/>
    <w:rsid w:val="00543175"/>
    <w:rsid w:val="00544ACA"/>
    <w:rsid w:val="00544B04"/>
    <w:rsid w:val="00544D7E"/>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31AF"/>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4B39"/>
    <w:rsid w:val="00796DEE"/>
    <w:rsid w:val="007A256A"/>
    <w:rsid w:val="007A3E7C"/>
    <w:rsid w:val="007A4B86"/>
    <w:rsid w:val="007A5B0C"/>
    <w:rsid w:val="007B52C2"/>
    <w:rsid w:val="007B5485"/>
    <w:rsid w:val="007B618D"/>
    <w:rsid w:val="007B77DA"/>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A0F"/>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642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5F41"/>
    <w:rsid w:val="00AD7C5E"/>
    <w:rsid w:val="00AE1204"/>
    <w:rsid w:val="00AE6BB8"/>
    <w:rsid w:val="00AF7613"/>
    <w:rsid w:val="00B045FD"/>
    <w:rsid w:val="00B05EF7"/>
    <w:rsid w:val="00B060B7"/>
    <w:rsid w:val="00B12572"/>
    <w:rsid w:val="00B13CF0"/>
    <w:rsid w:val="00B14981"/>
    <w:rsid w:val="00B210FD"/>
    <w:rsid w:val="00B22805"/>
    <w:rsid w:val="00B244E6"/>
    <w:rsid w:val="00B26A9F"/>
    <w:rsid w:val="00B27994"/>
    <w:rsid w:val="00B3283D"/>
    <w:rsid w:val="00B34125"/>
    <w:rsid w:val="00B34508"/>
    <w:rsid w:val="00B34E82"/>
    <w:rsid w:val="00B3587D"/>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2691"/>
    <w:rsid w:val="00BC435C"/>
    <w:rsid w:val="00BD083A"/>
    <w:rsid w:val="00BD0CE3"/>
    <w:rsid w:val="00BD0DE3"/>
    <w:rsid w:val="00BD1448"/>
    <w:rsid w:val="00BD5BA4"/>
    <w:rsid w:val="00BD7097"/>
    <w:rsid w:val="00BD73CC"/>
    <w:rsid w:val="00BD7F91"/>
    <w:rsid w:val="00BE1D27"/>
    <w:rsid w:val="00BE3AF6"/>
    <w:rsid w:val="00BE3DFC"/>
    <w:rsid w:val="00BE5A54"/>
    <w:rsid w:val="00BE67BF"/>
    <w:rsid w:val="00BE67C1"/>
    <w:rsid w:val="00BF18DF"/>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0232"/>
    <w:rsid w:val="00C5061C"/>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1160"/>
    <w:rsid w:val="00F213E6"/>
    <w:rsid w:val="00F24A47"/>
    <w:rsid w:val="00F25887"/>
    <w:rsid w:val="00F25A1F"/>
    <w:rsid w:val="00F266B8"/>
    <w:rsid w:val="00F27371"/>
    <w:rsid w:val="00F27977"/>
    <w:rsid w:val="00F31CCD"/>
    <w:rsid w:val="00F34504"/>
    <w:rsid w:val="00F37E0D"/>
    <w:rsid w:val="00F41EE5"/>
    <w:rsid w:val="00F4497D"/>
    <w:rsid w:val="00F46103"/>
    <w:rsid w:val="00F46BD9"/>
    <w:rsid w:val="00F46BDD"/>
    <w:rsid w:val="00F502B8"/>
    <w:rsid w:val="00F50625"/>
    <w:rsid w:val="00F522D8"/>
    <w:rsid w:val="00F53500"/>
    <w:rsid w:val="00F540EE"/>
    <w:rsid w:val="00F618C9"/>
    <w:rsid w:val="00F64CC5"/>
    <w:rsid w:val="00F64D14"/>
    <w:rsid w:val="00F64D27"/>
    <w:rsid w:val="00F673F7"/>
    <w:rsid w:val="00F70575"/>
    <w:rsid w:val="00F710FB"/>
    <w:rsid w:val="00F71CD8"/>
    <w:rsid w:val="00F73773"/>
    <w:rsid w:val="00F742CB"/>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532</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Freewynn Sabrina L</dc:creator>
  <cp:keywords/>
  <dc:description/>
  <cp:lastModifiedBy>Epstein Andrew D</cp:lastModifiedBy>
  <cp:revision>13</cp:revision>
  <cp:lastPrinted>2016-12-19T17:51:00Z</cp:lastPrinted>
  <dcterms:created xsi:type="dcterms:W3CDTF">2016-12-13T22:14:00Z</dcterms:created>
  <dcterms:modified xsi:type="dcterms:W3CDTF">2017-01-03T16:33:00Z</dcterms:modified>
</cp:coreProperties>
</file>