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Funding Local Public Health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1.) County funds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 fund support (e.g., WIC, FCH, CD)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Admin support (HR, IT, Finance, Budget)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Matching funds - FCH</w:t>
      </w:r>
    </w:p>
    <w:p w:rsidR="00000000" w:rsidDel="00000000" w:rsidP="00000000" w:rsidRDefault="00000000" w:rsidRPr="00000000" w14:paraId="00000007">
      <w:pPr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Opportunities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Pursue a “Public Health levy” akin to “Public Safety Levy”; or a joint “Health &amp; Safety Levy”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Long term:  address property tax challenge (ie., address “annual growth rate” limit of 3% and the move from “real market value” to “assessed value”)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current local funding streams (e.g., County parks funding to support environmental health mosquito testing; collaboration and optimization of other internal County resources)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2.) State funds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Direct state funding to LHDs (e.g., TB funding)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Indirect funding to LHDs (e.g., Flu pool vaccines, Bicillin)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Opportunities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Cannabis tax revenue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select tax revenues (e.g., future alcohol taxes)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Participate in opioid settlement funds allocated to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Increase pass-through grant funds (e.g., ELC and PHEP grants)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Seek portion of new opioid settlement funds (announced 6/15/25)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3.) Medicaid funds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Billing for clinical services (e.g., CD, FCH)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Prevention PMPM payments from CCOs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Grant funding from CCOs</w:t>
      </w:r>
    </w:p>
    <w:p w:rsidR="00000000" w:rsidDel="00000000" w:rsidP="00000000" w:rsidRDefault="00000000" w:rsidRPr="00000000" w14:paraId="00000018">
      <w:pPr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Opportunities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Increase funds via CCO grants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Improve QIM results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Increase current PMPM prevention funding or expand to other areas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Seek funding for new programs (e.g.,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CCO-funded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IQIP position)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4.) Federal funds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Direct funding to LHDs (e.g., CDC)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 through federal funding (e.g., state receives federal funds with a portion distributed to LHDs)</w:t>
      </w:r>
    </w:p>
    <w:p w:rsidR="00000000" w:rsidDel="00000000" w:rsidP="00000000" w:rsidRDefault="00000000" w:rsidRPr="00000000" w14:paraId="00000020">
      <w:pPr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Opportunities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MAHA (“Make America Healthy Again” initiative), seems to have mainly a chronic disease focus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Pursue new federal grants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Collaborations with new or “atypical” federal funding sources (e.g., “Administration for a Healthy America”)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5.) Other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Fees and fines (e.g., environmental health services)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External grants (e.g., CDC-funded IRS grant)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In-kind support (e.g., Bushnell University nursing students)</w:t>
      </w:r>
    </w:p>
    <w:p w:rsidR="00000000" w:rsidDel="00000000" w:rsidP="00000000" w:rsidRDefault="00000000" w:rsidRPr="00000000" w14:paraId="00000028">
      <w:pPr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Opportunities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Hospital collaborations (e.g., “Community Health”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Kaiser Permanente collaboration (e.g., “Mobile Health” program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Other creative collaborations (e.g., cities, EcoNorthwest)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health department (e.g., Multnomah &amp; PSU – OHSU)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)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)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345A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345A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345A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345A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345A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345A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345A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345A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345A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345A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345A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345A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345A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4345A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345A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345A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345A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345A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345A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45A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345A4"/>
    <w:rPr>
      <w:b w:val="1"/>
      <w:bCs w:val="1"/>
      <w:smallCaps w:val="1"/>
      <w:color w:val="0f4761" w:themeColor="accent1" w:themeShade="0000BF"/>
      <w:spacing w:val="5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EPTacTgfN2vWBILiYUy0e4dpA==">CgMxLjA4AHIhMTduTHBfRzA5UkFYSF9jbDkyMzNkLVlLOWdvdTJrRkZG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2025-07-16T19:20:00Z</dcterms:created>
  <dc:creator>LUEDTKE Patrick</dc:creator>
</cp:coreProperties>
</file>