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65BB0" w14:textId="77777777" w:rsidR="00AD30CC" w:rsidRPr="00AD30CC" w:rsidRDefault="00AD30CC" w:rsidP="00AD30CC">
      <w:pPr>
        <w:spacing w:after="0" w:line="240" w:lineRule="auto"/>
        <w:rPr>
          <w:rFonts w:ascii="Arial" w:eastAsia="Times New Roman" w:hAnsi="Arial" w:cs="Arial"/>
          <w:b/>
          <w:bCs/>
          <w:sz w:val="24"/>
          <w:szCs w:val="24"/>
        </w:rPr>
      </w:pPr>
      <w:r w:rsidRPr="00AD30CC">
        <w:rPr>
          <w:rFonts w:ascii="Arial" w:eastAsia="Times New Roman" w:hAnsi="Arial" w:cs="Arial"/>
          <w:b/>
          <w:bCs/>
          <w:sz w:val="24"/>
          <w:szCs w:val="24"/>
        </w:rPr>
        <w:t xml:space="preserve">Recommendations for Non-COVID-19 Disease Reporting and Investigation </w:t>
      </w:r>
    </w:p>
    <w:p w14:paraId="0D782E7B" w14:textId="77777777" w:rsidR="00AD30CC" w:rsidRPr="00AD30CC" w:rsidRDefault="00AD30CC" w:rsidP="00AD30CC">
      <w:pPr>
        <w:spacing w:after="0" w:line="240" w:lineRule="auto"/>
        <w:rPr>
          <w:rFonts w:ascii="Arial" w:eastAsia="Times New Roman" w:hAnsi="Arial" w:cs="Arial"/>
          <w:sz w:val="24"/>
          <w:szCs w:val="24"/>
        </w:rPr>
      </w:pPr>
      <w:r w:rsidRPr="00AD30CC">
        <w:rPr>
          <w:rFonts w:ascii="Arial" w:eastAsia="Times New Roman" w:hAnsi="Arial" w:cs="Arial"/>
          <w:sz w:val="24"/>
          <w:szCs w:val="24"/>
        </w:rPr>
        <w:t>To maintain a functional disease surveillance system in Oregon, please continue to report all cases of communicable disease by creating cases in Orpheus and Opera. In the report provide at least the basic demographic information, disease name, date of onset, and information needed to classify the case. For most reportable conditions, contacting the patient and attempting to determine sources, contacts, and ancillary details can be omitted when resources are insufficient to accomplish this without compromising the higher-priority work below.</w:t>
      </w:r>
    </w:p>
    <w:p w14:paraId="569BD95B" w14:textId="77777777" w:rsidR="00AD30CC" w:rsidRPr="00AD30CC" w:rsidRDefault="00AD30CC" w:rsidP="00AD30CC">
      <w:pPr>
        <w:spacing w:after="0" w:line="240" w:lineRule="auto"/>
        <w:rPr>
          <w:rFonts w:ascii="Arial" w:eastAsia="Times New Roman" w:hAnsi="Arial" w:cs="Arial"/>
          <w:sz w:val="24"/>
          <w:szCs w:val="24"/>
        </w:rPr>
      </w:pPr>
    </w:p>
    <w:p w14:paraId="33EE6C80" w14:textId="77777777" w:rsidR="00AD30CC" w:rsidRPr="00AD30CC" w:rsidRDefault="00AD30CC" w:rsidP="00AD30CC">
      <w:pPr>
        <w:spacing w:after="0" w:line="240" w:lineRule="auto"/>
        <w:rPr>
          <w:rFonts w:ascii="Arial" w:eastAsia="Times New Roman" w:hAnsi="Arial" w:cs="Arial"/>
          <w:sz w:val="24"/>
          <w:szCs w:val="24"/>
        </w:rPr>
      </w:pPr>
      <w:r w:rsidRPr="00AD30CC">
        <w:rPr>
          <w:rFonts w:ascii="Arial" w:eastAsia="Times New Roman" w:hAnsi="Arial" w:cs="Arial"/>
          <w:sz w:val="24"/>
          <w:szCs w:val="24"/>
        </w:rPr>
        <w:t xml:space="preserve">In the interest of public health, we recommend that LPHAs prioritize the investigation of the following communicable diseases in accord with standard requirements for completion and timeliness outlined in the </w:t>
      </w:r>
      <w:hyperlink r:id="rId5" w:history="1">
        <w:r w:rsidRPr="00AD30CC">
          <w:rPr>
            <w:rFonts w:ascii="Arial" w:eastAsia="Times New Roman" w:hAnsi="Arial" w:cs="Arial"/>
            <w:color w:val="0000FF"/>
            <w:sz w:val="24"/>
            <w:szCs w:val="24"/>
            <w:u w:val="single"/>
          </w:rPr>
          <w:t>investigative guidelines</w:t>
        </w:r>
      </w:hyperlink>
      <w:r w:rsidRPr="00AD30CC">
        <w:rPr>
          <w:rFonts w:ascii="Arial" w:eastAsia="Times New Roman" w:hAnsi="Arial" w:cs="Arial"/>
          <w:sz w:val="24"/>
          <w:szCs w:val="24"/>
        </w:rPr>
        <w:t>:</w:t>
      </w:r>
    </w:p>
    <w:p w14:paraId="5CC52850" w14:textId="77777777" w:rsidR="00AD30CC" w:rsidRPr="00AD30CC" w:rsidRDefault="00AD30CC" w:rsidP="00AD30CC">
      <w:pPr>
        <w:spacing w:after="0" w:line="240" w:lineRule="auto"/>
        <w:rPr>
          <w:rFonts w:ascii="Arial" w:eastAsia="Times New Roman" w:hAnsi="Arial" w:cs="Arial"/>
          <w:sz w:val="24"/>
          <w:szCs w:val="24"/>
        </w:rPr>
      </w:pPr>
    </w:p>
    <w:p w14:paraId="12A87FA6" w14:textId="77777777" w:rsidR="00AD30CC" w:rsidRPr="00AD30CC" w:rsidRDefault="00AD30CC" w:rsidP="00AD30CC">
      <w:pPr>
        <w:numPr>
          <w:ilvl w:val="0"/>
          <w:numId w:val="1"/>
        </w:numPr>
        <w:spacing w:after="0" w:line="240" w:lineRule="auto"/>
        <w:ind w:left="960"/>
        <w:rPr>
          <w:rFonts w:ascii="Arial" w:eastAsia="Times New Roman" w:hAnsi="Arial" w:cs="Arial"/>
          <w:b/>
          <w:bCs/>
          <w:sz w:val="24"/>
          <w:szCs w:val="24"/>
        </w:rPr>
      </w:pPr>
      <w:r w:rsidRPr="00AD30CC">
        <w:rPr>
          <w:rFonts w:ascii="Arial" w:eastAsia="Times New Roman" w:hAnsi="Arial" w:cs="Arial"/>
          <w:b/>
          <w:bCs/>
          <w:sz w:val="24"/>
          <w:szCs w:val="24"/>
        </w:rPr>
        <w:t>Botulism</w:t>
      </w:r>
    </w:p>
    <w:p w14:paraId="6535BD13" w14:textId="77777777" w:rsidR="00AD30CC" w:rsidRPr="00AD30CC" w:rsidRDefault="00AD30CC" w:rsidP="00AD30CC">
      <w:pPr>
        <w:numPr>
          <w:ilvl w:val="0"/>
          <w:numId w:val="1"/>
        </w:numPr>
        <w:spacing w:after="0" w:line="240" w:lineRule="auto"/>
        <w:ind w:left="960"/>
        <w:rPr>
          <w:rFonts w:ascii="Arial" w:eastAsia="Times New Roman" w:hAnsi="Arial" w:cs="Arial"/>
          <w:b/>
          <w:bCs/>
          <w:sz w:val="24"/>
          <w:szCs w:val="24"/>
        </w:rPr>
      </w:pPr>
      <w:r w:rsidRPr="00AD30CC">
        <w:rPr>
          <w:rFonts w:ascii="Arial" w:eastAsia="Times New Roman" w:hAnsi="Arial" w:cs="Arial"/>
          <w:b/>
          <w:bCs/>
          <w:sz w:val="24"/>
          <w:szCs w:val="24"/>
        </w:rPr>
        <w:t>Animal bites for which rabies vaccine is indicated</w:t>
      </w:r>
    </w:p>
    <w:p w14:paraId="59A35D77" w14:textId="77777777" w:rsidR="00AD30CC" w:rsidRPr="00AD30CC" w:rsidRDefault="00AD30CC" w:rsidP="00AD30CC">
      <w:pPr>
        <w:numPr>
          <w:ilvl w:val="0"/>
          <w:numId w:val="1"/>
        </w:numPr>
        <w:spacing w:after="0" w:line="240" w:lineRule="auto"/>
        <w:ind w:left="960"/>
        <w:rPr>
          <w:rFonts w:ascii="Arial" w:eastAsia="Times New Roman" w:hAnsi="Arial" w:cs="Arial"/>
          <w:b/>
          <w:bCs/>
          <w:sz w:val="24"/>
          <w:szCs w:val="24"/>
        </w:rPr>
      </w:pPr>
      <w:r w:rsidRPr="00AD30CC">
        <w:rPr>
          <w:rFonts w:ascii="Arial" w:eastAsia="Times New Roman" w:hAnsi="Arial" w:cs="Arial"/>
          <w:b/>
          <w:bCs/>
          <w:sz w:val="24"/>
          <w:szCs w:val="24"/>
        </w:rPr>
        <w:t>Tuberculosis</w:t>
      </w:r>
    </w:p>
    <w:p w14:paraId="6B4576B8" w14:textId="77777777" w:rsidR="00AD30CC" w:rsidRPr="00AD30CC" w:rsidRDefault="00AD30CC" w:rsidP="00AD30CC">
      <w:pPr>
        <w:numPr>
          <w:ilvl w:val="0"/>
          <w:numId w:val="1"/>
        </w:numPr>
        <w:spacing w:after="0" w:line="240" w:lineRule="auto"/>
        <w:ind w:left="960"/>
        <w:rPr>
          <w:rFonts w:ascii="Calibri" w:eastAsia="Times New Roman" w:hAnsi="Calibri" w:cs="Calibri"/>
          <w:b/>
          <w:bCs/>
        </w:rPr>
      </w:pPr>
      <w:r w:rsidRPr="00AD30CC">
        <w:rPr>
          <w:rFonts w:ascii="Arial" w:eastAsia="Times New Roman" w:hAnsi="Arial" w:cs="Arial"/>
          <w:b/>
          <w:bCs/>
          <w:sz w:val="24"/>
          <w:szCs w:val="24"/>
        </w:rPr>
        <w:t>HIV infection</w:t>
      </w:r>
    </w:p>
    <w:p w14:paraId="62E85E89" w14:textId="77777777" w:rsidR="00AD30CC" w:rsidRPr="00AD30CC" w:rsidRDefault="00AD30CC" w:rsidP="00AD30CC">
      <w:pPr>
        <w:numPr>
          <w:ilvl w:val="0"/>
          <w:numId w:val="1"/>
        </w:numPr>
        <w:spacing w:after="0" w:line="240" w:lineRule="auto"/>
        <w:ind w:left="960"/>
        <w:rPr>
          <w:rFonts w:ascii="Arial" w:eastAsia="Times New Roman" w:hAnsi="Arial" w:cs="Arial"/>
          <w:b/>
          <w:bCs/>
          <w:sz w:val="24"/>
          <w:szCs w:val="24"/>
        </w:rPr>
      </w:pPr>
      <w:r w:rsidRPr="00AD30CC">
        <w:rPr>
          <w:rFonts w:ascii="Arial" w:eastAsia="Times New Roman" w:hAnsi="Arial" w:cs="Arial"/>
          <w:b/>
          <w:bCs/>
          <w:sz w:val="24"/>
          <w:szCs w:val="24"/>
        </w:rPr>
        <w:t xml:space="preserve">Syphilis, all risk </w:t>
      </w:r>
      <w:proofErr w:type="gramStart"/>
      <w:r w:rsidRPr="00AD30CC">
        <w:rPr>
          <w:rFonts w:ascii="Arial" w:eastAsia="Times New Roman" w:hAnsi="Arial" w:cs="Arial"/>
          <w:b/>
          <w:bCs/>
          <w:sz w:val="24"/>
          <w:szCs w:val="24"/>
        </w:rPr>
        <w:t>groups</w:t>
      </w:r>
      <w:proofErr w:type="gramEnd"/>
      <w:r w:rsidRPr="00AD30CC">
        <w:rPr>
          <w:rFonts w:ascii="Arial" w:eastAsia="Times New Roman" w:hAnsi="Arial" w:cs="Arial"/>
          <w:b/>
          <w:bCs/>
          <w:sz w:val="24"/>
          <w:szCs w:val="24"/>
        </w:rPr>
        <w:t xml:space="preserve"> and stages if resources allow, with the following prioritization if resources are insufficient to investigate all cases:</w:t>
      </w:r>
    </w:p>
    <w:p w14:paraId="077FAAFA" w14:textId="77777777" w:rsidR="00AD30CC" w:rsidRPr="00AD30CC" w:rsidRDefault="00AD30CC" w:rsidP="00AD30CC">
      <w:pPr>
        <w:numPr>
          <w:ilvl w:val="1"/>
          <w:numId w:val="1"/>
        </w:numPr>
        <w:spacing w:after="0" w:line="240" w:lineRule="auto"/>
        <w:ind w:left="1680"/>
        <w:rPr>
          <w:rFonts w:ascii="Arial" w:eastAsia="Times New Roman" w:hAnsi="Arial" w:cs="Arial"/>
          <w:b/>
          <w:bCs/>
          <w:sz w:val="24"/>
          <w:szCs w:val="24"/>
        </w:rPr>
      </w:pPr>
      <w:r w:rsidRPr="00AD30CC">
        <w:rPr>
          <w:rFonts w:ascii="Arial" w:eastAsia="Times New Roman" w:hAnsi="Arial" w:cs="Arial"/>
          <w:b/>
          <w:bCs/>
          <w:sz w:val="24"/>
          <w:szCs w:val="24"/>
        </w:rPr>
        <w:t>Pregnant cases</w:t>
      </w:r>
    </w:p>
    <w:p w14:paraId="47CF004D" w14:textId="77777777" w:rsidR="00AD30CC" w:rsidRPr="00AD30CC" w:rsidRDefault="00AD30CC" w:rsidP="00AD30CC">
      <w:pPr>
        <w:numPr>
          <w:ilvl w:val="1"/>
          <w:numId w:val="1"/>
        </w:numPr>
        <w:spacing w:after="0" w:line="240" w:lineRule="auto"/>
        <w:ind w:left="1680"/>
        <w:rPr>
          <w:rFonts w:ascii="Arial" w:eastAsia="Times New Roman" w:hAnsi="Arial" w:cs="Arial"/>
          <w:b/>
          <w:bCs/>
          <w:sz w:val="24"/>
          <w:szCs w:val="24"/>
        </w:rPr>
      </w:pPr>
      <w:r w:rsidRPr="00AD30CC">
        <w:rPr>
          <w:rFonts w:ascii="Arial" w:eastAsia="Times New Roman" w:hAnsi="Arial" w:cs="Arial"/>
          <w:b/>
          <w:bCs/>
          <w:sz w:val="24"/>
          <w:szCs w:val="24"/>
        </w:rPr>
        <w:t>Cases in reproductive-aged people who can become pregnant</w:t>
      </w:r>
    </w:p>
    <w:p w14:paraId="6B4B6EC0" w14:textId="77777777" w:rsidR="00AD30CC" w:rsidRPr="00AD30CC" w:rsidRDefault="00AD30CC" w:rsidP="00AD30CC">
      <w:pPr>
        <w:numPr>
          <w:ilvl w:val="1"/>
          <w:numId w:val="1"/>
        </w:numPr>
        <w:spacing w:after="0" w:line="240" w:lineRule="auto"/>
        <w:ind w:left="1680"/>
        <w:rPr>
          <w:rFonts w:ascii="Arial" w:eastAsia="Times New Roman" w:hAnsi="Arial" w:cs="Arial"/>
          <w:b/>
          <w:bCs/>
          <w:sz w:val="24"/>
          <w:szCs w:val="24"/>
        </w:rPr>
      </w:pPr>
      <w:r w:rsidRPr="00AD30CC">
        <w:rPr>
          <w:rFonts w:ascii="Arial" w:eastAsia="Times New Roman" w:hAnsi="Arial" w:cs="Arial"/>
          <w:b/>
          <w:bCs/>
          <w:sz w:val="24"/>
          <w:szCs w:val="24"/>
        </w:rPr>
        <w:t>All primary, secondary, or non-primary non-secondary syphilis</w:t>
      </w:r>
    </w:p>
    <w:p w14:paraId="47E4A15A" w14:textId="77777777" w:rsidR="00AD30CC" w:rsidRPr="00AD30CC" w:rsidRDefault="00AD30CC" w:rsidP="00AD30CC">
      <w:pPr>
        <w:numPr>
          <w:ilvl w:val="0"/>
          <w:numId w:val="1"/>
        </w:numPr>
        <w:spacing w:after="0" w:line="240" w:lineRule="auto"/>
        <w:ind w:left="960"/>
        <w:rPr>
          <w:rFonts w:ascii="Arial" w:eastAsia="Times New Roman" w:hAnsi="Arial" w:cs="Arial"/>
          <w:b/>
          <w:bCs/>
          <w:sz w:val="24"/>
          <w:szCs w:val="24"/>
        </w:rPr>
      </w:pPr>
      <w:r w:rsidRPr="00AD30CC">
        <w:rPr>
          <w:rFonts w:ascii="Arial" w:eastAsia="Times New Roman" w:hAnsi="Arial" w:cs="Arial"/>
          <w:b/>
          <w:bCs/>
          <w:sz w:val="24"/>
          <w:szCs w:val="24"/>
        </w:rPr>
        <w:t>Disease Outbreaks</w:t>
      </w:r>
    </w:p>
    <w:p w14:paraId="290EDF3A" w14:textId="77777777" w:rsidR="00AD30CC" w:rsidRPr="00AD30CC" w:rsidRDefault="00AD30CC" w:rsidP="00AD30CC">
      <w:pPr>
        <w:numPr>
          <w:ilvl w:val="1"/>
          <w:numId w:val="1"/>
        </w:numPr>
        <w:spacing w:after="0" w:line="240" w:lineRule="auto"/>
        <w:ind w:left="1680"/>
        <w:rPr>
          <w:rFonts w:ascii="Arial" w:eastAsia="Times New Roman" w:hAnsi="Arial" w:cs="Arial"/>
          <w:b/>
          <w:bCs/>
          <w:sz w:val="24"/>
          <w:szCs w:val="24"/>
        </w:rPr>
      </w:pPr>
      <w:r w:rsidRPr="00AD30CC">
        <w:rPr>
          <w:rFonts w:ascii="Arial" w:eastAsia="Times New Roman" w:hAnsi="Arial" w:cs="Arial"/>
          <w:b/>
          <w:bCs/>
          <w:sz w:val="24"/>
          <w:szCs w:val="24"/>
        </w:rPr>
        <w:t>Any in which hospitalizations or fatalities are reported</w:t>
      </w:r>
    </w:p>
    <w:p w14:paraId="3A966C44" w14:textId="77777777" w:rsidR="00AD30CC" w:rsidRPr="00AD30CC" w:rsidRDefault="00AD30CC" w:rsidP="00AD30CC">
      <w:pPr>
        <w:numPr>
          <w:ilvl w:val="1"/>
          <w:numId w:val="1"/>
        </w:numPr>
        <w:spacing w:after="0" w:line="240" w:lineRule="auto"/>
        <w:ind w:left="1680"/>
        <w:rPr>
          <w:rFonts w:ascii="Arial" w:eastAsia="Times New Roman" w:hAnsi="Arial" w:cs="Arial"/>
          <w:b/>
          <w:bCs/>
          <w:sz w:val="24"/>
          <w:szCs w:val="24"/>
        </w:rPr>
      </w:pPr>
      <w:r w:rsidRPr="00AD30CC">
        <w:rPr>
          <w:rFonts w:ascii="Arial" w:eastAsia="Times New Roman" w:hAnsi="Arial" w:cs="Arial"/>
          <w:b/>
          <w:bCs/>
          <w:sz w:val="24"/>
          <w:szCs w:val="24"/>
        </w:rPr>
        <w:t xml:space="preserve">Any others in congregate-living settings (e.g., long-term-care facilities, </w:t>
      </w:r>
      <w:proofErr w:type="gramStart"/>
      <w:r w:rsidRPr="00AD30CC">
        <w:rPr>
          <w:rFonts w:ascii="Arial" w:eastAsia="Times New Roman" w:hAnsi="Arial" w:cs="Arial"/>
          <w:b/>
          <w:bCs/>
          <w:sz w:val="24"/>
          <w:szCs w:val="24"/>
        </w:rPr>
        <w:t>correctional facilities</w:t>
      </w:r>
      <w:proofErr w:type="gramEnd"/>
      <w:r w:rsidRPr="00AD30CC">
        <w:rPr>
          <w:rFonts w:ascii="Arial" w:eastAsia="Times New Roman" w:hAnsi="Arial" w:cs="Arial"/>
          <w:b/>
          <w:bCs/>
          <w:sz w:val="24"/>
          <w:szCs w:val="24"/>
        </w:rPr>
        <w:t>)</w:t>
      </w:r>
    </w:p>
    <w:p w14:paraId="37C44F62" w14:textId="77777777" w:rsidR="00AD30CC" w:rsidRPr="00AD30CC" w:rsidRDefault="00AD30CC" w:rsidP="00AD30CC">
      <w:pPr>
        <w:numPr>
          <w:ilvl w:val="1"/>
          <w:numId w:val="1"/>
        </w:numPr>
        <w:spacing w:after="0" w:line="240" w:lineRule="auto"/>
        <w:ind w:left="1680"/>
        <w:rPr>
          <w:rFonts w:ascii="Arial" w:eastAsia="Times New Roman" w:hAnsi="Arial" w:cs="Arial"/>
          <w:b/>
          <w:bCs/>
          <w:sz w:val="24"/>
          <w:szCs w:val="24"/>
        </w:rPr>
      </w:pPr>
      <w:r w:rsidRPr="00AD30CC">
        <w:rPr>
          <w:rFonts w:ascii="Arial" w:eastAsia="Times New Roman" w:hAnsi="Arial" w:cs="Arial"/>
          <w:b/>
          <w:bCs/>
          <w:sz w:val="24"/>
          <w:szCs w:val="24"/>
        </w:rPr>
        <w:t>Outbreaks (e.g., of reportable enteric diseases) that hold the potential for effective control</w:t>
      </w:r>
    </w:p>
    <w:p w14:paraId="012644E9" w14:textId="77777777" w:rsidR="00AD30CC" w:rsidRPr="00AD30CC" w:rsidRDefault="00AD30CC" w:rsidP="00AD30CC">
      <w:pPr>
        <w:numPr>
          <w:ilvl w:val="0"/>
          <w:numId w:val="1"/>
        </w:numPr>
        <w:spacing w:after="0" w:line="240" w:lineRule="auto"/>
        <w:ind w:left="960"/>
        <w:rPr>
          <w:rFonts w:ascii="Arial" w:eastAsia="Times New Roman" w:hAnsi="Arial" w:cs="Arial"/>
          <w:b/>
          <w:bCs/>
          <w:sz w:val="24"/>
          <w:szCs w:val="24"/>
        </w:rPr>
      </w:pPr>
      <w:r w:rsidRPr="00AD30CC">
        <w:rPr>
          <w:rFonts w:ascii="Arial" w:eastAsia="Times New Roman" w:hAnsi="Arial" w:cs="Arial"/>
          <w:b/>
          <w:bCs/>
          <w:sz w:val="24"/>
          <w:szCs w:val="24"/>
        </w:rPr>
        <w:t>Single cases with proximate disease-control considerations:</w:t>
      </w:r>
    </w:p>
    <w:p w14:paraId="342E5E1C" w14:textId="77777777" w:rsidR="00AD30CC" w:rsidRPr="00AD30CC" w:rsidRDefault="00AD30CC" w:rsidP="00AD30CC">
      <w:pPr>
        <w:numPr>
          <w:ilvl w:val="1"/>
          <w:numId w:val="1"/>
        </w:numPr>
        <w:spacing w:after="0" w:line="240" w:lineRule="auto"/>
        <w:ind w:left="1680"/>
        <w:rPr>
          <w:rFonts w:ascii="Arial" w:eastAsia="Times New Roman" w:hAnsi="Arial" w:cs="Arial"/>
          <w:b/>
          <w:bCs/>
          <w:sz w:val="24"/>
          <w:szCs w:val="24"/>
        </w:rPr>
      </w:pPr>
      <w:r w:rsidRPr="00AD30CC">
        <w:rPr>
          <w:rFonts w:ascii="Arial" w:eastAsia="Times New Roman" w:hAnsi="Arial" w:cs="Arial"/>
          <w:b/>
          <w:bCs/>
          <w:sz w:val="24"/>
          <w:szCs w:val="24"/>
        </w:rPr>
        <w:t xml:space="preserve">Shiga-toxin-producing </w:t>
      </w:r>
      <w:r w:rsidRPr="00AD30CC">
        <w:rPr>
          <w:rFonts w:ascii="Arial" w:eastAsia="Times New Roman" w:hAnsi="Arial" w:cs="Arial"/>
          <w:b/>
          <w:bCs/>
          <w:i/>
          <w:iCs/>
          <w:sz w:val="24"/>
          <w:szCs w:val="24"/>
        </w:rPr>
        <w:t>E. coli</w:t>
      </w:r>
      <w:r w:rsidRPr="00AD30CC">
        <w:rPr>
          <w:rFonts w:ascii="Arial" w:eastAsia="Times New Roman" w:hAnsi="Arial" w:cs="Arial"/>
          <w:b/>
          <w:bCs/>
          <w:sz w:val="24"/>
          <w:szCs w:val="24"/>
        </w:rPr>
        <w:t xml:space="preserve"> and HUS </w:t>
      </w:r>
    </w:p>
    <w:p w14:paraId="71DD2C3D" w14:textId="77777777" w:rsidR="00AD30CC" w:rsidRPr="00AD30CC" w:rsidRDefault="00AD30CC" w:rsidP="00AD30CC">
      <w:pPr>
        <w:numPr>
          <w:ilvl w:val="1"/>
          <w:numId w:val="1"/>
        </w:numPr>
        <w:spacing w:after="0" w:line="240" w:lineRule="auto"/>
        <w:ind w:left="1680"/>
        <w:rPr>
          <w:rFonts w:ascii="Arial" w:eastAsia="Times New Roman" w:hAnsi="Arial" w:cs="Arial"/>
          <w:b/>
          <w:bCs/>
          <w:sz w:val="24"/>
          <w:szCs w:val="24"/>
        </w:rPr>
      </w:pPr>
      <w:r w:rsidRPr="00AD30CC">
        <w:rPr>
          <w:rFonts w:ascii="Arial" w:eastAsia="Times New Roman" w:hAnsi="Arial" w:cs="Arial"/>
          <w:b/>
          <w:bCs/>
          <w:sz w:val="24"/>
          <w:szCs w:val="24"/>
        </w:rPr>
        <w:t>Hepatitis A</w:t>
      </w:r>
    </w:p>
    <w:p w14:paraId="4CF72439" w14:textId="77777777" w:rsidR="00AD30CC" w:rsidRPr="00AD30CC" w:rsidRDefault="00AD30CC" w:rsidP="00AD30CC">
      <w:pPr>
        <w:numPr>
          <w:ilvl w:val="1"/>
          <w:numId w:val="1"/>
        </w:numPr>
        <w:spacing w:after="0" w:line="240" w:lineRule="auto"/>
        <w:ind w:left="1680"/>
        <w:rPr>
          <w:rFonts w:ascii="Arial" w:eastAsia="Times New Roman" w:hAnsi="Arial" w:cs="Arial"/>
          <w:b/>
          <w:bCs/>
          <w:sz w:val="24"/>
          <w:szCs w:val="24"/>
        </w:rPr>
      </w:pPr>
      <w:r w:rsidRPr="00AD30CC">
        <w:rPr>
          <w:rFonts w:ascii="Arial" w:eastAsia="Times New Roman" w:hAnsi="Arial" w:cs="Arial"/>
          <w:b/>
          <w:bCs/>
          <w:sz w:val="24"/>
          <w:szCs w:val="24"/>
        </w:rPr>
        <w:t>Hepatitis B</w:t>
      </w:r>
    </w:p>
    <w:p w14:paraId="40356AE9" w14:textId="77777777" w:rsidR="00AD30CC" w:rsidRPr="00AD30CC" w:rsidRDefault="00AD30CC" w:rsidP="00AD30CC">
      <w:pPr>
        <w:numPr>
          <w:ilvl w:val="1"/>
          <w:numId w:val="1"/>
        </w:numPr>
        <w:spacing w:after="0" w:line="240" w:lineRule="auto"/>
        <w:ind w:left="1680"/>
        <w:rPr>
          <w:rFonts w:ascii="Arial" w:eastAsia="Times New Roman" w:hAnsi="Arial" w:cs="Arial"/>
          <w:b/>
          <w:bCs/>
          <w:sz w:val="24"/>
          <w:szCs w:val="24"/>
        </w:rPr>
      </w:pPr>
      <w:r w:rsidRPr="00AD30CC">
        <w:rPr>
          <w:rFonts w:ascii="Arial" w:eastAsia="Times New Roman" w:hAnsi="Arial" w:cs="Arial"/>
          <w:b/>
          <w:bCs/>
          <w:sz w:val="24"/>
          <w:szCs w:val="24"/>
        </w:rPr>
        <w:t>Listeriosis</w:t>
      </w:r>
    </w:p>
    <w:p w14:paraId="5C533C11" w14:textId="77777777" w:rsidR="00AD30CC" w:rsidRPr="00AD30CC" w:rsidRDefault="00AD30CC" w:rsidP="00AD30CC">
      <w:pPr>
        <w:numPr>
          <w:ilvl w:val="1"/>
          <w:numId w:val="1"/>
        </w:numPr>
        <w:spacing w:after="0" w:line="240" w:lineRule="auto"/>
        <w:ind w:left="1680"/>
        <w:rPr>
          <w:rFonts w:ascii="Arial" w:eastAsia="Times New Roman" w:hAnsi="Arial" w:cs="Arial"/>
          <w:b/>
          <w:bCs/>
          <w:sz w:val="24"/>
          <w:szCs w:val="24"/>
        </w:rPr>
      </w:pPr>
      <w:r w:rsidRPr="00AD30CC">
        <w:rPr>
          <w:rFonts w:ascii="Arial" w:eastAsia="Times New Roman" w:hAnsi="Arial" w:cs="Arial"/>
          <w:b/>
          <w:bCs/>
          <w:sz w:val="24"/>
          <w:szCs w:val="24"/>
        </w:rPr>
        <w:t xml:space="preserve">Meningococcal Disease </w:t>
      </w:r>
    </w:p>
    <w:p w14:paraId="003446B3" w14:textId="77777777" w:rsidR="00AD30CC" w:rsidRPr="00AD30CC" w:rsidRDefault="00AD30CC" w:rsidP="00AD30CC">
      <w:pPr>
        <w:numPr>
          <w:ilvl w:val="1"/>
          <w:numId w:val="1"/>
        </w:numPr>
        <w:spacing w:after="0" w:line="240" w:lineRule="auto"/>
        <w:ind w:left="1680"/>
        <w:rPr>
          <w:rFonts w:ascii="Arial" w:eastAsia="Times New Roman" w:hAnsi="Arial" w:cs="Arial"/>
          <w:b/>
          <w:bCs/>
          <w:sz w:val="24"/>
          <w:szCs w:val="24"/>
        </w:rPr>
      </w:pPr>
      <w:r w:rsidRPr="00AD30CC">
        <w:rPr>
          <w:rFonts w:ascii="Arial" w:eastAsia="Times New Roman" w:hAnsi="Arial" w:cs="Arial"/>
          <w:b/>
          <w:bCs/>
          <w:sz w:val="24"/>
          <w:szCs w:val="24"/>
        </w:rPr>
        <w:t>Shigellosis</w:t>
      </w:r>
    </w:p>
    <w:p w14:paraId="7088F16E" w14:textId="77777777" w:rsidR="00AD30CC" w:rsidRPr="00AD30CC" w:rsidRDefault="00AD30CC" w:rsidP="00AD30CC">
      <w:pPr>
        <w:numPr>
          <w:ilvl w:val="1"/>
          <w:numId w:val="1"/>
        </w:numPr>
        <w:spacing w:after="0" w:line="240" w:lineRule="auto"/>
        <w:ind w:left="1680"/>
        <w:rPr>
          <w:rFonts w:ascii="Arial" w:eastAsia="Times New Roman" w:hAnsi="Arial" w:cs="Arial"/>
          <w:b/>
          <w:bCs/>
          <w:sz w:val="24"/>
          <w:szCs w:val="24"/>
        </w:rPr>
      </w:pPr>
      <w:r w:rsidRPr="00AD30CC">
        <w:rPr>
          <w:rFonts w:ascii="Arial" w:eastAsia="Times New Roman" w:hAnsi="Arial" w:cs="Arial"/>
          <w:b/>
          <w:bCs/>
          <w:sz w:val="24"/>
          <w:szCs w:val="24"/>
        </w:rPr>
        <w:t>Gonorrhea with the following prioritization based on resources:</w:t>
      </w:r>
    </w:p>
    <w:p w14:paraId="50A2EFD7" w14:textId="77777777" w:rsidR="00AD30CC" w:rsidRPr="00AD30CC" w:rsidRDefault="00AD30CC" w:rsidP="00AD30CC">
      <w:pPr>
        <w:numPr>
          <w:ilvl w:val="2"/>
          <w:numId w:val="1"/>
        </w:numPr>
        <w:spacing w:after="0" w:line="240" w:lineRule="auto"/>
        <w:ind w:left="2400"/>
        <w:rPr>
          <w:rFonts w:ascii="Arial" w:eastAsia="Times New Roman" w:hAnsi="Arial" w:cs="Arial"/>
          <w:b/>
          <w:bCs/>
          <w:sz w:val="24"/>
          <w:szCs w:val="24"/>
        </w:rPr>
      </w:pPr>
      <w:r w:rsidRPr="00AD30CC">
        <w:rPr>
          <w:rFonts w:ascii="Arial" w:eastAsia="Times New Roman" w:hAnsi="Arial" w:cs="Arial"/>
          <w:b/>
          <w:bCs/>
          <w:sz w:val="24"/>
          <w:szCs w:val="24"/>
        </w:rPr>
        <w:t>Rectal gonococcal infections</w:t>
      </w:r>
    </w:p>
    <w:p w14:paraId="15D7DC1B" w14:textId="77777777" w:rsidR="00AD30CC" w:rsidRPr="00AD30CC" w:rsidRDefault="00AD30CC" w:rsidP="00AD30CC">
      <w:pPr>
        <w:numPr>
          <w:ilvl w:val="2"/>
          <w:numId w:val="1"/>
        </w:numPr>
        <w:spacing w:after="0" w:line="240" w:lineRule="auto"/>
        <w:ind w:left="2400"/>
        <w:rPr>
          <w:rFonts w:ascii="Arial" w:eastAsia="Times New Roman" w:hAnsi="Arial" w:cs="Arial"/>
          <w:b/>
          <w:bCs/>
          <w:sz w:val="24"/>
          <w:szCs w:val="24"/>
        </w:rPr>
      </w:pPr>
      <w:r w:rsidRPr="00AD30CC">
        <w:rPr>
          <w:rFonts w:ascii="Arial" w:eastAsia="Times New Roman" w:hAnsi="Arial" w:cs="Arial"/>
          <w:b/>
          <w:bCs/>
          <w:sz w:val="24"/>
          <w:szCs w:val="24"/>
        </w:rPr>
        <w:t>Urogenital gonococcal infections in pregnant and reproductive-aged people who can become pregnant</w:t>
      </w:r>
    </w:p>
    <w:p w14:paraId="1523B8D9" w14:textId="77777777" w:rsidR="00AD30CC" w:rsidRPr="00AD30CC" w:rsidRDefault="00AD30CC" w:rsidP="00AD30CC">
      <w:pPr>
        <w:spacing w:after="60" w:line="240" w:lineRule="auto"/>
        <w:rPr>
          <w:rFonts w:ascii="Calibri" w:eastAsia="Times New Roman" w:hAnsi="Calibri" w:cs="Calibri"/>
        </w:rPr>
      </w:pPr>
    </w:p>
    <w:p w14:paraId="144D9001" w14:textId="77777777" w:rsidR="00AD30CC" w:rsidRDefault="00AD30CC"/>
    <w:sectPr w:rsidR="00AD30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9F6C48"/>
    <w:multiLevelType w:val="hybridMultilevel"/>
    <w:tmpl w:val="86BEBE1C"/>
    <w:lvl w:ilvl="0" w:tplc="0409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0CC"/>
    <w:rsid w:val="00AD3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21837"/>
  <w15:chartTrackingRefBased/>
  <w15:docId w15:val="{8088BE20-6501-43A7-A70F-360D9100A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D30C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75582">
      <w:bodyDiv w:val="1"/>
      <w:marLeft w:val="240"/>
      <w:marRight w:val="240"/>
      <w:marTop w:val="240"/>
      <w:marBottom w:val="60"/>
      <w:divBdr>
        <w:top w:val="none" w:sz="0" w:space="0" w:color="auto"/>
        <w:left w:val="none" w:sz="0" w:space="0" w:color="auto"/>
        <w:bottom w:val="none" w:sz="0" w:space="0" w:color="auto"/>
        <w:right w:val="none" w:sz="0" w:space="0" w:color="auto"/>
      </w:divBdr>
      <w:divsChild>
        <w:div w:id="1259681733">
          <w:marLeft w:val="0"/>
          <w:marRight w:val="0"/>
          <w:marTop w:val="0"/>
          <w:marBottom w:val="0"/>
          <w:divBdr>
            <w:top w:val="none" w:sz="0" w:space="0" w:color="auto"/>
            <w:left w:val="none" w:sz="0" w:space="0" w:color="auto"/>
            <w:bottom w:val="none" w:sz="0" w:space="0" w:color="auto"/>
            <w:right w:val="none" w:sz="0" w:space="0" w:color="auto"/>
          </w:divBdr>
          <w:divsChild>
            <w:div w:id="210602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
	<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hyperlink" Target="http://?" TargetMode="Externa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299</Words>
  <Characters>1708</Characters>
  <Application>Microsoft Office Word</Application>
  <DocSecurity>0</DocSecurity>
  <Lines>14</Lines>
  <Paragraphs>4</Paragraphs>
  <ScaleCrop>false</ScaleCrop>
  <Company>Marion County Oregon</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Zieker</dc:creator>
  <cp:keywords/>
  <dc:description/>
  <cp:lastModifiedBy>Wendy Zieker</cp:lastModifiedBy>
  <cp:revision>1</cp:revision>
  <dcterms:created xsi:type="dcterms:W3CDTF">2022-04-08T17:52:00Z</dcterms:created>
  <dcterms:modified xsi:type="dcterms:W3CDTF">2022-04-08T17:52:00Z</dcterms:modified>
</cp:coreProperties>
</file>