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39E" w:rsidRPr="00254F3F" w:rsidRDefault="00E24A47" w:rsidP="00254F3F">
      <w:pPr>
        <w:pStyle w:val="NoSpacing"/>
      </w:pPr>
      <w:r w:rsidRPr="00254F3F">
        <w:t>National Summary</w:t>
      </w:r>
      <w:r w:rsidR="00FE5B70" w:rsidRPr="00254F3F">
        <w:t xml:space="preserve"> of hep A outbreak</w:t>
      </w:r>
    </w:p>
    <w:p w:rsidR="00FE5B70" w:rsidRDefault="00970E18" w:rsidP="00254F3F">
      <w:pPr>
        <w:pStyle w:val="NoSpacing"/>
      </w:pPr>
      <w:r>
        <w:t xml:space="preserve">CDC outbreak summary: </w:t>
      </w:r>
      <w:hyperlink r:id="rId5" w:history="1">
        <w:r w:rsidRPr="00457507">
          <w:rPr>
            <w:rStyle w:val="Hyperlink"/>
          </w:rPr>
          <w:t>https://www.cdc.gov/hepatitis/outbreaks/2017March-HepatitisA.htm</w:t>
        </w:r>
      </w:hyperlink>
    </w:p>
    <w:p w:rsidR="00970E18" w:rsidRDefault="00970E18" w:rsidP="00254F3F">
      <w:pPr>
        <w:pStyle w:val="NoSpacing"/>
      </w:pPr>
    </w:p>
    <w:p w:rsidR="00AE20C8" w:rsidRDefault="00AE20C8" w:rsidP="00254F3F">
      <w:pPr>
        <w:pStyle w:val="NoSpacing"/>
      </w:pPr>
      <w:r>
        <w:t xml:space="preserve">As of June 16, 2019, there have been 20,133 </w:t>
      </w:r>
      <w:r w:rsidR="007E19A3">
        <w:t xml:space="preserve">outbreak-linked </w:t>
      </w:r>
      <w:r>
        <w:t>cases of hepatitis A across 23 states. This is an increase of over 7-fold compared to national average cases between 2011</w:t>
      </w:r>
      <w:r>
        <w:rPr>
          <w:rFonts w:ascii="Calibri Light" w:hAnsi="Calibri Light" w:cs="Calibri Light"/>
        </w:rPr>
        <w:t>–</w:t>
      </w:r>
      <w:r>
        <w:t>2015.</w:t>
      </w:r>
      <w:r w:rsidR="007E19A3">
        <w:t xml:space="preserve"> Of these, 11,595 (58%) of cases have resulted in hospitalization. There have been 191 deaths reported as attributable to the hepatitis A outbreak. Both of these rates are higher than historical averages.</w:t>
      </w:r>
      <w:r w:rsidR="00EA3579">
        <w:t xml:space="preserve"> See the table for detailed counts by state.</w:t>
      </w:r>
    </w:p>
    <w:p w:rsidR="007E19A3" w:rsidRDefault="007E19A3" w:rsidP="00254F3F">
      <w:pPr>
        <w:pStyle w:val="NoSpacing"/>
      </w:pPr>
    </w:p>
    <w:p w:rsidR="007E19A3" w:rsidRDefault="00461F46" w:rsidP="00254F3F">
      <w:pPr>
        <w:pStyle w:val="NoSpacing"/>
      </w:pPr>
      <w:r>
        <w:t>Several groups of Oregonians are at risk for contracting the hepatitis A virus or developing serious complications from hepatitis A virus infection</w:t>
      </w:r>
      <w:r w:rsidR="006A7721">
        <w:t>. The following groups are at risk, with groups at increased risk during these outbreaks marked with an asterisk.</w:t>
      </w:r>
    </w:p>
    <w:p w:rsidR="006A7721" w:rsidRDefault="006A7721" w:rsidP="006A7721">
      <w:pPr>
        <w:pStyle w:val="NoSpacing"/>
        <w:numPr>
          <w:ilvl w:val="0"/>
          <w:numId w:val="1"/>
        </w:numPr>
      </w:pPr>
      <w:r>
        <w:t>*Men who have sex with men (MSM)</w:t>
      </w:r>
    </w:p>
    <w:p w:rsidR="006A7721" w:rsidRDefault="006A7721" w:rsidP="006A7721">
      <w:pPr>
        <w:pStyle w:val="NoSpacing"/>
        <w:numPr>
          <w:ilvl w:val="0"/>
          <w:numId w:val="1"/>
        </w:numPr>
      </w:pPr>
      <w:r>
        <w:t>*Persons experiencing unstable housing or homelessness</w:t>
      </w:r>
    </w:p>
    <w:p w:rsidR="00461F46" w:rsidRDefault="00461F46" w:rsidP="00461F46">
      <w:pPr>
        <w:pStyle w:val="NoSpacing"/>
        <w:numPr>
          <w:ilvl w:val="0"/>
          <w:numId w:val="1"/>
        </w:numPr>
      </w:pPr>
      <w:r>
        <w:t>Persons traveling to countries where hepatitis A is endemic</w:t>
      </w:r>
    </w:p>
    <w:p w:rsidR="00225EA3" w:rsidRDefault="00225EA3" w:rsidP="00225EA3">
      <w:pPr>
        <w:pStyle w:val="NoSpacing"/>
        <w:numPr>
          <w:ilvl w:val="0"/>
          <w:numId w:val="1"/>
        </w:numPr>
      </w:pPr>
      <w:r>
        <w:t>*Persons who are currently or have recently been incarcerated</w:t>
      </w:r>
    </w:p>
    <w:p w:rsidR="00461F46" w:rsidRDefault="006A7721" w:rsidP="00461F46">
      <w:pPr>
        <w:pStyle w:val="NoSpacing"/>
        <w:numPr>
          <w:ilvl w:val="0"/>
          <w:numId w:val="1"/>
        </w:numPr>
      </w:pPr>
      <w:r>
        <w:t>*</w:t>
      </w:r>
      <w:r w:rsidR="00461F46">
        <w:t>Persons who use drugs (injection and non-injection)</w:t>
      </w:r>
    </w:p>
    <w:p w:rsidR="006A7721" w:rsidRDefault="006A7721" w:rsidP="006A7721">
      <w:pPr>
        <w:pStyle w:val="NoSpacing"/>
        <w:numPr>
          <w:ilvl w:val="0"/>
          <w:numId w:val="1"/>
        </w:numPr>
      </w:pPr>
      <w:r>
        <w:t>Persons who work with nonhuman primates</w:t>
      </w:r>
    </w:p>
    <w:p w:rsidR="00225EA3" w:rsidRDefault="00225EA3" w:rsidP="00225EA3">
      <w:pPr>
        <w:pStyle w:val="NoSpacing"/>
        <w:numPr>
          <w:ilvl w:val="0"/>
          <w:numId w:val="1"/>
        </w:numPr>
      </w:pPr>
      <w:r>
        <w:t>Persons with chronic liver disease (including cirrhosis, hepatitis B, or hepatitis C)</w:t>
      </w:r>
    </w:p>
    <w:p w:rsidR="0057708F" w:rsidRDefault="0057708F" w:rsidP="00461F46">
      <w:pPr>
        <w:pStyle w:val="NoSpacing"/>
        <w:numPr>
          <w:ilvl w:val="0"/>
          <w:numId w:val="1"/>
        </w:numPr>
      </w:pPr>
      <w:r>
        <w:t>Persons with clotting factor disorders</w:t>
      </w:r>
    </w:p>
    <w:p w:rsidR="00461F46" w:rsidRDefault="00461F46" w:rsidP="00461F46">
      <w:pPr>
        <w:pStyle w:val="NoSpacing"/>
        <w:numPr>
          <w:ilvl w:val="0"/>
          <w:numId w:val="1"/>
        </w:numPr>
      </w:pPr>
      <w:r>
        <w:t>Persons with direct contact with persons who have hepatitis A</w:t>
      </w:r>
    </w:p>
    <w:p w:rsidR="00AE20C8" w:rsidRDefault="00AE20C8" w:rsidP="00D265F6">
      <w:pPr>
        <w:pStyle w:val="NoSpacing"/>
      </w:pPr>
    </w:p>
    <w:p w:rsidR="00205827" w:rsidRDefault="00CF5F98" w:rsidP="00D265F6">
      <w:pPr>
        <w:pStyle w:val="NoSpacing"/>
      </w:pPr>
      <w:r>
        <w:t xml:space="preserve">CDC has developed guidance </w:t>
      </w:r>
      <w:r w:rsidR="00EA3579">
        <w:t xml:space="preserve">on </w:t>
      </w:r>
      <w:r w:rsidR="00205827">
        <w:t>how to respond to these outbreaks. While Oregon has not experienced an outbreak in one of these at-risk groups, we are following the guidance in an effort to prevent such an outbreak from occurring</w:t>
      </w:r>
      <w:r w:rsidR="00C37E15">
        <w:t>. V</w:t>
      </w:r>
      <w:r w:rsidR="00205827">
        <w:t>accination</w:t>
      </w:r>
      <w:r w:rsidR="00C37E15">
        <w:t xml:space="preserve"> is the most effective preventative</w:t>
      </w:r>
      <w:r w:rsidR="00205827">
        <w:t>. One dose of single-antigen hepatitis A vaccine has been shown to control outbreaks of hepatitis A and provides up to 95% seroprotection in healthy individuals for up to 11 years.</w:t>
      </w:r>
      <w:r w:rsidR="00F56BA5">
        <w:t xml:space="preserve"> In </w:t>
      </w:r>
      <w:r w:rsidR="00A24BC8">
        <w:t xml:space="preserve">February </w:t>
      </w:r>
      <w:r w:rsidR="00F56BA5">
        <w:t>201</w:t>
      </w:r>
      <w:r w:rsidR="00A24BC8">
        <w:t>9</w:t>
      </w:r>
      <w:r w:rsidR="00F56BA5">
        <w:t xml:space="preserve">, CDC’s Advisory Committee on Immunization Practices (ACIP) issued revised guidance, adding </w:t>
      </w:r>
      <w:r w:rsidR="00A24BC8">
        <w:t>“[a]</w:t>
      </w:r>
      <w:r w:rsidR="00A24BC8" w:rsidRPr="00A24BC8">
        <w:t>ll persons aged ≥1 year experiencing homelessness should be routinely immunized against HA</w:t>
      </w:r>
      <w:r w:rsidR="00A24BC8">
        <w:t>V.”</w:t>
      </w:r>
    </w:p>
    <w:p w:rsidR="00205827" w:rsidRDefault="00205827" w:rsidP="00D265F6">
      <w:pPr>
        <w:pStyle w:val="NoSpacing"/>
      </w:pPr>
    </w:p>
    <w:p w:rsidR="00374533" w:rsidRDefault="00374533" w:rsidP="00D265F6">
      <w:pPr>
        <w:pStyle w:val="NoSpacing"/>
      </w:pPr>
      <w:r>
        <w:t>OHA recommends vaccination with Havrix or Vaqta. Vaccines can be obtained through the Oregon Immunization Program</w:t>
      </w:r>
      <w:r w:rsidR="00BA3819">
        <w:t xml:space="preserve"> by submitting requests to the </w:t>
      </w:r>
      <w:proofErr w:type="spellStart"/>
      <w:r w:rsidR="00BA3819">
        <w:t>SmartSheet</w:t>
      </w:r>
      <w:proofErr w:type="spellEnd"/>
      <w:r w:rsidR="00BA3819">
        <w:t>. OHA is collecting strategies on how to reach these at-risk populations from local health departments. We will send a summary of effective strategies to all counties and welcome continuous feedback and sugge</w:t>
      </w:r>
      <w:r w:rsidR="00B8132E">
        <w:t>s</w:t>
      </w:r>
      <w:r w:rsidR="00BA3819">
        <w:t>tions.</w:t>
      </w:r>
      <w:r w:rsidR="00B8132E">
        <w:t xml:space="preserve"> As these people do not always engage in healthcare systems as often as the general public, reaching them may require a </w:t>
      </w:r>
      <w:bookmarkStart w:id="0" w:name="_GoBack"/>
      <w:bookmarkEnd w:id="0"/>
      <w:r w:rsidR="00B8132E">
        <w:t>creative approach.</w:t>
      </w:r>
    </w:p>
    <w:p w:rsidR="00B8132E" w:rsidRDefault="00B8132E" w:rsidP="00D265F6">
      <w:pPr>
        <w:pStyle w:val="NoSpacing"/>
      </w:pPr>
    </w:p>
    <w:p w:rsidR="00205827" w:rsidRDefault="00205827" w:rsidP="00D265F6">
      <w:pPr>
        <w:pStyle w:val="NoSpacing"/>
      </w:pPr>
      <w:r>
        <w:t xml:space="preserve">Outbreak-specific guidance on administering the vaccines can be found here: </w:t>
      </w:r>
      <w:hyperlink r:id="rId6" w:history="1">
        <w:r w:rsidRPr="008643C5">
          <w:rPr>
            <w:rStyle w:val="Hyperlink"/>
          </w:rPr>
          <w:t>https://www.cdc.gov/hepatitis/outbreaks/InterimOutbreakGuidance-HAV-VaccineAdmin.htm</w:t>
        </w:r>
      </w:hyperlink>
    </w:p>
    <w:p w:rsidR="00F75799" w:rsidRDefault="00F75799">
      <w:r>
        <w:br w:type="page"/>
      </w:r>
    </w:p>
    <w:p w:rsidR="00205827" w:rsidRDefault="00205827" w:rsidP="00D265F6">
      <w:pPr>
        <w:pStyle w:val="NoSpacing"/>
      </w:pPr>
    </w:p>
    <w:p w:rsidR="00205827" w:rsidRDefault="00205827" w:rsidP="00D265F6">
      <w:pPr>
        <w:pStyle w:val="NoSpacing"/>
      </w:pPr>
    </w:p>
    <w:tbl>
      <w:tblPr>
        <w:tblStyle w:val="GridTable1Light"/>
        <w:tblW w:w="8754" w:type="dxa"/>
        <w:tblLook w:val="04A0" w:firstRow="1" w:lastRow="0" w:firstColumn="1" w:lastColumn="0" w:noHBand="0" w:noVBand="1"/>
      </w:tblPr>
      <w:tblGrid>
        <w:gridCol w:w="1789"/>
        <w:gridCol w:w="829"/>
        <w:gridCol w:w="1677"/>
        <w:gridCol w:w="1268"/>
        <w:gridCol w:w="857"/>
        <w:gridCol w:w="1167"/>
        <w:gridCol w:w="1167"/>
      </w:tblGrid>
      <w:tr w:rsidR="00F75799" w:rsidRPr="00F75799" w:rsidTr="00F75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829" w:type="dxa"/>
            <w:noWrap/>
          </w:tcPr>
          <w:p w:rsidR="00F75799" w:rsidRPr="00F75799" w:rsidRDefault="00F75799" w:rsidP="00F7579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Cases</w:t>
            </w:r>
          </w:p>
        </w:tc>
        <w:tc>
          <w:tcPr>
            <w:tcW w:w="1677" w:type="dxa"/>
            <w:noWrap/>
          </w:tcPr>
          <w:p w:rsidR="00F75799" w:rsidRPr="00F75799" w:rsidRDefault="00F75799" w:rsidP="00F7579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Hospitalizations</w:t>
            </w:r>
          </w:p>
        </w:tc>
        <w:tc>
          <w:tcPr>
            <w:tcW w:w="1268" w:type="dxa"/>
            <w:noWrap/>
          </w:tcPr>
          <w:p w:rsidR="00F75799" w:rsidRPr="00F75799" w:rsidRDefault="00F75799" w:rsidP="00F7579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Hospital %</w:t>
            </w:r>
          </w:p>
        </w:tc>
        <w:tc>
          <w:tcPr>
            <w:tcW w:w="857" w:type="dxa"/>
            <w:noWrap/>
          </w:tcPr>
          <w:p w:rsidR="00F75799" w:rsidRPr="00F75799" w:rsidRDefault="00F75799" w:rsidP="00F7579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Deaths</w:t>
            </w:r>
          </w:p>
        </w:tc>
        <w:tc>
          <w:tcPr>
            <w:tcW w:w="1167" w:type="dxa"/>
            <w:noWrap/>
          </w:tcPr>
          <w:p w:rsidR="00F75799" w:rsidRPr="00F75799" w:rsidRDefault="00F75799" w:rsidP="00F7579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Start date</w:t>
            </w:r>
          </w:p>
        </w:tc>
        <w:tc>
          <w:tcPr>
            <w:tcW w:w="1167" w:type="dxa"/>
            <w:noWrap/>
          </w:tcPr>
          <w:p w:rsidR="00F75799" w:rsidRPr="00F75799" w:rsidRDefault="00F75799" w:rsidP="00F7579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End date</w:t>
            </w: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47%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9/1/2018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79%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11/1/2018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2/7/2018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708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464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66%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11/1/2016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6100"/>
              </w:rPr>
            </w:pPr>
            <w:r w:rsidRPr="00F75799">
              <w:rPr>
                <w:rFonts w:ascii="Calibri" w:eastAsia="Times New Roman" w:hAnsi="Calibri" w:cs="Calibri"/>
                <w:color w:val="006100"/>
              </w:rPr>
              <w:t>4/11/2018</w:t>
            </w: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62%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10/1/2018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1,876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1,353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72%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1/1/2018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416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67%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6/1/2018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61%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9/1/2018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1,581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851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54%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11/1/2017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4,695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2,267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48%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8/1/2017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60%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1/1/2018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82%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4/1/2018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916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735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8/1/2016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50%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9/1/2017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61%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11/1/2018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80%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11/8/2018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71%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1/1/2018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3,039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1,821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60%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1/1/2018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76%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11/1/2018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1,647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992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60%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12/1/2017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54%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5/8/2017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6100"/>
              </w:rPr>
            </w:pPr>
            <w:r w:rsidRPr="00F75799">
              <w:rPr>
                <w:rFonts w:ascii="Calibri" w:eastAsia="Times New Roman" w:hAnsi="Calibri" w:cs="Calibri"/>
                <w:color w:val="006100"/>
              </w:rPr>
              <w:t>2/12/2019</w:t>
            </w:r>
          </w:p>
        </w:tc>
      </w:tr>
      <w:tr w:rsidR="00F75799" w:rsidRPr="00F75799" w:rsidTr="00F757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829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67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268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61%</w:t>
            </w:r>
          </w:p>
        </w:tc>
        <w:tc>
          <w:tcPr>
            <w:tcW w:w="85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1/1/2019</w:t>
            </w:r>
          </w:p>
        </w:tc>
        <w:tc>
          <w:tcPr>
            <w:tcW w:w="1167" w:type="dxa"/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8E5BC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tcBorders>
              <w:bottom w:val="single" w:sz="12" w:space="0" w:color="auto"/>
            </w:tcBorders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829" w:type="dxa"/>
            <w:tcBorders>
              <w:bottom w:val="single" w:sz="12" w:space="0" w:color="auto"/>
            </w:tcBorders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2,528</w:t>
            </w:r>
          </w:p>
        </w:tc>
        <w:tc>
          <w:tcPr>
            <w:tcW w:w="1677" w:type="dxa"/>
            <w:tcBorders>
              <w:bottom w:val="single" w:sz="12" w:space="0" w:color="auto"/>
            </w:tcBorders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1,249</w:t>
            </w:r>
          </w:p>
        </w:tc>
        <w:tc>
          <w:tcPr>
            <w:tcW w:w="1268" w:type="dxa"/>
            <w:tcBorders>
              <w:bottom w:val="single" w:sz="12" w:space="0" w:color="auto"/>
            </w:tcBorders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49%</w:t>
            </w:r>
          </w:p>
        </w:tc>
        <w:tc>
          <w:tcPr>
            <w:tcW w:w="857" w:type="dxa"/>
            <w:tcBorders>
              <w:bottom w:val="single" w:sz="12" w:space="0" w:color="auto"/>
            </w:tcBorders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3/19/2018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5799" w:rsidRPr="00F75799" w:rsidTr="008E5BC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9" w:type="dxa"/>
            <w:tcBorders>
              <w:top w:val="single" w:sz="12" w:space="0" w:color="auto"/>
            </w:tcBorders>
            <w:noWrap/>
            <w:hideMark/>
          </w:tcPr>
          <w:p w:rsidR="00F75799" w:rsidRPr="00F75799" w:rsidRDefault="00F75799" w:rsidP="00F75799">
            <w:pPr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20,133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11,595</w:t>
            </w:r>
          </w:p>
        </w:tc>
        <w:tc>
          <w:tcPr>
            <w:tcW w:w="1268" w:type="dxa"/>
            <w:tcBorders>
              <w:top w:val="single" w:sz="12" w:space="0" w:color="auto"/>
            </w:tcBorders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58%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noWrap/>
            <w:hideMark/>
          </w:tcPr>
          <w:p w:rsidR="00F75799" w:rsidRPr="00F75799" w:rsidRDefault="00F75799" w:rsidP="00F757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8/1/2016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noWrap/>
            <w:hideMark/>
          </w:tcPr>
          <w:p w:rsidR="00F75799" w:rsidRPr="00F75799" w:rsidRDefault="00F75799" w:rsidP="00F75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757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205827" w:rsidRDefault="00205827" w:rsidP="00D265F6">
      <w:pPr>
        <w:pStyle w:val="NoSpacing"/>
        <w:rPr>
          <w:rFonts w:ascii="Symbol" w:hAnsi="Symbol"/>
          <w:highlight w:val="lightGray"/>
        </w:rPr>
      </w:pPr>
    </w:p>
    <w:sectPr w:rsidR="00205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D2BD4"/>
    <w:multiLevelType w:val="hybridMultilevel"/>
    <w:tmpl w:val="63B2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47"/>
    <w:rsid w:val="00031E0C"/>
    <w:rsid w:val="000A58B5"/>
    <w:rsid w:val="00102AB0"/>
    <w:rsid w:val="001D30DB"/>
    <w:rsid w:val="00205827"/>
    <w:rsid w:val="00225EA3"/>
    <w:rsid w:val="00254F3F"/>
    <w:rsid w:val="00303A71"/>
    <w:rsid w:val="0034353D"/>
    <w:rsid w:val="00360A57"/>
    <w:rsid w:val="00374533"/>
    <w:rsid w:val="00461F46"/>
    <w:rsid w:val="004A448B"/>
    <w:rsid w:val="004F35F8"/>
    <w:rsid w:val="00555514"/>
    <w:rsid w:val="0057708F"/>
    <w:rsid w:val="005A721B"/>
    <w:rsid w:val="00693821"/>
    <w:rsid w:val="006A7721"/>
    <w:rsid w:val="007E19A3"/>
    <w:rsid w:val="007E7F58"/>
    <w:rsid w:val="00876AC2"/>
    <w:rsid w:val="008E5BC0"/>
    <w:rsid w:val="009044BD"/>
    <w:rsid w:val="00914097"/>
    <w:rsid w:val="00970E18"/>
    <w:rsid w:val="009A3C86"/>
    <w:rsid w:val="00A24BC8"/>
    <w:rsid w:val="00A8023C"/>
    <w:rsid w:val="00A84237"/>
    <w:rsid w:val="00A9539E"/>
    <w:rsid w:val="00AE20C8"/>
    <w:rsid w:val="00B73B47"/>
    <w:rsid w:val="00B8132E"/>
    <w:rsid w:val="00BA3819"/>
    <w:rsid w:val="00C37E15"/>
    <w:rsid w:val="00C70270"/>
    <w:rsid w:val="00CA1F49"/>
    <w:rsid w:val="00CF5F98"/>
    <w:rsid w:val="00D265F6"/>
    <w:rsid w:val="00D53AD7"/>
    <w:rsid w:val="00E24A47"/>
    <w:rsid w:val="00E55B88"/>
    <w:rsid w:val="00EA3579"/>
    <w:rsid w:val="00EE34BF"/>
    <w:rsid w:val="00F56BA5"/>
    <w:rsid w:val="00F75799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9B42"/>
  <w15:chartTrackingRefBased/>
  <w15:docId w15:val="{718318E0-330F-4CB6-97F9-590A369D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4A47"/>
    <w:pPr>
      <w:spacing w:after="0" w:line="240" w:lineRule="auto"/>
    </w:pPr>
  </w:style>
  <w:style w:type="table" w:styleId="TableGrid">
    <w:name w:val="Table Grid"/>
    <w:basedOn w:val="TableNormal"/>
    <w:uiPriority w:val="39"/>
    <w:rsid w:val="00B7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35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5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799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F7579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E5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B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hepatitis/outbreaks/InterimOutbreakGuidance-HAV-VaccineAdmin.htm" TargetMode="External"/><Relationship Id="rId5" Type="http://schemas.openxmlformats.org/officeDocument/2006/relationships/hyperlink" Target="https://www.cdc.gov/hepatitis/outbreaks/2017March-Hepatitis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Rekant Steven</dc:creator>
  <cp:keywords/>
  <dc:description/>
  <cp:lastModifiedBy>Phan Angela K</cp:lastModifiedBy>
  <cp:revision>2</cp:revision>
  <dcterms:created xsi:type="dcterms:W3CDTF">2019-06-21T00:12:00Z</dcterms:created>
  <dcterms:modified xsi:type="dcterms:W3CDTF">2019-06-21T00:12:00Z</dcterms:modified>
</cp:coreProperties>
</file>