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A86D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10D10C35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3ECDFFFB" w14:textId="1DD64962" w:rsidR="00BD4B99" w:rsidRDefault="002F75DB" w:rsidP="00A764F2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</w:p>
    <w:p w14:paraId="25F7980B" w14:textId="22F04B31" w:rsidR="00561232" w:rsidRPr="00561232" w:rsidRDefault="00561232" w:rsidP="00A764F2">
      <w:pPr>
        <w:jc w:val="center"/>
        <w:rPr>
          <w:b/>
          <w:sz w:val="24"/>
          <w:szCs w:val="24"/>
        </w:rPr>
      </w:pPr>
      <w:r w:rsidRPr="00561232">
        <w:rPr>
          <w:b/>
          <w:sz w:val="24"/>
          <w:szCs w:val="24"/>
        </w:rPr>
        <w:t>April 8</w:t>
      </w:r>
      <w:r w:rsidRPr="00561232">
        <w:rPr>
          <w:b/>
          <w:sz w:val="24"/>
          <w:szCs w:val="24"/>
          <w:vertAlign w:val="superscript"/>
        </w:rPr>
        <w:t>th</w:t>
      </w:r>
      <w:r w:rsidRPr="00561232">
        <w:rPr>
          <w:b/>
          <w:sz w:val="24"/>
          <w:szCs w:val="24"/>
        </w:rPr>
        <w:t>, 2022</w:t>
      </w:r>
    </w:p>
    <w:p w14:paraId="1FE20BCB" w14:textId="02021BF8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3DEB354D" w14:textId="533C7089" w:rsidR="00153DB3" w:rsidRPr="009E2ABD" w:rsidRDefault="009E2ABD" w:rsidP="00C01D9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  <w:r w:rsidRPr="009E2ABD">
        <w:rPr>
          <w:rFonts w:asciiTheme="minorHAnsi" w:hAnsiTheme="minorHAnsi" w:cstheme="minorHAnsi"/>
          <w:b/>
          <w:bCs/>
          <w:sz w:val="24"/>
          <w:szCs w:val="24"/>
        </w:rPr>
        <w:t>Committee Attendees:</w:t>
      </w:r>
    </w:p>
    <w:p w14:paraId="50B60E76" w14:textId="25E018D7" w:rsidR="009E2ABD" w:rsidRPr="009E2ABD" w:rsidRDefault="009E2ABD" w:rsidP="00C01D91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9E2ABD">
        <w:rPr>
          <w:rFonts w:asciiTheme="minorHAnsi" w:hAnsiTheme="minorHAnsi" w:cstheme="minorHAnsi"/>
          <w:sz w:val="24"/>
          <w:szCs w:val="24"/>
        </w:rPr>
        <w:t xml:space="preserve">April Holland, </w:t>
      </w:r>
      <w:r>
        <w:rPr>
          <w:rFonts w:asciiTheme="minorHAnsi" w:hAnsiTheme="minorHAnsi" w:cstheme="minorHAnsi"/>
          <w:sz w:val="24"/>
          <w:szCs w:val="24"/>
        </w:rPr>
        <w:t xml:space="preserve">Carolee Asher, Anna Summers, Joanna McCabe, Laura Turpen, Jessica Winegar, Andrea Krause, Tyra Jansson, Wendy Zieker, Lisa Ferguson, Chris Keating, Kathleen Rees, Jessica Dale, Kelly McDonald, Allison Portney, Sirisha </w:t>
      </w:r>
      <w:r w:rsidRPr="009E2ABD">
        <w:rPr>
          <w:rFonts w:asciiTheme="minorHAnsi" w:hAnsiTheme="minorHAnsi" w:cstheme="minorHAnsi"/>
          <w:sz w:val="24"/>
          <w:szCs w:val="24"/>
        </w:rPr>
        <w:t>Botta, Renee Jenkins</w:t>
      </w:r>
      <w:r>
        <w:rPr>
          <w:rFonts w:asciiTheme="minorHAnsi" w:hAnsiTheme="minorHAnsi" w:cstheme="minorHAnsi"/>
          <w:sz w:val="24"/>
          <w:szCs w:val="24"/>
        </w:rPr>
        <w:t xml:space="preserve">, Kathy Christensen, Bailey Burkhalter, Rita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Bacho</w:t>
      </w:r>
      <w:proofErr w:type="spellEnd"/>
      <w:r>
        <w:rPr>
          <w:rFonts w:asciiTheme="minorHAnsi" w:hAnsiTheme="minorHAnsi" w:cstheme="minorHAnsi"/>
          <w:sz w:val="24"/>
          <w:szCs w:val="24"/>
        </w:rPr>
        <w:t>, Vikas Reddy</w:t>
      </w:r>
      <w:r w:rsidR="001D580E">
        <w:rPr>
          <w:rFonts w:asciiTheme="minorHAnsi" w:hAnsiTheme="minorHAnsi" w:cstheme="minorHAnsi"/>
          <w:sz w:val="24"/>
          <w:szCs w:val="24"/>
        </w:rPr>
        <w:t>, Tommi Wynne</w:t>
      </w:r>
    </w:p>
    <w:p w14:paraId="760AEB46" w14:textId="77777777" w:rsidR="009E2ABD" w:rsidRDefault="009E2ABD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3689A8D" w14:textId="3165FF89" w:rsidR="00F1140B" w:rsidRDefault="009E2ABD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OHA Attendees:</w:t>
      </w:r>
    </w:p>
    <w:p w14:paraId="31090728" w14:textId="15754257" w:rsidR="009E2ABD" w:rsidRPr="009E2ABD" w:rsidRDefault="009E2ABD" w:rsidP="00F114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Richard Leman, Amanda Timmons, Tasha Martin, June Bancroft, Zintars Beldavs, Emilio </w:t>
      </w:r>
      <w:proofErr w:type="spellStart"/>
      <w:r>
        <w:rPr>
          <w:bCs/>
          <w:sz w:val="24"/>
          <w:szCs w:val="24"/>
        </w:rPr>
        <w:t>DeBess</w:t>
      </w:r>
      <w:proofErr w:type="spellEnd"/>
      <w:r>
        <w:rPr>
          <w:bCs/>
          <w:sz w:val="24"/>
          <w:szCs w:val="24"/>
        </w:rPr>
        <w:t>, Andrew Epstein</w:t>
      </w:r>
      <w:r w:rsidRPr="009E2ABD">
        <w:rPr>
          <w:bCs/>
          <w:sz w:val="24"/>
          <w:szCs w:val="24"/>
        </w:rPr>
        <w:t xml:space="preserve">, Albert </w:t>
      </w:r>
      <w:proofErr w:type="spellStart"/>
      <w:r w:rsidRPr="009E2ABD">
        <w:rPr>
          <w:bCs/>
          <w:sz w:val="24"/>
          <w:szCs w:val="24"/>
        </w:rPr>
        <w:t>Koroloff</w:t>
      </w:r>
      <w:proofErr w:type="spellEnd"/>
      <w:r>
        <w:rPr>
          <w:bCs/>
          <w:sz w:val="24"/>
          <w:szCs w:val="24"/>
        </w:rPr>
        <w:t>, Stephen Ladd-Wilson, Mimi Luther, Lee Peters</w:t>
      </w:r>
      <w:r w:rsidRPr="009E2ABD">
        <w:rPr>
          <w:bCs/>
          <w:sz w:val="24"/>
          <w:szCs w:val="24"/>
        </w:rPr>
        <w:t>, Corey Pierce</w:t>
      </w:r>
    </w:p>
    <w:p w14:paraId="0458CBE6" w14:textId="77777777" w:rsidR="00B16198" w:rsidRPr="006319FD" w:rsidRDefault="00B16198" w:rsidP="006E63C1">
      <w:pPr>
        <w:rPr>
          <w:b/>
          <w:sz w:val="24"/>
          <w:szCs w:val="24"/>
          <w:u w:val="single"/>
        </w:rPr>
      </w:pPr>
    </w:p>
    <w:p w14:paraId="5D92E203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8"/>
        <w:gridCol w:w="9"/>
        <w:gridCol w:w="1438"/>
        <w:gridCol w:w="90"/>
        <w:gridCol w:w="6390"/>
        <w:gridCol w:w="5125"/>
      </w:tblGrid>
      <w:tr w:rsidR="002A4153" w:rsidRPr="00FB46DB" w14:paraId="38F1674B" w14:textId="77777777" w:rsidTr="00C47818">
        <w:trPr>
          <w:trHeight w:val="233"/>
        </w:trPr>
        <w:tc>
          <w:tcPr>
            <w:tcW w:w="1347" w:type="dxa"/>
            <w:gridSpan w:val="2"/>
          </w:tcPr>
          <w:p w14:paraId="66F5746A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  <w:gridSpan w:val="2"/>
          </w:tcPr>
          <w:p w14:paraId="717FF2DA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14:paraId="5494880F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613492D2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77696C9D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20147C65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gridSpan w:val="2"/>
            <w:vAlign w:val="center"/>
          </w:tcPr>
          <w:p w14:paraId="4CF4E17E" w14:textId="77777777"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697B7E74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5125" w:type="dxa"/>
          </w:tcPr>
          <w:p w14:paraId="41AF269F" w14:textId="3A0E8CA5" w:rsidR="002A4153" w:rsidRPr="00BD7F91" w:rsidRDefault="0085722C" w:rsidP="00C17166">
            <w:r>
              <w:t xml:space="preserve"> </w:t>
            </w:r>
            <w:r w:rsidR="0078022A">
              <w:t>Completed</w:t>
            </w:r>
          </w:p>
        </w:tc>
      </w:tr>
      <w:tr w:rsidR="002A4153" w:rsidRPr="00BD7F91" w14:paraId="7428D5B1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2278AE7C" w14:textId="07C8938B" w:rsidR="002A4153" w:rsidRDefault="00561232" w:rsidP="00C83158">
            <w:r>
              <w:t>Pertussis Outbreaks</w:t>
            </w:r>
          </w:p>
        </w:tc>
        <w:tc>
          <w:tcPr>
            <w:tcW w:w="1528" w:type="dxa"/>
            <w:gridSpan w:val="2"/>
            <w:vAlign w:val="center"/>
          </w:tcPr>
          <w:p w14:paraId="0ACA90CF" w14:textId="75428288" w:rsidR="002A4153" w:rsidRDefault="00561232" w:rsidP="00C17166">
            <w:r>
              <w:t>Richard Leman</w:t>
            </w:r>
          </w:p>
        </w:tc>
        <w:tc>
          <w:tcPr>
            <w:tcW w:w="6390" w:type="dxa"/>
            <w:vAlign w:val="center"/>
          </w:tcPr>
          <w:p w14:paraId="18220CCC" w14:textId="5477ED5C" w:rsidR="002A4153" w:rsidRDefault="00561232" w:rsidP="00561232">
            <w:r>
              <w:t>Epi capacity to support pertussis outbreaks.</w:t>
            </w:r>
          </w:p>
        </w:tc>
        <w:tc>
          <w:tcPr>
            <w:tcW w:w="5125" w:type="dxa"/>
          </w:tcPr>
          <w:p w14:paraId="29564CD1" w14:textId="77777777" w:rsidR="002A4153" w:rsidRDefault="006C2692" w:rsidP="00592FC4">
            <w:r>
              <w:t xml:space="preserve">How do LPHAs feel about resuming the full array of CD vs the priorities. </w:t>
            </w:r>
          </w:p>
          <w:p w14:paraId="6C5C44C3" w14:textId="15CAAB87" w:rsidR="009E6895" w:rsidRDefault="009E6895" w:rsidP="00592FC4">
            <w:r>
              <w:t>OHA has offered support to asset with pertussis outbreaks while LPHAs build up capacity for full surveillance and investing activities.</w:t>
            </w:r>
            <w:r w:rsidR="009A1564">
              <w:t xml:space="preserve"> likely OHA is able to help for a year</w:t>
            </w:r>
            <w:r w:rsidR="00BF4D38">
              <w:t>. OHA has 2 trained epi staff each week assigned to assist with outbreaks.</w:t>
            </w:r>
          </w:p>
          <w:p w14:paraId="401C0CF3" w14:textId="0F29AEBB" w:rsidR="009A1564" w:rsidRDefault="009A1564" w:rsidP="00592FC4"/>
          <w:p w14:paraId="4D20F75A" w14:textId="54F95690" w:rsidR="009A1564" w:rsidRDefault="009A1564" w:rsidP="00592FC4">
            <w:r>
              <w:t>Other resource needs are training for new sta</w:t>
            </w:r>
            <w:r w:rsidR="005A380A">
              <w:t>ff</w:t>
            </w:r>
          </w:p>
          <w:p w14:paraId="29632928" w14:textId="02CE1694" w:rsidR="009E6895" w:rsidRDefault="009E6895" w:rsidP="00592FC4">
            <w:r>
              <w:t>Lisa Mult</w:t>
            </w:r>
            <w:r w:rsidR="005A380A">
              <w:t>nomah</w:t>
            </w:r>
            <w:r>
              <w:t xml:space="preserve"> offers up letters resources for th</w:t>
            </w:r>
            <w:r w:rsidR="009A1564">
              <w:t xml:space="preserve">ose </w:t>
            </w:r>
            <w:r>
              <w:t>who need it in various CD programs. Also has Pertussis nurse</w:t>
            </w:r>
          </w:p>
          <w:p w14:paraId="04C83DDB" w14:textId="77777777" w:rsidR="00BF4D38" w:rsidRDefault="00BF4D38" w:rsidP="00592FC4"/>
          <w:p w14:paraId="57E6C065" w14:textId="06C0820B" w:rsidR="00BF4D38" w:rsidRDefault="00BF4D38" w:rsidP="00592FC4">
            <w:r>
              <w:t>Discussion around starting July 1</w:t>
            </w:r>
            <w:r w:rsidRPr="00BF4D38">
              <w:rPr>
                <w:vertAlign w:val="superscript"/>
              </w:rPr>
              <w:t>st</w:t>
            </w:r>
            <w:r>
              <w:t xml:space="preserve"> for full CD outbreaks.</w:t>
            </w:r>
          </w:p>
          <w:p w14:paraId="22499652" w14:textId="77777777" w:rsidR="005A5AD5" w:rsidRDefault="005A5AD5" w:rsidP="00592FC4"/>
          <w:p w14:paraId="3334883F" w14:textId="52F2B1ED" w:rsidR="005A5AD5" w:rsidRDefault="00A8505B" w:rsidP="00592FC4">
            <w:hyperlink r:id="rId8" w:history="1">
              <w:r w:rsidR="005A5AD5" w:rsidRPr="00937BFE">
                <w:rPr>
                  <w:rStyle w:val="Hyperlink"/>
                </w:rPr>
                <w:t>https://www.oregon.gov/oha/PH/PROVIDERPARTNERRESOURCES/LOCALHEALTHDEPARTMENTRESOURCES/Documents/PE-Priorities-LPHAs-Jan-Jun-2022.pdf</w:t>
              </w:r>
            </w:hyperlink>
            <w:r w:rsidR="005A5AD5">
              <w:t xml:space="preserve"> </w:t>
            </w:r>
          </w:p>
          <w:p w14:paraId="6D51BF67" w14:textId="321E8526" w:rsidR="00BF4D38" w:rsidRPr="00BD7F91" w:rsidRDefault="00BF4D38" w:rsidP="00592FC4"/>
        </w:tc>
      </w:tr>
      <w:tr w:rsidR="002A4153" w:rsidRPr="00BD7F91" w14:paraId="0492BD93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5D9ACA21" w14:textId="3EBDEA5F" w:rsidR="002A4153" w:rsidRDefault="00561232" w:rsidP="00D55D5B">
            <w:r w:rsidRPr="0017665A">
              <w:lastRenderedPageBreak/>
              <w:t xml:space="preserve">CD Expectations and </w:t>
            </w:r>
            <w:r>
              <w:t xml:space="preserve">Triennial </w:t>
            </w:r>
            <w:r w:rsidRPr="0017665A">
              <w:t>Metrics</w:t>
            </w:r>
          </w:p>
        </w:tc>
        <w:tc>
          <w:tcPr>
            <w:tcW w:w="1528" w:type="dxa"/>
            <w:gridSpan w:val="2"/>
            <w:vAlign w:val="center"/>
          </w:tcPr>
          <w:p w14:paraId="1649444F" w14:textId="50A762F3" w:rsidR="002A4153" w:rsidRPr="00AC55CF" w:rsidRDefault="00561232" w:rsidP="00D55D5B">
            <w:r>
              <w:t>Tasha Martin</w:t>
            </w:r>
          </w:p>
        </w:tc>
        <w:tc>
          <w:tcPr>
            <w:tcW w:w="6390" w:type="dxa"/>
            <w:vAlign w:val="center"/>
          </w:tcPr>
          <w:p w14:paraId="13CE48E5" w14:textId="0D90CFC1" w:rsidR="002A4153" w:rsidRPr="00AC55CF" w:rsidRDefault="00561232" w:rsidP="00D17156">
            <w:r w:rsidRPr="0017665A">
              <w:t xml:space="preserve">Discuss CD </w:t>
            </w:r>
            <w:r w:rsidR="00DF14B6" w:rsidRPr="0017665A">
              <w:t xml:space="preserve">expectations </w:t>
            </w:r>
            <w:r w:rsidR="00DF14B6">
              <w:t>and</w:t>
            </w:r>
            <w:r>
              <w:t xml:space="preserve"> operations for LPHA surveillance and investigation activities as COVID-19 cases decline and triennial review</w:t>
            </w:r>
          </w:p>
        </w:tc>
        <w:tc>
          <w:tcPr>
            <w:tcW w:w="5125" w:type="dxa"/>
          </w:tcPr>
          <w:p w14:paraId="76FE18EB" w14:textId="5A1EF5C1" w:rsidR="002A4153" w:rsidRDefault="0078022A" w:rsidP="0031009F">
            <w:r>
              <w:t xml:space="preserve">triennial </w:t>
            </w:r>
            <w:r w:rsidR="006C2692">
              <w:t xml:space="preserve">review, </w:t>
            </w:r>
            <w:r w:rsidR="006C2692" w:rsidRPr="006C2692">
              <w:rPr>
                <w:b/>
                <w:bCs/>
              </w:rPr>
              <w:t>specifically CD</w:t>
            </w:r>
            <w:r w:rsidR="006C2692" w:rsidRPr="006C2692">
              <w:t xml:space="preserve"> </w:t>
            </w:r>
            <w:r>
              <w:t>– date range that will be used when time frame encompasses 2020-2021</w:t>
            </w:r>
            <w:r w:rsidR="006C2692">
              <w:t>;</w:t>
            </w:r>
            <w:r>
              <w:t xml:space="preserve"> LPHAS can determine if these </w:t>
            </w:r>
            <w:r w:rsidR="006C2692">
              <w:t xml:space="preserve">years </w:t>
            </w:r>
            <w:r>
              <w:t xml:space="preserve">will be </w:t>
            </w:r>
            <w:r w:rsidR="006C2692">
              <w:t>used (some</w:t>
            </w:r>
            <w:r>
              <w:t xml:space="preserve"> LPHAs were not able to </w:t>
            </w:r>
            <w:r w:rsidR="009E6895">
              <w:t>do a</w:t>
            </w:r>
            <w:r w:rsidR="006C2692">
              <w:t xml:space="preserve"> full array of CD investigations  during these years d/t COVID.</w:t>
            </w:r>
          </w:p>
          <w:p w14:paraId="6BCF2386" w14:textId="1568F7FB" w:rsidR="006C2692" w:rsidRPr="00BD7F91" w:rsidRDefault="006C2692" w:rsidP="0031009F"/>
        </w:tc>
      </w:tr>
      <w:tr w:rsidR="002A4153" w:rsidRPr="00BD7F91" w14:paraId="13BF33D1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0C7F677A" w14:textId="4138D87C" w:rsidR="002A4153" w:rsidRDefault="00561232" w:rsidP="00592FC4">
            <w:pPr>
              <w:rPr>
                <w:rFonts w:asciiTheme="minorHAnsi" w:hAnsiTheme="minorHAnsi"/>
              </w:rPr>
            </w:pPr>
            <w:r>
              <w:t>Changes to PE43</w:t>
            </w:r>
          </w:p>
        </w:tc>
        <w:tc>
          <w:tcPr>
            <w:tcW w:w="1528" w:type="dxa"/>
            <w:gridSpan w:val="2"/>
            <w:vAlign w:val="center"/>
          </w:tcPr>
          <w:p w14:paraId="0EB17A35" w14:textId="1DC14D7D" w:rsidR="002A4153" w:rsidRDefault="00561232" w:rsidP="005E6B58">
            <w:r>
              <w:t>Amanda Timmons</w:t>
            </w:r>
          </w:p>
        </w:tc>
        <w:tc>
          <w:tcPr>
            <w:tcW w:w="6390" w:type="dxa"/>
            <w:vAlign w:val="center"/>
          </w:tcPr>
          <w:p w14:paraId="49A9F049" w14:textId="0281924F" w:rsidR="002A4153" w:rsidRDefault="00D64F1D" w:rsidP="00592FC4">
            <w:r>
              <w:t xml:space="preserve"> </w:t>
            </w:r>
            <w:r w:rsidR="00561232">
              <w:t xml:space="preserve">Ask questions, provide </w:t>
            </w:r>
            <w:r w:rsidR="005A5AD5">
              <w:t>feedback,</w:t>
            </w:r>
            <w:r w:rsidR="00561232">
              <w:t xml:space="preserve"> and approve</w:t>
            </w:r>
          </w:p>
        </w:tc>
        <w:tc>
          <w:tcPr>
            <w:tcW w:w="5125" w:type="dxa"/>
          </w:tcPr>
          <w:p w14:paraId="177400BB" w14:textId="77777777" w:rsidR="00592FC4" w:rsidRDefault="00592FC4" w:rsidP="00592FC4"/>
          <w:p w14:paraId="27A5E103" w14:textId="4E8E1E48" w:rsidR="00C47818" w:rsidRDefault="00C47818" w:rsidP="00C47818">
            <w:r>
              <w:t xml:space="preserve"> </w:t>
            </w:r>
            <w:r w:rsidR="00BF4D38">
              <w:t>PE 43 is used to support activities</w:t>
            </w:r>
            <w:r w:rsidR="00FA3CB9">
              <w:t xml:space="preserve"> </w:t>
            </w:r>
            <w:r w:rsidR="00BF4D38">
              <w:t xml:space="preserve">that are not otherwise provided in the community- Services for uninsured adults </w:t>
            </w:r>
            <w:r w:rsidR="00674B37">
              <w:t>or unhoused.</w:t>
            </w:r>
            <w:r w:rsidR="00FA3CB9">
              <w:t xml:space="preserve">  Change is to bring to CHLO and have counties be able to complete a workplan from OHA suggestions or provide their own suggested activities.</w:t>
            </w:r>
            <w:r w:rsidR="00674B37">
              <w:t xml:space="preserve"> Will change for delegate agencies that OHA works directly with them and do site visits vaccine supply etc.  </w:t>
            </w:r>
          </w:p>
          <w:p w14:paraId="3D2C9B61" w14:textId="2ECC6F0F" w:rsidR="005A5AD5" w:rsidRDefault="005A5AD5" w:rsidP="00C47818">
            <w:r>
              <w:t>Link  for regional meetings interest :</w:t>
            </w:r>
          </w:p>
          <w:p w14:paraId="2C89180C" w14:textId="5DC59D42" w:rsidR="005A5AD5" w:rsidRDefault="00A8505B" w:rsidP="00C47818">
            <w:hyperlink r:id="rId9" w:history="1">
              <w:r w:rsidR="005A5AD5" w:rsidRPr="00937BFE">
                <w:rPr>
                  <w:rStyle w:val="Hyperlink"/>
                </w:rPr>
                <w:t>https://app.smartsheet.com/b/form/06b79488c5e64241b068cfa37e58a249</w:t>
              </w:r>
            </w:hyperlink>
            <w:r w:rsidR="005A5AD5">
              <w:t xml:space="preserve"> </w:t>
            </w:r>
          </w:p>
          <w:p w14:paraId="584CC21A" w14:textId="03FAFB7A" w:rsidR="005A5AD5" w:rsidRDefault="005A5AD5" w:rsidP="005A5AD5"/>
        </w:tc>
      </w:tr>
      <w:tr w:rsidR="002A4153" w:rsidRPr="00BD7F91" w14:paraId="66EA856A" w14:textId="77777777" w:rsidTr="00C47818">
        <w:trPr>
          <w:trHeight w:val="593"/>
        </w:trPr>
        <w:tc>
          <w:tcPr>
            <w:tcW w:w="1338" w:type="dxa"/>
            <w:vAlign w:val="center"/>
          </w:tcPr>
          <w:p w14:paraId="2933A0A2" w14:textId="0880129A" w:rsidR="002A4153" w:rsidRPr="00B94C44" w:rsidRDefault="00C47818" w:rsidP="00592FC4">
            <w:pPr>
              <w:rPr>
                <w:rFonts w:asciiTheme="minorHAnsi" w:hAnsiTheme="minorHAnsi"/>
              </w:rPr>
            </w:pPr>
            <w:r>
              <w:t xml:space="preserve"> </w:t>
            </w:r>
            <w:r w:rsidR="008F56FC">
              <w:t>County Updates</w:t>
            </w:r>
          </w:p>
        </w:tc>
        <w:tc>
          <w:tcPr>
            <w:tcW w:w="1537" w:type="dxa"/>
            <w:gridSpan w:val="3"/>
            <w:vAlign w:val="center"/>
          </w:tcPr>
          <w:p w14:paraId="3CA63A2C" w14:textId="7337941A" w:rsidR="002A4153" w:rsidRPr="00B94C44" w:rsidRDefault="008F56FC" w:rsidP="00592F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Co-chairs</w:t>
            </w:r>
          </w:p>
        </w:tc>
        <w:tc>
          <w:tcPr>
            <w:tcW w:w="6390" w:type="dxa"/>
          </w:tcPr>
          <w:p w14:paraId="50128339" w14:textId="77777777" w:rsidR="002A4153" w:rsidRPr="00B43DD0" w:rsidRDefault="00194733" w:rsidP="00592FC4">
            <w:pPr>
              <w:pStyle w:val="A-1-Boldhead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125" w:type="dxa"/>
          </w:tcPr>
          <w:p w14:paraId="7141085B" w14:textId="77777777" w:rsidR="002A4153" w:rsidRPr="00BD7F91" w:rsidRDefault="00194733" w:rsidP="00592FC4">
            <w:r>
              <w:t xml:space="preserve"> </w:t>
            </w:r>
          </w:p>
        </w:tc>
      </w:tr>
      <w:tr w:rsidR="002A4153" w:rsidRPr="00BD7F91" w14:paraId="04C68ADA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4E0D252C" w14:textId="77777777" w:rsidR="002A4153" w:rsidRPr="00B94C44" w:rsidRDefault="002A4153" w:rsidP="00592FC4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6957F7E0" w14:textId="77777777" w:rsidR="002A4153" w:rsidRPr="00B94C44" w:rsidRDefault="002A4153" w:rsidP="007D24A3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14:paraId="6ECD45FB" w14:textId="77777777" w:rsidR="002A4153" w:rsidRPr="00BD7F91" w:rsidRDefault="002A4153" w:rsidP="00592FC4"/>
        </w:tc>
        <w:tc>
          <w:tcPr>
            <w:tcW w:w="5125" w:type="dxa"/>
          </w:tcPr>
          <w:p w14:paraId="5402A6D1" w14:textId="77777777" w:rsidR="002A4153" w:rsidRPr="00BD7F91" w:rsidRDefault="007D7E56" w:rsidP="00F10B6E">
            <w:r>
              <w:t xml:space="preserve"> </w:t>
            </w:r>
            <w:r w:rsidR="009314A1">
              <w:t xml:space="preserve"> </w:t>
            </w:r>
          </w:p>
        </w:tc>
      </w:tr>
      <w:tr w:rsidR="002A4153" w:rsidRPr="00BD7F91" w14:paraId="0CD241BE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4FC98863" w14:textId="77777777" w:rsidR="002A4153" w:rsidRPr="001471DA" w:rsidRDefault="002A4153" w:rsidP="00B351AE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01822AD7" w14:textId="77777777" w:rsidR="002A4153" w:rsidRPr="00B94C44" w:rsidRDefault="002A4153" w:rsidP="00845222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14:paraId="79B22AA8" w14:textId="77777777" w:rsidR="002A4153" w:rsidRPr="00BD7F91" w:rsidRDefault="002A4153" w:rsidP="00592FC4"/>
        </w:tc>
        <w:tc>
          <w:tcPr>
            <w:tcW w:w="5125" w:type="dxa"/>
          </w:tcPr>
          <w:p w14:paraId="431B63D9" w14:textId="77777777" w:rsidR="002A4153" w:rsidRPr="00BD7F91" w:rsidRDefault="002A4153" w:rsidP="00592FC4"/>
        </w:tc>
      </w:tr>
      <w:tr w:rsidR="007A5318" w:rsidRPr="00BD7F91" w14:paraId="4DEC7A04" w14:textId="77777777" w:rsidTr="00592FC4">
        <w:trPr>
          <w:trHeight w:val="575"/>
        </w:trPr>
        <w:tc>
          <w:tcPr>
            <w:tcW w:w="1338" w:type="dxa"/>
            <w:vAlign w:val="center"/>
          </w:tcPr>
          <w:p w14:paraId="7930DB8E" w14:textId="77777777" w:rsidR="007A5318" w:rsidRDefault="007A5318" w:rsidP="00B351AE">
            <w:pPr>
              <w:rPr>
                <w:rFonts w:asciiTheme="minorHAnsi" w:hAnsiTheme="minorHAnsi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263C601" w14:textId="77777777" w:rsidR="007A5318" w:rsidRDefault="007A5318" w:rsidP="00845222">
            <w:pPr>
              <w:rPr>
                <w:rFonts w:asciiTheme="minorHAnsi" w:hAnsiTheme="minorHAnsi"/>
              </w:rPr>
            </w:pPr>
          </w:p>
        </w:tc>
        <w:tc>
          <w:tcPr>
            <w:tcW w:w="6480" w:type="dxa"/>
            <w:gridSpan w:val="2"/>
          </w:tcPr>
          <w:p w14:paraId="28AFF21A" w14:textId="77777777" w:rsidR="007A5318" w:rsidRDefault="003F0D2A" w:rsidP="00592FC4">
            <w:r>
              <w:t xml:space="preserve"> </w:t>
            </w:r>
          </w:p>
        </w:tc>
        <w:tc>
          <w:tcPr>
            <w:tcW w:w="5125" w:type="dxa"/>
          </w:tcPr>
          <w:p w14:paraId="00E78BD7" w14:textId="77777777" w:rsidR="007A5318" w:rsidRDefault="007A5318" w:rsidP="007A5318"/>
        </w:tc>
      </w:tr>
      <w:tr w:rsidR="002A4153" w:rsidRPr="00BD7F91" w14:paraId="20ABD2B3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0411CD2A" w14:textId="77777777" w:rsidR="002A4153" w:rsidRDefault="002A4153" w:rsidP="006F5082">
            <w:pPr>
              <w:rPr>
                <w:rFonts w:asciiTheme="minorHAnsi" w:hAnsiTheme="minorHAnsi"/>
              </w:rPr>
            </w:pPr>
          </w:p>
        </w:tc>
        <w:tc>
          <w:tcPr>
            <w:tcW w:w="1537" w:type="dxa"/>
            <w:gridSpan w:val="3"/>
            <w:vAlign w:val="center"/>
          </w:tcPr>
          <w:p w14:paraId="39F87DCE" w14:textId="77777777" w:rsidR="002A4153" w:rsidRDefault="002A4153" w:rsidP="00A94A42">
            <w:pPr>
              <w:rPr>
                <w:rFonts w:asciiTheme="minorHAnsi" w:hAnsiTheme="minorHAnsi"/>
              </w:rPr>
            </w:pPr>
          </w:p>
        </w:tc>
        <w:tc>
          <w:tcPr>
            <w:tcW w:w="6390" w:type="dxa"/>
          </w:tcPr>
          <w:p w14:paraId="0CFF0E7F" w14:textId="77777777" w:rsidR="002A4153" w:rsidRPr="00BD7F91" w:rsidRDefault="002A4153" w:rsidP="00592FC4"/>
        </w:tc>
        <w:tc>
          <w:tcPr>
            <w:tcW w:w="5125" w:type="dxa"/>
          </w:tcPr>
          <w:p w14:paraId="2FDBDCA1" w14:textId="77777777" w:rsidR="002A4153" w:rsidRPr="00BD7F91" w:rsidRDefault="002A4153" w:rsidP="00853C71"/>
        </w:tc>
      </w:tr>
    </w:tbl>
    <w:p w14:paraId="7ABED811" w14:textId="77777777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</w:p>
    <w:sectPr w:rsidR="00E74F81" w:rsidSect="00116C37">
      <w:footerReference w:type="default" r:id="rId10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5117C" w14:textId="77777777" w:rsidR="00A8505B" w:rsidRDefault="00A8505B" w:rsidP="003C38D2">
      <w:r>
        <w:separator/>
      </w:r>
    </w:p>
  </w:endnote>
  <w:endnote w:type="continuationSeparator" w:id="0">
    <w:p w14:paraId="0F592947" w14:textId="77777777" w:rsidR="00A8505B" w:rsidRDefault="00A8505B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D42DA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EA8C72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5F3D" w14:textId="77777777" w:rsidR="00A8505B" w:rsidRDefault="00A8505B" w:rsidP="003C38D2">
      <w:r>
        <w:separator/>
      </w:r>
    </w:p>
  </w:footnote>
  <w:footnote w:type="continuationSeparator" w:id="0">
    <w:p w14:paraId="3A1B758B" w14:textId="77777777" w:rsidR="00A8505B" w:rsidRDefault="00A8505B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1B02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4733"/>
    <w:rsid w:val="001956C4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4ACF"/>
    <w:rsid w:val="001D580E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926B2"/>
    <w:rsid w:val="002A0CD7"/>
    <w:rsid w:val="002A4153"/>
    <w:rsid w:val="002A5024"/>
    <w:rsid w:val="002B7B25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B47B3"/>
    <w:rsid w:val="003C1192"/>
    <w:rsid w:val="003C190C"/>
    <w:rsid w:val="003C38D2"/>
    <w:rsid w:val="003C3F7D"/>
    <w:rsid w:val="003C4794"/>
    <w:rsid w:val="003C690B"/>
    <w:rsid w:val="003D04BC"/>
    <w:rsid w:val="003D71DA"/>
    <w:rsid w:val="003E0C0E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A58DF"/>
    <w:rsid w:val="004D1DA6"/>
    <w:rsid w:val="004D5D0C"/>
    <w:rsid w:val="004F2154"/>
    <w:rsid w:val="00511EAC"/>
    <w:rsid w:val="00515942"/>
    <w:rsid w:val="005207A1"/>
    <w:rsid w:val="00520F7D"/>
    <w:rsid w:val="005275C0"/>
    <w:rsid w:val="00533090"/>
    <w:rsid w:val="00536E03"/>
    <w:rsid w:val="00544ACA"/>
    <w:rsid w:val="00546046"/>
    <w:rsid w:val="00561232"/>
    <w:rsid w:val="005619FA"/>
    <w:rsid w:val="0056351B"/>
    <w:rsid w:val="005643BF"/>
    <w:rsid w:val="005653FA"/>
    <w:rsid w:val="005675D5"/>
    <w:rsid w:val="00580D13"/>
    <w:rsid w:val="00592FC4"/>
    <w:rsid w:val="005A380A"/>
    <w:rsid w:val="005A5AD5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4B37"/>
    <w:rsid w:val="006779CC"/>
    <w:rsid w:val="00683E07"/>
    <w:rsid w:val="00684304"/>
    <w:rsid w:val="00690100"/>
    <w:rsid w:val="00694155"/>
    <w:rsid w:val="006B5269"/>
    <w:rsid w:val="006B6A1E"/>
    <w:rsid w:val="006C2692"/>
    <w:rsid w:val="006C3484"/>
    <w:rsid w:val="006C5819"/>
    <w:rsid w:val="006D615B"/>
    <w:rsid w:val="006D705E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022A"/>
    <w:rsid w:val="00783D4E"/>
    <w:rsid w:val="007852F9"/>
    <w:rsid w:val="00795056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56FC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A1564"/>
    <w:rsid w:val="009A336D"/>
    <w:rsid w:val="009A7837"/>
    <w:rsid w:val="009B54A7"/>
    <w:rsid w:val="009C13E6"/>
    <w:rsid w:val="009C67DF"/>
    <w:rsid w:val="009D0995"/>
    <w:rsid w:val="009D6D11"/>
    <w:rsid w:val="009E2ABD"/>
    <w:rsid w:val="009E56D8"/>
    <w:rsid w:val="009E6895"/>
    <w:rsid w:val="009F69DF"/>
    <w:rsid w:val="00A03EC0"/>
    <w:rsid w:val="00A128EA"/>
    <w:rsid w:val="00A131D2"/>
    <w:rsid w:val="00A1346F"/>
    <w:rsid w:val="00A27471"/>
    <w:rsid w:val="00A305C1"/>
    <w:rsid w:val="00A4666D"/>
    <w:rsid w:val="00A534B0"/>
    <w:rsid w:val="00A54F96"/>
    <w:rsid w:val="00A62912"/>
    <w:rsid w:val="00A73051"/>
    <w:rsid w:val="00A750EF"/>
    <w:rsid w:val="00A7573B"/>
    <w:rsid w:val="00A764F2"/>
    <w:rsid w:val="00A7673C"/>
    <w:rsid w:val="00A8505B"/>
    <w:rsid w:val="00A857E2"/>
    <w:rsid w:val="00A85A31"/>
    <w:rsid w:val="00A94A42"/>
    <w:rsid w:val="00A97532"/>
    <w:rsid w:val="00AA016B"/>
    <w:rsid w:val="00AA2787"/>
    <w:rsid w:val="00AA54E1"/>
    <w:rsid w:val="00AB33C0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33B2"/>
    <w:rsid w:val="00BA4915"/>
    <w:rsid w:val="00BB508D"/>
    <w:rsid w:val="00BB772E"/>
    <w:rsid w:val="00BC057B"/>
    <w:rsid w:val="00BC2688"/>
    <w:rsid w:val="00BD083A"/>
    <w:rsid w:val="00BD4B99"/>
    <w:rsid w:val="00BD7F91"/>
    <w:rsid w:val="00BE153C"/>
    <w:rsid w:val="00BE3E3D"/>
    <w:rsid w:val="00BE6E3F"/>
    <w:rsid w:val="00BF298F"/>
    <w:rsid w:val="00BF4D38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83158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3B0F"/>
    <w:rsid w:val="00CF7F67"/>
    <w:rsid w:val="00D01939"/>
    <w:rsid w:val="00D0299A"/>
    <w:rsid w:val="00D0718F"/>
    <w:rsid w:val="00D17156"/>
    <w:rsid w:val="00D25437"/>
    <w:rsid w:val="00D279EC"/>
    <w:rsid w:val="00D32C99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9C0"/>
    <w:rsid w:val="00DD2B60"/>
    <w:rsid w:val="00DD40F3"/>
    <w:rsid w:val="00DE7895"/>
    <w:rsid w:val="00DF14B6"/>
    <w:rsid w:val="00DF2EEA"/>
    <w:rsid w:val="00DF4262"/>
    <w:rsid w:val="00E011FE"/>
    <w:rsid w:val="00E0478D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3CB9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F93B19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7" Type="http://schemas.openxmlformats.org/officeDocument/2006/relationships/endnotes" Target="endnotes.xml"/>
	<Relationship Id="rId12" Type="http://schemas.openxmlformats.org/officeDocument/2006/relationships/theme" Target="theme/theme1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footnotes" Target="footnotes.xml"/>
	<Relationship Id="rId11" Type="http://schemas.openxmlformats.org/officeDocument/2006/relationships/fontTable" Target="fontTable.xml"/>
	<Relationship Id="rId5" Type="http://schemas.openxmlformats.org/officeDocument/2006/relationships/webSettings" Target="webSettings.xml"/>
	<Relationship Id="rId10" Type="http://schemas.openxmlformats.org/officeDocument/2006/relationships/footer" Target="footer1.xm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620C-1F9A-46BC-8933-973250B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5</cp:revision>
  <cp:lastPrinted>2019-01-11T17:57:00Z</cp:lastPrinted>
  <dcterms:created xsi:type="dcterms:W3CDTF">2022-04-12T00:30:00Z</dcterms:created>
  <dcterms:modified xsi:type="dcterms:W3CDTF">2022-04-12T00:48:00Z</dcterms:modified>
</cp:coreProperties>
</file>