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306CF" w14:textId="77777777" w:rsidR="002B638B" w:rsidRPr="000A1530" w:rsidRDefault="00F2333F" w:rsidP="002B638B">
      <w:pPr>
        <w:spacing w:after="0" w:line="240" w:lineRule="auto"/>
        <w:jc w:val="center"/>
        <w:rPr>
          <w:b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B638B" w:rsidRPr="000A1530">
        <w:rPr>
          <w:b/>
          <w:szCs w:val="28"/>
        </w:rPr>
        <w:t>CLHO Communicable Disease Committee Agenda</w:t>
      </w:r>
    </w:p>
    <w:p w14:paraId="6D790FCF" w14:textId="77777777" w:rsidR="002B638B" w:rsidRPr="000A1530" w:rsidRDefault="002B638B" w:rsidP="002B638B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Date:</w:t>
      </w:r>
      <w:r w:rsidRPr="000A1530">
        <w:rPr>
          <w:b/>
          <w:szCs w:val="28"/>
        </w:rPr>
        <w:t xml:space="preserve"> January 13</w:t>
      </w:r>
      <w:r w:rsidRPr="000A1530">
        <w:rPr>
          <w:b/>
          <w:szCs w:val="28"/>
          <w:vertAlign w:val="superscript"/>
        </w:rPr>
        <w:t>th</w:t>
      </w:r>
      <w:r w:rsidRPr="000A1530">
        <w:rPr>
          <w:b/>
          <w:szCs w:val="28"/>
        </w:rPr>
        <w:t>, 2023</w:t>
      </w:r>
    </w:p>
    <w:p w14:paraId="58606585" w14:textId="77777777" w:rsidR="002B638B" w:rsidRPr="002B638B" w:rsidRDefault="002B638B" w:rsidP="00ED1865">
      <w:pPr>
        <w:pStyle w:val="Header"/>
        <w:spacing w:after="120"/>
        <w:contextualSpacing/>
        <w:jc w:val="center"/>
        <w:rPr>
          <w:b/>
          <w:sz w:val="20"/>
        </w:rPr>
      </w:pPr>
      <w:r w:rsidRPr="002B638B">
        <w:rPr>
          <w:b/>
          <w:szCs w:val="24"/>
        </w:rPr>
        <w:t>Time: 10:00 a.m. – 11:00 a.m.</w:t>
      </w:r>
    </w:p>
    <w:p w14:paraId="004CB8AF" w14:textId="77777777" w:rsidR="00ED1865" w:rsidRDefault="007D364B" w:rsidP="00ED1865">
      <w:pPr>
        <w:spacing w:line="240" w:lineRule="auto"/>
        <w:contextualSpacing/>
      </w:pPr>
      <w:r w:rsidRPr="005F5835">
        <w:rPr>
          <w:b/>
        </w:rPr>
        <w:t>Committee Attendees:</w:t>
      </w:r>
      <w:r w:rsidRPr="005F5835">
        <w:t xml:space="preserve"> </w:t>
      </w:r>
    </w:p>
    <w:p w14:paraId="1EE4435B" w14:textId="77777777" w:rsidR="00ED1865" w:rsidRDefault="00ED1865" w:rsidP="00ED1865">
      <w:pPr>
        <w:spacing w:line="240" w:lineRule="auto"/>
        <w:ind w:left="180" w:hanging="180"/>
        <w:contextualSpacing/>
      </w:pPr>
      <w:r w:rsidRPr="00ED1865">
        <w:rPr>
          <w:u w:val="single"/>
        </w:rPr>
        <w:t>Members</w:t>
      </w:r>
      <w:r>
        <w:t xml:space="preserve">: </w:t>
      </w:r>
      <w:r w:rsidR="00E94F1F">
        <w:t>Gerald Dyer, Anna Summer, Allison Portney, Lisa McClean, Lillia Rodgers, Michelle Ashby, Bob Dannenhoffer, Laura Turpen, Andrea Krause, Bailey Burkhalter, Nicole Pierce, Katharine Carvelli, Nicole Sticka, Callie Lamendola-Gilliam</w:t>
      </w:r>
      <w:r>
        <w:t xml:space="preserve">, Tyra Jansson, Rachel Posnick, Robin Canaday, Sara McCall, Russel Barlow, Cindy Rettler, Gretchen Kellermann, Amy Manchester Harris, Kathleen Rees, Abigail Gray; </w:t>
      </w:r>
    </w:p>
    <w:p w14:paraId="1DDBB0CC" w14:textId="25EE7CB6" w:rsidR="007D364B" w:rsidRDefault="00ED1865" w:rsidP="00ED1865">
      <w:pPr>
        <w:spacing w:line="240" w:lineRule="auto"/>
        <w:contextualSpacing/>
      </w:pPr>
      <w:r w:rsidRPr="00ED1865">
        <w:rPr>
          <w:u w:val="single"/>
        </w:rPr>
        <w:t>Additional Non-LPHA Staff</w:t>
      </w:r>
      <w:r>
        <w:t xml:space="preserve">: </w:t>
      </w:r>
      <w:r>
        <w:t>Carolee Asher, Kyra Pappas, Sarah Hickerson, Kim Toevs, Christine Keating, Wendy Taylor</w:t>
      </w:r>
    </w:p>
    <w:p w14:paraId="16D7AFC6" w14:textId="77777777" w:rsidR="00ED1865" w:rsidRPr="00ED1865" w:rsidRDefault="00ED1865" w:rsidP="00E94F1F">
      <w:pPr>
        <w:spacing w:after="40" w:line="240" w:lineRule="auto"/>
        <w:contextualSpacing/>
        <w:rPr>
          <w:sz w:val="20"/>
        </w:rPr>
      </w:pPr>
    </w:p>
    <w:p w14:paraId="09B2B616" w14:textId="4036D88E" w:rsidR="007D364B" w:rsidRPr="00ED1865" w:rsidRDefault="007D364B" w:rsidP="007D364B">
      <w:pPr>
        <w:spacing w:line="240" w:lineRule="auto"/>
        <w:contextualSpacing/>
      </w:pPr>
      <w:r w:rsidRPr="005F5835">
        <w:rPr>
          <w:b/>
        </w:rPr>
        <w:t xml:space="preserve">OHA Attendees: </w:t>
      </w:r>
      <w:r w:rsidR="00ED1865">
        <w:t>Zintar Beldavs, Alessandra Karson-Whitehorn, Melissa Sutton, Ann Thomas, Orion McCotter, Amanda Faulkner, Heather Jamieson, Kelly Cogswell, Lee Peters, Madeline LaVasseur, Lex Zhang, Tasha Martin, Andie Hendrik</w:t>
      </w:r>
    </w:p>
    <w:p w14:paraId="597DC20A" w14:textId="77777777" w:rsidR="007D364B" w:rsidRPr="00ED1865" w:rsidRDefault="007D364B" w:rsidP="007D364B">
      <w:pPr>
        <w:spacing w:line="240" w:lineRule="auto"/>
        <w:contextualSpacing/>
        <w:rPr>
          <w:b/>
          <w:sz w:val="20"/>
        </w:rPr>
      </w:pPr>
    </w:p>
    <w:p w14:paraId="28000EA2" w14:textId="72F5E18D" w:rsidR="007D364B" w:rsidRPr="00ED1865" w:rsidRDefault="007D364B" w:rsidP="007D364B">
      <w:pPr>
        <w:spacing w:line="240" w:lineRule="auto"/>
        <w:contextualSpacing/>
      </w:pPr>
      <w:r w:rsidRPr="005F5835">
        <w:rPr>
          <w:b/>
        </w:rPr>
        <w:t>Other</w:t>
      </w:r>
      <w:r>
        <w:rPr>
          <w:b/>
        </w:rPr>
        <w:t>:</w:t>
      </w:r>
      <w:r w:rsidR="00ED1865">
        <w:rPr>
          <w:b/>
        </w:rPr>
        <w:t xml:space="preserve"> </w:t>
      </w:r>
      <w:r w:rsidR="00ED1865">
        <w:t xml:space="preserve">Nora Zimmerman, Laura Daily, </w:t>
      </w:r>
    </w:p>
    <w:p w14:paraId="4D4C76C4" w14:textId="1AECD04C" w:rsidR="000A1530" w:rsidRPr="00ED1865" w:rsidRDefault="000A1530" w:rsidP="000A1530">
      <w:pPr>
        <w:spacing w:after="0" w:line="240" w:lineRule="auto"/>
        <w:rPr>
          <w:b/>
          <w:sz w:val="20"/>
          <w:szCs w:val="28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4665" w:type="dxa"/>
        <w:jc w:val="center"/>
        <w:tblLayout w:type="fixed"/>
        <w:tblLook w:val="04A0" w:firstRow="1" w:lastRow="0" w:firstColumn="1" w:lastColumn="0" w:noHBand="0" w:noVBand="1"/>
      </w:tblPr>
      <w:tblGrid>
        <w:gridCol w:w="2245"/>
        <w:gridCol w:w="2160"/>
        <w:gridCol w:w="6660"/>
        <w:gridCol w:w="3600"/>
      </w:tblGrid>
      <w:tr w:rsidR="000A1530" w:rsidRPr="00BE3D69" w14:paraId="19EF1B73" w14:textId="77777777" w:rsidTr="00F86766">
        <w:trPr>
          <w:trHeight w:val="347"/>
          <w:jc w:val="center"/>
        </w:trPr>
        <w:tc>
          <w:tcPr>
            <w:tcW w:w="2245" w:type="dxa"/>
            <w:shd w:val="clear" w:color="auto" w:fill="D9D9D9" w:themeFill="background1" w:themeFillShade="D9"/>
          </w:tcPr>
          <w:p w14:paraId="2E025735" w14:textId="77777777" w:rsidR="000A1530" w:rsidRPr="000A1530" w:rsidRDefault="000A1530" w:rsidP="000A1530">
            <w:pPr>
              <w:jc w:val="center"/>
              <w:rPr>
                <w:b/>
                <w:u w:val="single"/>
              </w:rPr>
            </w:pPr>
            <w:r w:rsidRPr="000A1530">
              <w:rPr>
                <w:b/>
                <w:u w:val="single"/>
              </w:rPr>
              <w:t>Agenda Item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ED8B205" w14:textId="62FAEFB3" w:rsidR="000A1530" w:rsidRPr="000A1530" w:rsidRDefault="000A1530" w:rsidP="000A1530">
            <w:pPr>
              <w:jc w:val="center"/>
              <w:rPr>
                <w:b/>
                <w:u w:val="single"/>
              </w:rPr>
            </w:pPr>
            <w:r w:rsidRPr="000A1530">
              <w:rPr>
                <w:b/>
                <w:u w:val="single"/>
              </w:rPr>
              <w:t>Lead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14:paraId="2AD865B8" w14:textId="087D0295" w:rsidR="000A1530" w:rsidRPr="000A1530" w:rsidRDefault="000A1530" w:rsidP="000A1530">
            <w:pPr>
              <w:jc w:val="center"/>
              <w:rPr>
                <w:b/>
                <w:u w:val="single"/>
              </w:rPr>
            </w:pPr>
            <w:r w:rsidRPr="000A1530">
              <w:rPr>
                <w:b/>
                <w:u w:val="single"/>
              </w:rPr>
              <w:t>Detail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174690D" w14:textId="4A9D2F3B" w:rsidR="000A1530" w:rsidRPr="000A1530" w:rsidRDefault="000A1530" w:rsidP="000A1530">
            <w:pPr>
              <w:jc w:val="center"/>
              <w:rPr>
                <w:b/>
                <w:u w:val="single"/>
              </w:rPr>
            </w:pPr>
            <w:r w:rsidRPr="000A1530">
              <w:rPr>
                <w:b/>
                <w:u w:val="single"/>
              </w:rPr>
              <w:t>Action &amp; Responsibilities</w:t>
            </w:r>
          </w:p>
        </w:tc>
      </w:tr>
      <w:tr w:rsidR="000A1530" w14:paraId="59A30539" w14:textId="77777777" w:rsidTr="00ED1865">
        <w:trPr>
          <w:trHeight w:val="305"/>
          <w:jc w:val="center"/>
        </w:trPr>
        <w:tc>
          <w:tcPr>
            <w:tcW w:w="2245" w:type="dxa"/>
            <w:vAlign w:val="center"/>
          </w:tcPr>
          <w:p w14:paraId="04FCCAD8" w14:textId="299394B6" w:rsidR="000A1530" w:rsidRDefault="000A1530" w:rsidP="000A1530">
            <w:r>
              <w:t xml:space="preserve">Welcome and roll call </w:t>
            </w:r>
          </w:p>
        </w:tc>
        <w:tc>
          <w:tcPr>
            <w:tcW w:w="2160" w:type="dxa"/>
            <w:vAlign w:val="center"/>
          </w:tcPr>
          <w:p w14:paraId="1562F551" w14:textId="580AD188" w:rsidR="000A1530" w:rsidRDefault="000A1530" w:rsidP="000A1530">
            <w:r>
              <w:t>Co-chairs</w:t>
            </w:r>
          </w:p>
        </w:tc>
        <w:tc>
          <w:tcPr>
            <w:tcW w:w="6660" w:type="dxa"/>
          </w:tcPr>
          <w:p w14:paraId="70FE7F8E" w14:textId="69F9B14A" w:rsidR="000A1530" w:rsidRDefault="000A1530" w:rsidP="00ED1865">
            <w:r>
              <w:t xml:space="preserve">Quorum </w:t>
            </w:r>
            <w:r w:rsidR="009925CE">
              <w:t>m</w:t>
            </w:r>
            <w:r>
              <w:t>et</w:t>
            </w:r>
            <w:r w:rsidR="009925CE">
              <w:t>.</w:t>
            </w:r>
          </w:p>
        </w:tc>
        <w:tc>
          <w:tcPr>
            <w:tcW w:w="3600" w:type="dxa"/>
            <w:vAlign w:val="center"/>
          </w:tcPr>
          <w:p w14:paraId="3D67FEB4" w14:textId="5B5DE2A6" w:rsidR="000A1530" w:rsidRDefault="000A1530" w:rsidP="000A1530"/>
        </w:tc>
      </w:tr>
      <w:tr w:rsidR="000A1530" w14:paraId="54D7ECF2" w14:textId="77777777" w:rsidTr="00ED1865">
        <w:trPr>
          <w:trHeight w:val="638"/>
          <w:jc w:val="center"/>
        </w:trPr>
        <w:tc>
          <w:tcPr>
            <w:tcW w:w="2245" w:type="dxa"/>
          </w:tcPr>
          <w:p w14:paraId="18D14D0F" w14:textId="08F0A892" w:rsidR="000A1530" w:rsidRDefault="000A1530" w:rsidP="000A1530">
            <w:r>
              <w:t>Approve minutes</w:t>
            </w:r>
          </w:p>
        </w:tc>
        <w:tc>
          <w:tcPr>
            <w:tcW w:w="2160" w:type="dxa"/>
          </w:tcPr>
          <w:p w14:paraId="4B60BE7D" w14:textId="321530B7" w:rsidR="000A1530" w:rsidRDefault="000A1530" w:rsidP="000A1530">
            <w:r>
              <w:t>Co-chairs</w:t>
            </w:r>
          </w:p>
        </w:tc>
        <w:tc>
          <w:tcPr>
            <w:tcW w:w="6660" w:type="dxa"/>
          </w:tcPr>
          <w:p w14:paraId="6DACFD73" w14:textId="44FE7074" w:rsidR="000A1530" w:rsidRDefault="000A1530" w:rsidP="00ED1865">
            <w:r>
              <w:t>Mo</w:t>
            </w:r>
            <w:r w:rsidR="009925CE">
              <w:t>tion to approve</w:t>
            </w:r>
            <w:r>
              <w:t>: Gretchen</w:t>
            </w:r>
            <w:r w:rsidR="00ED1865">
              <w:t xml:space="preserve"> Kellermann</w:t>
            </w:r>
            <w:r w:rsidR="00F83709">
              <w:t xml:space="preserve">, </w:t>
            </w:r>
            <w:r w:rsidR="000F13B2">
              <w:t>Union</w:t>
            </w:r>
          </w:p>
          <w:p w14:paraId="3085EEEC" w14:textId="342A7C09" w:rsidR="000A1530" w:rsidRDefault="000A1530" w:rsidP="00ED1865">
            <w:r>
              <w:t>Second</w:t>
            </w:r>
            <w:r w:rsidR="009925CE">
              <w:t>ed</w:t>
            </w:r>
            <w:r>
              <w:t>: Andrea</w:t>
            </w:r>
            <w:r w:rsidR="00ED1865">
              <w:t xml:space="preserve"> Krause</w:t>
            </w:r>
            <w:r>
              <w:t>, Jackson</w:t>
            </w:r>
          </w:p>
        </w:tc>
        <w:tc>
          <w:tcPr>
            <w:tcW w:w="3600" w:type="dxa"/>
          </w:tcPr>
          <w:p w14:paraId="7D5F8756" w14:textId="22E614E9" w:rsidR="000A1530" w:rsidRDefault="000A1530" w:rsidP="000A1530"/>
        </w:tc>
      </w:tr>
      <w:tr w:rsidR="000A1530" w14:paraId="315E7CA0" w14:textId="77777777" w:rsidTr="00F86766">
        <w:trPr>
          <w:trHeight w:val="432"/>
          <w:jc w:val="center"/>
        </w:trPr>
        <w:tc>
          <w:tcPr>
            <w:tcW w:w="2245" w:type="dxa"/>
          </w:tcPr>
          <w:p w14:paraId="18F64F59" w14:textId="139C6B23" w:rsidR="000A1530" w:rsidRDefault="000A1530" w:rsidP="000A1530">
            <w:r>
              <w:t>COVID Outbreak Timeframes</w:t>
            </w:r>
          </w:p>
        </w:tc>
        <w:tc>
          <w:tcPr>
            <w:tcW w:w="2160" w:type="dxa"/>
          </w:tcPr>
          <w:p w14:paraId="04F6C042" w14:textId="71FA9BF1" w:rsidR="000A1530" w:rsidRDefault="000A1530" w:rsidP="000A1530">
            <w:r>
              <w:t>Melissa Sutton and Amanda Faulkner</w:t>
            </w:r>
          </w:p>
        </w:tc>
        <w:tc>
          <w:tcPr>
            <w:tcW w:w="6660" w:type="dxa"/>
            <w:vAlign w:val="center"/>
          </w:tcPr>
          <w:p w14:paraId="7483A755" w14:textId="765449F6" w:rsidR="0014495D" w:rsidRDefault="0014495D" w:rsidP="000A1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Studies showing decrease in COVID incubation period.</w:t>
            </w:r>
            <w:r w:rsidR="00F53AB3">
              <w:rPr>
                <w:rFonts w:eastAsia="Times New Roman"/>
              </w:rPr>
              <w:t xml:space="preserve"> (</w:t>
            </w:r>
            <w:hyperlink r:id="rId7" w:history="1">
              <w:r w:rsidR="00F53AB3" w:rsidRPr="00F53AB3">
                <w:rPr>
                  <w:rStyle w:val="Hyperlink"/>
                  <w:rFonts w:eastAsia="Times New Roman"/>
                </w:rPr>
                <w:t>https://jamanetwork.com/journals/jamanetworkopen/fullarticle/2795489</w:t>
              </w:r>
            </w:hyperlink>
            <w:r w:rsidR="00F53AB3">
              <w:rPr>
                <w:rFonts w:eastAsia="Times New Roman"/>
              </w:rPr>
              <w:t xml:space="preserve">) And majority of new cases in outbreaks are within 14 days. </w:t>
            </w:r>
            <w:r w:rsidR="00F53AB3" w:rsidRPr="00E60D3C">
              <w:rPr>
                <w:rFonts w:eastAsia="Times New Roman"/>
                <w:b/>
              </w:rPr>
              <w:t>Propose shifting from closing</w:t>
            </w:r>
            <w:r w:rsidR="00F86766">
              <w:rPr>
                <w:rFonts w:eastAsia="Times New Roman"/>
                <w:b/>
              </w:rPr>
              <w:t xml:space="preserve"> COVID OBs</w:t>
            </w:r>
            <w:r w:rsidR="00F53AB3" w:rsidRPr="00E60D3C">
              <w:rPr>
                <w:rFonts w:eastAsia="Times New Roman"/>
                <w:b/>
              </w:rPr>
              <w:t xml:space="preserve"> after two 14 day incubation periods to two 7 day incubation periods. </w:t>
            </w:r>
            <w:r w:rsidR="00F53AB3">
              <w:rPr>
                <w:rFonts w:eastAsia="Times New Roman"/>
              </w:rPr>
              <w:t>LPHAs still have leeway to keep outbreak open longer. Recommendation is floor not ceiling.</w:t>
            </w:r>
          </w:p>
          <w:p w14:paraId="0AFFCFD2" w14:textId="12D45F4B" w:rsidR="00F53AB3" w:rsidRPr="00ED1865" w:rsidRDefault="00F53AB3" w:rsidP="000A1530">
            <w:pPr>
              <w:rPr>
                <w:rFonts w:eastAsia="Times New Roman"/>
                <w:sz w:val="20"/>
              </w:rPr>
            </w:pPr>
          </w:p>
          <w:p w14:paraId="785875F7" w14:textId="5B92084D" w:rsidR="00F53AB3" w:rsidRDefault="00F53AB3" w:rsidP="000A1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K12/</w:t>
            </w:r>
            <w:proofErr w:type="gramStart"/>
            <w:r>
              <w:rPr>
                <w:rFonts w:eastAsia="Times New Roman"/>
              </w:rPr>
              <w:t>schools</w:t>
            </w:r>
            <w:proofErr w:type="gramEnd"/>
            <w:r>
              <w:rPr>
                <w:rFonts w:eastAsia="Times New Roman"/>
              </w:rPr>
              <w:t xml:space="preserve"> outbreaks: </w:t>
            </w:r>
            <w:r w:rsidRPr="00E60D3C">
              <w:rPr>
                <w:rFonts w:eastAsia="Times New Roman"/>
                <w:b/>
              </w:rPr>
              <w:t>Propos</w:t>
            </w:r>
            <w:r w:rsidR="00E60D3C">
              <w:rPr>
                <w:rFonts w:eastAsia="Times New Roman"/>
                <w:b/>
              </w:rPr>
              <w:t>e</w:t>
            </w:r>
            <w:r w:rsidRPr="00E60D3C">
              <w:rPr>
                <w:rFonts w:eastAsia="Times New Roman"/>
                <w:b/>
              </w:rPr>
              <w:t xml:space="preserve"> shift</w:t>
            </w:r>
            <w:r w:rsidR="00E60D3C">
              <w:rPr>
                <w:rFonts w:eastAsia="Times New Roman"/>
                <w:b/>
              </w:rPr>
              <w:t>ing</w:t>
            </w:r>
            <w:r w:rsidRPr="00E60D3C">
              <w:rPr>
                <w:rFonts w:eastAsia="Times New Roman"/>
                <w:b/>
              </w:rPr>
              <w:t xml:space="preserve"> K12/ELD setting</w:t>
            </w:r>
            <w:r w:rsidR="00F86766">
              <w:rPr>
                <w:rFonts w:eastAsia="Times New Roman"/>
                <w:b/>
              </w:rPr>
              <w:t xml:space="preserve"> COVID/non-reportable </w:t>
            </w:r>
            <w:r w:rsidR="000F13B2">
              <w:rPr>
                <w:rFonts w:eastAsia="Times New Roman"/>
                <w:b/>
              </w:rPr>
              <w:t>respiratory</w:t>
            </w:r>
            <w:r w:rsidRPr="00E60D3C">
              <w:rPr>
                <w:rFonts w:eastAsia="Times New Roman"/>
                <w:b/>
              </w:rPr>
              <w:t xml:space="preserve"> outbreak </w:t>
            </w:r>
            <w:r w:rsidR="00E60D3C" w:rsidRPr="00E60D3C">
              <w:rPr>
                <w:rFonts w:eastAsia="Times New Roman"/>
                <w:b/>
              </w:rPr>
              <w:t>closure to 0 days</w:t>
            </w:r>
            <w:r>
              <w:rPr>
                <w:rFonts w:eastAsia="Times New Roman"/>
              </w:rPr>
              <w:t xml:space="preserve"> </w:t>
            </w:r>
            <w:r w:rsidR="00E60D3C"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</w:rPr>
              <w:t xml:space="preserve">just initial report and follow-up. Again, recommendation is floor not ceiling. </w:t>
            </w:r>
          </w:p>
          <w:p w14:paraId="04849082" w14:textId="77777777" w:rsidR="00F53AB3" w:rsidRPr="00ED1865" w:rsidRDefault="00F53AB3" w:rsidP="000A1530">
            <w:pPr>
              <w:rPr>
                <w:rFonts w:eastAsia="Times New Roman"/>
                <w:sz w:val="20"/>
              </w:rPr>
            </w:pPr>
          </w:p>
          <w:p w14:paraId="00FE66DA" w14:textId="57462EEA" w:rsidR="000A1530" w:rsidRDefault="000A1530" w:rsidP="000A1530">
            <w:pPr>
              <w:rPr>
                <w:rFonts w:eastAsia="Times New Roman"/>
                <w:color w:val="2E74B5" w:themeColor="accent1" w:themeShade="BF"/>
              </w:rPr>
            </w:pPr>
            <w:r>
              <w:rPr>
                <w:rFonts w:eastAsia="Times New Roman"/>
                <w:color w:val="2E74B5" w:themeColor="accent1" w:themeShade="BF"/>
              </w:rPr>
              <w:t>Questions</w:t>
            </w:r>
            <w:r w:rsidR="002B638B">
              <w:rPr>
                <w:rFonts w:eastAsia="Times New Roman"/>
                <w:color w:val="2E74B5" w:themeColor="accent1" w:themeShade="BF"/>
              </w:rPr>
              <w:t>/Comments</w:t>
            </w:r>
            <w:r>
              <w:rPr>
                <w:rFonts w:eastAsia="Times New Roman"/>
                <w:color w:val="2E74B5" w:themeColor="accent1" w:themeShade="BF"/>
              </w:rPr>
              <w:t>:</w:t>
            </w:r>
          </w:p>
          <w:p w14:paraId="2BF3A08C" w14:textId="77777777" w:rsidR="002B638B" w:rsidRDefault="00F53AB3" w:rsidP="002B638B">
            <w:pPr>
              <w:pStyle w:val="ListParagraph"/>
              <w:numPr>
                <w:ilvl w:val="0"/>
                <w:numId w:val="18"/>
              </w:numPr>
              <w:tabs>
                <w:tab w:val="left" w:pos="515"/>
              </w:tabs>
              <w:ind w:left="256" w:hanging="11"/>
              <w:rPr>
                <w:rFonts w:eastAsia="Times New Roman"/>
                <w:color w:val="2E74B5" w:themeColor="accent1" w:themeShade="BF"/>
              </w:rPr>
            </w:pPr>
            <w:r>
              <w:rPr>
                <w:rFonts w:eastAsia="Times New Roman"/>
                <w:color w:val="2E74B5" w:themeColor="accent1" w:themeShade="BF"/>
              </w:rPr>
              <w:t xml:space="preserve">When would we (LPHA) close school OBs? </w:t>
            </w:r>
          </w:p>
          <w:p w14:paraId="2687E0D0" w14:textId="2CBEBA08" w:rsidR="00F53AB3" w:rsidRDefault="00F53AB3" w:rsidP="002B638B">
            <w:pPr>
              <w:pStyle w:val="ListParagraph"/>
              <w:numPr>
                <w:ilvl w:val="1"/>
                <w:numId w:val="18"/>
              </w:numPr>
              <w:tabs>
                <w:tab w:val="left" w:pos="515"/>
              </w:tabs>
              <w:ind w:left="785" w:hanging="180"/>
              <w:rPr>
                <w:rFonts w:eastAsia="Times New Roman"/>
                <w:color w:val="2E74B5" w:themeColor="accent1" w:themeShade="BF"/>
              </w:rPr>
            </w:pPr>
            <w:r>
              <w:rPr>
                <w:rFonts w:eastAsia="Times New Roman"/>
                <w:color w:val="2E74B5" w:themeColor="accent1" w:themeShade="BF"/>
              </w:rPr>
              <w:t>A: Essentially immediately. Utility of keeping OBs open and continuing to monitor minimal.</w:t>
            </w:r>
          </w:p>
          <w:p w14:paraId="3870663D" w14:textId="77777777" w:rsidR="002B638B" w:rsidRDefault="00F53AB3" w:rsidP="002B638B">
            <w:pPr>
              <w:pStyle w:val="ListParagraph"/>
              <w:numPr>
                <w:ilvl w:val="0"/>
                <w:numId w:val="18"/>
              </w:numPr>
              <w:tabs>
                <w:tab w:val="left" w:pos="515"/>
              </w:tabs>
              <w:ind w:left="256" w:hanging="11"/>
              <w:rPr>
                <w:rFonts w:eastAsia="Times New Roman"/>
                <w:color w:val="2E74B5" w:themeColor="accent1" w:themeShade="BF"/>
              </w:rPr>
            </w:pPr>
            <w:r>
              <w:rPr>
                <w:rFonts w:eastAsia="Times New Roman"/>
                <w:color w:val="2E74B5" w:themeColor="accent1" w:themeShade="BF"/>
              </w:rPr>
              <w:t>What kind of write-up would be required in OB?</w:t>
            </w:r>
            <w:r w:rsidR="00E60D3C">
              <w:rPr>
                <w:rFonts w:eastAsia="Times New Roman"/>
                <w:color w:val="2E74B5" w:themeColor="accent1" w:themeShade="BF"/>
              </w:rPr>
              <w:t xml:space="preserve"> </w:t>
            </w:r>
          </w:p>
          <w:p w14:paraId="1A33350F" w14:textId="243C4D5B" w:rsidR="00F53AB3" w:rsidRDefault="00E60D3C" w:rsidP="002B638B">
            <w:pPr>
              <w:pStyle w:val="ListParagraph"/>
              <w:numPr>
                <w:ilvl w:val="1"/>
                <w:numId w:val="18"/>
              </w:numPr>
              <w:tabs>
                <w:tab w:val="left" w:pos="515"/>
              </w:tabs>
              <w:ind w:left="785" w:hanging="180"/>
              <w:rPr>
                <w:rFonts w:eastAsia="Times New Roman"/>
                <w:color w:val="2E74B5" w:themeColor="accent1" w:themeShade="BF"/>
              </w:rPr>
            </w:pPr>
            <w:r>
              <w:rPr>
                <w:rFonts w:eastAsia="Times New Roman"/>
                <w:color w:val="2E74B5" w:themeColor="accent1" w:themeShade="BF"/>
              </w:rPr>
              <w:t>A: An extremely brief one. Simple documentation of what was reported by school and what you told them. Updated if/when anything notable comes up following initial correspondence.</w:t>
            </w:r>
          </w:p>
          <w:p w14:paraId="0EB0ED3C" w14:textId="1D261C04" w:rsidR="00F53AB3" w:rsidRDefault="00F53AB3" w:rsidP="002B638B">
            <w:pPr>
              <w:pStyle w:val="ListParagraph"/>
              <w:numPr>
                <w:ilvl w:val="0"/>
                <w:numId w:val="18"/>
              </w:numPr>
              <w:tabs>
                <w:tab w:val="left" w:pos="515"/>
              </w:tabs>
              <w:ind w:left="515" w:hanging="270"/>
              <w:rPr>
                <w:rFonts w:eastAsia="Times New Roman"/>
                <w:color w:val="2E74B5" w:themeColor="accent1" w:themeShade="BF"/>
              </w:rPr>
            </w:pPr>
            <w:r>
              <w:rPr>
                <w:rFonts w:eastAsia="Times New Roman"/>
                <w:color w:val="2E74B5" w:themeColor="accent1" w:themeShade="BF"/>
              </w:rPr>
              <w:lastRenderedPageBreak/>
              <w:t>These methods certainly help</w:t>
            </w:r>
            <w:r w:rsidR="002B638B">
              <w:rPr>
                <w:rFonts w:eastAsia="Times New Roman"/>
                <w:color w:val="2E74B5" w:themeColor="accent1" w:themeShade="BF"/>
              </w:rPr>
              <w:t xml:space="preserve"> with regards to LPHA capacity issues</w:t>
            </w:r>
            <w:r>
              <w:rPr>
                <w:rFonts w:eastAsia="Times New Roman"/>
                <w:color w:val="2E74B5" w:themeColor="accent1" w:themeShade="BF"/>
              </w:rPr>
              <w:t>. For K12/ELD and/or congregate settings, particularly in terms of modernization: possibility of absenteeism reporting, info system, regulatory oversight by PH. Opportunity for brainstorming to build something to minimize work done and increase yield.</w:t>
            </w:r>
          </w:p>
          <w:p w14:paraId="48DA6EAE" w14:textId="4604E949" w:rsidR="00F53AB3" w:rsidRDefault="002B638B" w:rsidP="002B638B">
            <w:pPr>
              <w:pStyle w:val="ListParagraph"/>
              <w:numPr>
                <w:ilvl w:val="1"/>
                <w:numId w:val="18"/>
              </w:numPr>
              <w:tabs>
                <w:tab w:val="left" w:pos="515"/>
              </w:tabs>
              <w:ind w:left="785" w:hanging="180"/>
              <w:rPr>
                <w:rFonts w:eastAsia="Times New Roman"/>
                <w:color w:val="2E74B5" w:themeColor="accent1" w:themeShade="BF"/>
              </w:rPr>
            </w:pPr>
            <w:r>
              <w:rPr>
                <w:rFonts w:eastAsia="Times New Roman"/>
                <w:color w:val="2E74B5" w:themeColor="accent1" w:themeShade="BF"/>
              </w:rPr>
              <w:t>A</w:t>
            </w:r>
            <w:r w:rsidR="00F53AB3">
              <w:rPr>
                <w:rFonts w:eastAsia="Times New Roman"/>
                <w:color w:val="2E74B5" w:themeColor="accent1" w:themeShade="BF"/>
              </w:rPr>
              <w:t xml:space="preserve">: Some legal complexities. Feasibility issues. Have </w:t>
            </w:r>
            <w:r w:rsidR="00E60D3C">
              <w:rPr>
                <w:rFonts w:eastAsia="Times New Roman"/>
                <w:color w:val="2E74B5" w:themeColor="accent1" w:themeShade="BF"/>
              </w:rPr>
              <w:t>h</w:t>
            </w:r>
            <w:r w:rsidR="00F53AB3">
              <w:rPr>
                <w:rFonts w:eastAsia="Times New Roman"/>
                <w:color w:val="2E74B5" w:themeColor="accent1" w:themeShade="BF"/>
              </w:rPr>
              <w:t>it a brick wal</w:t>
            </w:r>
            <w:r w:rsidR="00E60D3C">
              <w:rPr>
                <w:rFonts w:eastAsia="Times New Roman"/>
                <w:color w:val="2E74B5" w:themeColor="accent1" w:themeShade="BF"/>
              </w:rPr>
              <w:t>l</w:t>
            </w:r>
            <w:r w:rsidR="00F53AB3">
              <w:rPr>
                <w:rFonts w:eastAsia="Times New Roman"/>
                <w:color w:val="2E74B5" w:themeColor="accent1" w:themeShade="BF"/>
              </w:rPr>
              <w:t xml:space="preserve">. Some work at local level. Concerns with absenteeism: balance of what you may find vs work to find it. Even with what’s in place, reality is many schools not doing much even when thresholds are met. </w:t>
            </w:r>
            <w:r w:rsidR="00E60D3C">
              <w:rPr>
                <w:rFonts w:eastAsia="Times New Roman"/>
                <w:color w:val="2E74B5" w:themeColor="accent1" w:themeShade="BF"/>
              </w:rPr>
              <w:t>Agree that we should push forward and see where we can get funding/support, but biggest challenges are legal (who sees what data, how data is used, etc.). Amanda keeping dream alive.</w:t>
            </w:r>
          </w:p>
          <w:p w14:paraId="4F4931B6" w14:textId="60227ADE" w:rsidR="009925CE" w:rsidRDefault="009925CE" w:rsidP="002B638B">
            <w:pPr>
              <w:pStyle w:val="ListParagraph"/>
              <w:numPr>
                <w:ilvl w:val="1"/>
                <w:numId w:val="18"/>
              </w:numPr>
              <w:tabs>
                <w:tab w:val="left" w:pos="515"/>
              </w:tabs>
              <w:ind w:left="785" w:hanging="180"/>
              <w:rPr>
                <w:rFonts w:eastAsia="Times New Roman"/>
                <w:color w:val="2E74B5" w:themeColor="accent1" w:themeShade="BF"/>
              </w:rPr>
            </w:pPr>
            <w:r>
              <w:rPr>
                <w:rFonts w:eastAsia="Times New Roman"/>
                <w:color w:val="2E74B5" w:themeColor="accent1" w:themeShade="BF"/>
              </w:rPr>
              <w:t>Jackson/Josephine/Klamath counties have jointly developed centralized schools reporting system. Currently piloting in Klamath. Jackson working onboarding schools for piloting.</w:t>
            </w:r>
          </w:p>
          <w:p w14:paraId="5820E165" w14:textId="40F154AB" w:rsidR="00E60D3C" w:rsidRDefault="009925CE" w:rsidP="002B638B">
            <w:pPr>
              <w:pStyle w:val="ListParagraph"/>
              <w:numPr>
                <w:ilvl w:val="0"/>
                <w:numId w:val="18"/>
              </w:numPr>
              <w:tabs>
                <w:tab w:val="left" w:pos="515"/>
              </w:tabs>
              <w:ind w:left="425" w:hanging="180"/>
              <w:rPr>
                <w:rFonts w:eastAsia="Times New Roman"/>
                <w:color w:val="2E74B5" w:themeColor="accent1" w:themeShade="BF"/>
              </w:rPr>
            </w:pPr>
            <w:r>
              <w:rPr>
                <w:rFonts w:eastAsia="Times New Roman"/>
                <w:color w:val="2E74B5" w:themeColor="accent1" w:themeShade="BF"/>
              </w:rPr>
              <w:t>This has al</w:t>
            </w:r>
            <w:r w:rsidR="00E60D3C">
              <w:rPr>
                <w:rFonts w:eastAsia="Times New Roman"/>
                <w:color w:val="2E74B5" w:themeColor="accent1" w:themeShade="BF"/>
              </w:rPr>
              <w:t xml:space="preserve">ways </w:t>
            </w:r>
            <w:r>
              <w:rPr>
                <w:rFonts w:eastAsia="Times New Roman"/>
                <w:color w:val="2E74B5" w:themeColor="accent1" w:themeShade="BF"/>
              </w:rPr>
              <w:t xml:space="preserve">been a </w:t>
            </w:r>
            <w:r w:rsidR="00E60D3C">
              <w:rPr>
                <w:rFonts w:eastAsia="Times New Roman"/>
                <w:color w:val="2E74B5" w:themeColor="accent1" w:themeShade="BF"/>
              </w:rPr>
              <w:t>problem before schools</w:t>
            </w:r>
            <w:r>
              <w:rPr>
                <w:rFonts w:eastAsia="Times New Roman"/>
                <w:color w:val="2E74B5" w:themeColor="accent1" w:themeShade="BF"/>
              </w:rPr>
              <w:t>, so this larger c</w:t>
            </w:r>
            <w:r w:rsidR="00E60D3C">
              <w:rPr>
                <w:rFonts w:eastAsia="Times New Roman"/>
                <w:color w:val="2E74B5" w:themeColor="accent1" w:themeShade="BF"/>
              </w:rPr>
              <w:t xml:space="preserve">onversation </w:t>
            </w:r>
            <w:r>
              <w:rPr>
                <w:rFonts w:eastAsia="Times New Roman"/>
                <w:color w:val="2E74B5" w:themeColor="accent1" w:themeShade="BF"/>
              </w:rPr>
              <w:t xml:space="preserve">is </w:t>
            </w:r>
            <w:r w:rsidR="00E60D3C">
              <w:rPr>
                <w:rFonts w:eastAsia="Times New Roman"/>
                <w:color w:val="2E74B5" w:themeColor="accent1" w:themeShade="BF"/>
              </w:rPr>
              <w:t xml:space="preserve">important. But for immediate impact, this change will be super helpful. </w:t>
            </w:r>
          </w:p>
          <w:p w14:paraId="0A051466" w14:textId="2AEC19D0" w:rsidR="002B638B" w:rsidRDefault="009925CE" w:rsidP="002B638B">
            <w:pPr>
              <w:pStyle w:val="ListParagraph"/>
              <w:numPr>
                <w:ilvl w:val="0"/>
                <w:numId w:val="18"/>
              </w:numPr>
              <w:tabs>
                <w:tab w:val="left" w:pos="515"/>
              </w:tabs>
              <w:ind w:left="425" w:hanging="180"/>
              <w:rPr>
                <w:rFonts w:eastAsia="Times New Roman"/>
                <w:color w:val="2E74B5" w:themeColor="accent1" w:themeShade="BF"/>
              </w:rPr>
            </w:pPr>
            <w:r>
              <w:rPr>
                <w:rFonts w:eastAsia="Times New Roman"/>
                <w:color w:val="2E74B5" w:themeColor="accent1" w:themeShade="BF"/>
              </w:rPr>
              <w:t xml:space="preserve"> Just to clarify, w</w:t>
            </w:r>
            <w:r w:rsidR="00E60D3C">
              <w:rPr>
                <w:rFonts w:eastAsia="Times New Roman"/>
                <w:color w:val="2E74B5" w:themeColor="accent1" w:themeShade="BF"/>
              </w:rPr>
              <w:t>ith incubation at 7 days, case</w:t>
            </w:r>
            <w:r>
              <w:rPr>
                <w:rFonts w:eastAsia="Times New Roman"/>
                <w:color w:val="2E74B5" w:themeColor="accent1" w:themeShade="BF"/>
              </w:rPr>
              <w:t>s</w:t>
            </w:r>
            <w:r w:rsidR="00E60D3C">
              <w:rPr>
                <w:rFonts w:eastAsia="Times New Roman"/>
                <w:color w:val="2E74B5" w:themeColor="accent1" w:themeShade="BF"/>
              </w:rPr>
              <w:t xml:space="preserve"> reported </w:t>
            </w:r>
            <w:r>
              <w:rPr>
                <w:rFonts w:eastAsia="Times New Roman"/>
                <w:color w:val="2E74B5" w:themeColor="accent1" w:themeShade="BF"/>
              </w:rPr>
              <w:t>after 14 days would be a</w:t>
            </w:r>
            <w:r w:rsidR="00E60D3C">
              <w:rPr>
                <w:rFonts w:eastAsia="Times New Roman"/>
                <w:color w:val="2E74B5" w:themeColor="accent1" w:themeShade="BF"/>
              </w:rPr>
              <w:t xml:space="preserve"> new outbreak? </w:t>
            </w:r>
          </w:p>
          <w:p w14:paraId="201F308C" w14:textId="5F4EBD1F" w:rsidR="00E60D3C" w:rsidRDefault="002B638B" w:rsidP="002B638B">
            <w:pPr>
              <w:pStyle w:val="ListParagraph"/>
              <w:numPr>
                <w:ilvl w:val="1"/>
                <w:numId w:val="18"/>
              </w:numPr>
              <w:tabs>
                <w:tab w:val="left" w:pos="515"/>
                <w:tab w:val="left" w:pos="695"/>
              </w:tabs>
              <w:ind w:hanging="925"/>
              <w:rPr>
                <w:rFonts w:eastAsia="Times New Roman"/>
                <w:color w:val="2E74B5" w:themeColor="accent1" w:themeShade="BF"/>
              </w:rPr>
            </w:pPr>
            <w:r>
              <w:rPr>
                <w:rFonts w:eastAsia="Times New Roman"/>
                <w:color w:val="2E74B5" w:themeColor="accent1" w:themeShade="BF"/>
              </w:rPr>
              <w:t xml:space="preserve">A: </w:t>
            </w:r>
            <w:r w:rsidR="00E60D3C">
              <w:rPr>
                <w:rFonts w:eastAsia="Times New Roman"/>
                <w:color w:val="2E74B5" w:themeColor="accent1" w:themeShade="BF"/>
              </w:rPr>
              <w:t>Yes</w:t>
            </w:r>
          </w:p>
          <w:p w14:paraId="07D1435F" w14:textId="500AFA9E" w:rsidR="002B638B" w:rsidRDefault="009925CE" w:rsidP="002B638B">
            <w:pPr>
              <w:pStyle w:val="ListParagraph"/>
              <w:numPr>
                <w:ilvl w:val="0"/>
                <w:numId w:val="18"/>
              </w:numPr>
              <w:tabs>
                <w:tab w:val="left" w:pos="515"/>
              </w:tabs>
              <w:ind w:left="256" w:hanging="11"/>
              <w:rPr>
                <w:rFonts w:eastAsia="Times New Roman"/>
                <w:color w:val="2E74B5" w:themeColor="accent1" w:themeShade="BF"/>
              </w:rPr>
            </w:pPr>
            <w:r>
              <w:rPr>
                <w:rFonts w:eastAsia="Times New Roman"/>
                <w:color w:val="2E74B5" w:themeColor="accent1" w:themeShade="BF"/>
              </w:rPr>
              <w:t xml:space="preserve">Also to clarify, </w:t>
            </w:r>
            <w:r w:rsidR="00E60D3C">
              <w:rPr>
                <w:rFonts w:eastAsia="Times New Roman"/>
                <w:color w:val="2E74B5" w:themeColor="accent1" w:themeShade="BF"/>
              </w:rPr>
              <w:t xml:space="preserve">ELD includes childcare facilities? </w:t>
            </w:r>
          </w:p>
          <w:p w14:paraId="1BFF77C6" w14:textId="59BBB5A7" w:rsidR="00E60D3C" w:rsidRDefault="002B638B" w:rsidP="002B638B">
            <w:pPr>
              <w:pStyle w:val="ListParagraph"/>
              <w:numPr>
                <w:ilvl w:val="1"/>
                <w:numId w:val="18"/>
              </w:numPr>
              <w:tabs>
                <w:tab w:val="left" w:pos="515"/>
              </w:tabs>
              <w:ind w:left="695" w:hanging="180"/>
              <w:rPr>
                <w:rFonts w:eastAsia="Times New Roman"/>
                <w:color w:val="2E74B5" w:themeColor="accent1" w:themeShade="BF"/>
              </w:rPr>
            </w:pPr>
            <w:r>
              <w:rPr>
                <w:rFonts w:eastAsia="Times New Roman"/>
                <w:color w:val="2E74B5" w:themeColor="accent1" w:themeShade="BF"/>
              </w:rPr>
              <w:t xml:space="preserve">A: </w:t>
            </w:r>
            <w:r w:rsidR="00E60D3C">
              <w:rPr>
                <w:rFonts w:eastAsia="Times New Roman"/>
                <w:color w:val="2E74B5" w:themeColor="accent1" w:themeShade="BF"/>
              </w:rPr>
              <w:t>Yes</w:t>
            </w:r>
          </w:p>
          <w:p w14:paraId="2B66E6ED" w14:textId="77777777" w:rsidR="009925CE" w:rsidRDefault="009925CE" w:rsidP="009925CE">
            <w:pPr>
              <w:pStyle w:val="ListParagraph"/>
              <w:numPr>
                <w:ilvl w:val="0"/>
                <w:numId w:val="18"/>
              </w:numPr>
              <w:tabs>
                <w:tab w:val="left" w:pos="515"/>
              </w:tabs>
              <w:ind w:left="515" w:hanging="270"/>
              <w:rPr>
                <w:rFonts w:eastAsia="Times New Roman"/>
                <w:color w:val="2E74B5" w:themeColor="accent1" w:themeShade="BF"/>
              </w:rPr>
            </w:pPr>
            <w:r>
              <w:rPr>
                <w:rFonts w:eastAsia="Times New Roman"/>
                <w:color w:val="2E74B5" w:themeColor="accent1" w:themeShade="BF"/>
              </w:rPr>
              <w:t>With regards to congregate settings, d</w:t>
            </w:r>
            <w:r w:rsidRPr="00C26212">
              <w:rPr>
                <w:rFonts w:eastAsia="Times New Roman"/>
                <w:color w:val="2E74B5" w:themeColor="accent1" w:themeShade="BF"/>
              </w:rPr>
              <w:t>oes this change include mixed ILI OBs</w:t>
            </w:r>
            <w:r>
              <w:rPr>
                <w:rFonts w:eastAsia="Times New Roman"/>
                <w:color w:val="2E74B5" w:themeColor="accent1" w:themeShade="BF"/>
              </w:rPr>
              <w:t xml:space="preserve"> with COVID</w:t>
            </w:r>
            <w:r w:rsidRPr="00C26212">
              <w:rPr>
                <w:rFonts w:eastAsia="Times New Roman"/>
                <w:color w:val="2E74B5" w:themeColor="accent1" w:themeShade="BF"/>
              </w:rPr>
              <w:t>?</w:t>
            </w:r>
            <w:r>
              <w:rPr>
                <w:rFonts w:eastAsia="Times New Roman"/>
                <w:color w:val="2E74B5" w:themeColor="accent1" w:themeShade="BF"/>
              </w:rPr>
              <w:t xml:space="preserve"> </w:t>
            </w:r>
          </w:p>
          <w:p w14:paraId="1134A33C" w14:textId="27A287AD" w:rsidR="009925CE" w:rsidRPr="009925CE" w:rsidRDefault="009925CE" w:rsidP="009925CE">
            <w:pPr>
              <w:pStyle w:val="ListParagraph"/>
              <w:numPr>
                <w:ilvl w:val="1"/>
                <w:numId w:val="18"/>
              </w:numPr>
              <w:tabs>
                <w:tab w:val="left" w:pos="515"/>
                <w:tab w:val="left" w:pos="785"/>
              </w:tabs>
              <w:ind w:left="695" w:hanging="90"/>
              <w:rPr>
                <w:rFonts w:eastAsia="Times New Roman"/>
                <w:color w:val="2E74B5" w:themeColor="accent1" w:themeShade="BF"/>
              </w:rPr>
            </w:pPr>
            <w:r w:rsidRPr="00F86766">
              <w:rPr>
                <w:rFonts w:eastAsia="Times New Roman"/>
                <w:color w:val="2E74B5" w:themeColor="accent1" w:themeShade="BF"/>
              </w:rPr>
              <w:t>A: Yes</w:t>
            </w:r>
          </w:p>
          <w:p w14:paraId="748F6D3F" w14:textId="77777777" w:rsidR="002B638B" w:rsidRDefault="002B638B" w:rsidP="002B638B">
            <w:pPr>
              <w:pStyle w:val="ListParagraph"/>
              <w:numPr>
                <w:ilvl w:val="0"/>
                <w:numId w:val="18"/>
              </w:numPr>
              <w:tabs>
                <w:tab w:val="left" w:pos="515"/>
              </w:tabs>
              <w:ind w:left="425" w:hanging="180"/>
              <w:rPr>
                <w:rFonts w:eastAsia="Times New Roman"/>
                <w:color w:val="2E74B5" w:themeColor="accent1" w:themeShade="BF"/>
              </w:rPr>
            </w:pPr>
            <w:r>
              <w:rPr>
                <w:rFonts w:eastAsia="Times New Roman"/>
                <w:color w:val="2E74B5" w:themeColor="accent1" w:themeShade="BF"/>
              </w:rPr>
              <w:t>What are the next steps? Do LPHAS need to wa</w:t>
            </w:r>
            <w:r w:rsidR="00E60D3C">
              <w:rPr>
                <w:rFonts w:eastAsia="Times New Roman"/>
                <w:color w:val="2E74B5" w:themeColor="accent1" w:themeShade="BF"/>
              </w:rPr>
              <w:t>it for IG update</w:t>
            </w:r>
            <w:r>
              <w:rPr>
                <w:rFonts w:eastAsia="Times New Roman"/>
                <w:color w:val="2E74B5" w:themeColor="accent1" w:themeShade="BF"/>
              </w:rPr>
              <w:t xml:space="preserve"> to implement</w:t>
            </w:r>
            <w:r w:rsidR="00E60D3C">
              <w:rPr>
                <w:rFonts w:eastAsia="Times New Roman"/>
                <w:color w:val="2E74B5" w:themeColor="accent1" w:themeShade="BF"/>
              </w:rPr>
              <w:t xml:space="preserve">? </w:t>
            </w:r>
          </w:p>
          <w:p w14:paraId="2C7F2384" w14:textId="77777777" w:rsidR="002B638B" w:rsidRDefault="002B638B" w:rsidP="00ED1865">
            <w:pPr>
              <w:pStyle w:val="ListParagraph"/>
              <w:numPr>
                <w:ilvl w:val="1"/>
                <w:numId w:val="18"/>
              </w:numPr>
              <w:tabs>
                <w:tab w:val="left" w:pos="515"/>
              </w:tabs>
              <w:ind w:left="695" w:hanging="180"/>
              <w:rPr>
                <w:rFonts w:eastAsia="Times New Roman"/>
                <w:color w:val="2E74B5" w:themeColor="accent1" w:themeShade="BF"/>
              </w:rPr>
            </w:pPr>
            <w:r w:rsidRPr="00F86766">
              <w:rPr>
                <w:rFonts w:eastAsia="Times New Roman"/>
                <w:color w:val="2E74B5" w:themeColor="accent1" w:themeShade="BF"/>
              </w:rPr>
              <w:t xml:space="preserve">A: </w:t>
            </w:r>
            <w:r w:rsidR="00E60D3C" w:rsidRPr="00F86766">
              <w:rPr>
                <w:rFonts w:eastAsia="Times New Roman"/>
                <w:color w:val="2E74B5" w:themeColor="accent1" w:themeShade="BF"/>
              </w:rPr>
              <w:t>LPHAs can implement change immediately. Purpose of today’s call was</w:t>
            </w:r>
            <w:r w:rsidR="009925CE">
              <w:rPr>
                <w:rFonts w:eastAsia="Times New Roman"/>
                <w:color w:val="2E74B5" w:themeColor="accent1" w:themeShade="BF"/>
              </w:rPr>
              <w:t xml:space="preserve"> really</w:t>
            </w:r>
            <w:r w:rsidR="00E60D3C" w:rsidRPr="00F86766">
              <w:rPr>
                <w:rFonts w:eastAsia="Times New Roman"/>
                <w:color w:val="2E74B5" w:themeColor="accent1" w:themeShade="BF"/>
              </w:rPr>
              <w:t xml:space="preserve"> just to make sure there was no objection from LPHAs</w:t>
            </w:r>
            <w:r w:rsidR="00F86766" w:rsidRPr="00F86766">
              <w:rPr>
                <w:rFonts w:eastAsia="Times New Roman"/>
                <w:color w:val="2E74B5" w:themeColor="accent1" w:themeShade="BF"/>
              </w:rPr>
              <w:t xml:space="preserve">. </w:t>
            </w:r>
            <w:r w:rsidR="009925CE">
              <w:rPr>
                <w:rFonts w:eastAsia="Times New Roman"/>
                <w:color w:val="2E74B5" w:themeColor="accent1" w:themeShade="BF"/>
              </w:rPr>
              <w:t>OHA</w:t>
            </w:r>
            <w:r w:rsidR="00F86766" w:rsidRPr="00F86766">
              <w:rPr>
                <w:rFonts w:eastAsia="Times New Roman"/>
                <w:color w:val="2E74B5" w:themeColor="accent1" w:themeShade="BF"/>
              </w:rPr>
              <w:t xml:space="preserve"> get something out in writing today if that would be useful</w:t>
            </w:r>
            <w:r w:rsidR="009925CE">
              <w:rPr>
                <w:rFonts w:eastAsia="Times New Roman"/>
                <w:color w:val="2E74B5" w:themeColor="accent1" w:themeShade="BF"/>
              </w:rPr>
              <w:t xml:space="preserve"> and </w:t>
            </w:r>
            <w:r w:rsidR="00F86766">
              <w:rPr>
                <w:rFonts w:eastAsia="Times New Roman"/>
                <w:color w:val="2E74B5" w:themeColor="accent1" w:themeShade="BF"/>
              </w:rPr>
              <w:t xml:space="preserve">will also </w:t>
            </w:r>
            <w:r w:rsidR="00E60D3C" w:rsidRPr="00F86766">
              <w:rPr>
                <w:rFonts w:eastAsia="Times New Roman"/>
                <w:color w:val="2E74B5" w:themeColor="accent1" w:themeShade="BF"/>
              </w:rPr>
              <w:t xml:space="preserve">provide Dr. Sidelinger with update so </w:t>
            </w:r>
            <w:r w:rsidR="009925CE">
              <w:rPr>
                <w:rFonts w:eastAsia="Times New Roman"/>
                <w:color w:val="2E74B5" w:themeColor="accent1" w:themeShade="BF"/>
              </w:rPr>
              <w:t xml:space="preserve">he </w:t>
            </w:r>
            <w:r w:rsidR="00E60D3C" w:rsidRPr="00F86766">
              <w:rPr>
                <w:rFonts w:eastAsia="Times New Roman"/>
                <w:color w:val="2E74B5" w:themeColor="accent1" w:themeShade="BF"/>
              </w:rPr>
              <w:t>can bring up during PHA call</w:t>
            </w:r>
            <w:r w:rsidR="009925CE">
              <w:rPr>
                <w:rFonts w:eastAsia="Times New Roman"/>
                <w:color w:val="2E74B5" w:themeColor="accent1" w:themeShade="BF"/>
              </w:rPr>
              <w:t xml:space="preserve"> later today</w:t>
            </w:r>
            <w:r w:rsidR="00E60D3C" w:rsidRPr="00F86766">
              <w:rPr>
                <w:rFonts w:eastAsia="Times New Roman"/>
                <w:color w:val="2E74B5" w:themeColor="accent1" w:themeShade="BF"/>
              </w:rPr>
              <w:t xml:space="preserve">. </w:t>
            </w:r>
            <w:r w:rsidR="00F86766" w:rsidRPr="00F86766">
              <w:rPr>
                <w:rFonts w:eastAsia="Times New Roman"/>
                <w:color w:val="2E74B5" w:themeColor="accent1" w:themeShade="BF"/>
              </w:rPr>
              <w:t xml:space="preserve">Additionally, COVID IGs should be updated quickly. That said, based on what we’ve learned, Respiratory OB guidelines need significant revision which will take some </w:t>
            </w:r>
            <w:r w:rsidR="009925CE">
              <w:rPr>
                <w:rFonts w:eastAsia="Times New Roman"/>
                <w:color w:val="2E74B5" w:themeColor="accent1" w:themeShade="BF"/>
              </w:rPr>
              <w:t>time (lots of different folks involved/with hands on document)</w:t>
            </w:r>
            <w:r w:rsidR="00F86766">
              <w:rPr>
                <w:rFonts w:eastAsia="Times New Roman"/>
                <w:color w:val="2E74B5" w:themeColor="accent1" w:themeShade="BF"/>
              </w:rPr>
              <w:t xml:space="preserve"> – but process is underway.</w:t>
            </w:r>
          </w:p>
          <w:p w14:paraId="3C4ECEDE" w14:textId="5CB525FC" w:rsidR="00ED1865" w:rsidRPr="00ED1865" w:rsidRDefault="00ED1865" w:rsidP="00ED1865">
            <w:pPr>
              <w:pStyle w:val="ListParagraph"/>
              <w:tabs>
                <w:tab w:val="left" w:pos="515"/>
              </w:tabs>
              <w:ind w:left="695"/>
              <w:rPr>
                <w:rFonts w:eastAsia="Times New Roman"/>
                <w:color w:val="2E74B5" w:themeColor="accent1" w:themeShade="BF"/>
                <w:sz w:val="12"/>
              </w:rPr>
            </w:pPr>
          </w:p>
        </w:tc>
        <w:tc>
          <w:tcPr>
            <w:tcW w:w="3600" w:type="dxa"/>
          </w:tcPr>
          <w:p w14:paraId="22DF6B5C" w14:textId="7DB4F745" w:rsidR="000A1530" w:rsidRDefault="002B638B" w:rsidP="009925CE">
            <w:pPr>
              <w:ind w:left="1328" w:hanging="1328"/>
            </w:pPr>
            <w:r>
              <w:lastRenderedPageBreak/>
              <w:t>Amanda/</w:t>
            </w:r>
            <w:r w:rsidR="009925CE">
              <w:t xml:space="preserve">OHA: Send </w:t>
            </w:r>
            <w:r>
              <w:t>OB closure update out in writing later today</w:t>
            </w:r>
          </w:p>
          <w:p w14:paraId="0F29A3FB" w14:textId="77777777" w:rsidR="002B638B" w:rsidRDefault="002B638B" w:rsidP="000A1530"/>
          <w:p w14:paraId="74AD2482" w14:textId="2ED25C43" w:rsidR="002B638B" w:rsidRDefault="002B638B" w:rsidP="00E668C8">
            <w:pPr>
              <w:ind w:left="1336" w:hanging="900"/>
            </w:pPr>
            <w:r>
              <w:t>Kathleen</w:t>
            </w:r>
            <w:r w:rsidR="00F86766">
              <w:t xml:space="preserve">: Send </w:t>
            </w:r>
            <w:r>
              <w:t xml:space="preserve">out copy of </w:t>
            </w:r>
            <w:r w:rsidR="00E668C8">
              <w:t xml:space="preserve">OHA </w:t>
            </w:r>
            <w:r>
              <w:t>presentation with meeting minutes</w:t>
            </w:r>
          </w:p>
        </w:tc>
      </w:tr>
      <w:tr w:rsidR="000A1530" w14:paraId="7FEA1DBA" w14:textId="77777777" w:rsidTr="00F86766">
        <w:trPr>
          <w:trHeight w:val="432"/>
          <w:jc w:val="center"/>
        </w:trPr>
        <w:tc>
          <w:tcPr>
            <w:tcW w:w="2245" w:type="dxa"/>
          </w:tcPr>
          <w:p w14:paraId="2EABBC76" w14:textId="7722789C" w:rsidR="000A1530" w:rsidRDefault="000A1530" w:rsidP="000A1530">
            <w:r>
              <w:lastRenderedPageBreak/>
              <w:t>iGAS Update</w:t>
            </w:r>
          </w:p>
        </w:tc>
        <w:tc>
          <w:tcPr>
            <w:tcW w:w="2160" w:type="dxa"/>
          </w:tcPr>
          <w:p w14:paraId="201F98F5" w14:textId="363D66FC" w:rsidR="000A1530" w:rsidRDefault="000A1530" w:rsidP="000A1530">
            <w:r>
              <w:t>Tasha Martin</w:t>
            </w:r>
          </w:p>
        </w:tc>
        <w:tc>
          <w:tcPr>
            <w:tcW w:w="6660" w:type="dxa"/>
            <w:vAlign w:val="center"/>
          </w:tcPr>
          <w:p w14:paraId="1111ED30" w14:textId="08B51C4F" w:rsidR="00E60D3C" w:rsidRPr="00ED1865" w:rsidRDefault="000A1530" w:rsidP="000A1530">
            <w:r>
              <w:t xml:space="preserve">Update on how LPHAs should handle iGAS cases and clusters in light of CDC HAN. </w:t>
            </w:r>
          </w:p>
          <w:p w14:paraId="4ADC3817" w14:textId="213BB54B" w:rsidR="007B580D" w:rsidRDefault="00E60D3C" w:rsidP="000A1530">
            <w:r>
              <w:t>Presentation with Tri-county Area</w:t>
            </w:r>
            <w:r w:rsidR="007B580D">
              <w:t xml:space="preserve"> reporting site</w:t>
            </w:r>
            <w:r>
              <w:t xml:space="preserve"> iGAS data. 2022 data appears quite data but caveat that data review hasn’t be completed and expected to go down. No deaths &lt;18 since 2017, highest mortality 80+</w:t>
            </w:r>
            <w:r w:rsidR="007B580D">
              <w:t xml:space="preserve">.  CDC concerned in incidence, particularly in &lt;18; but we haven’t seen anything much higher than before. Severity: percentage of cases with severe outcomes quite low (TS/NF). Proportion in LTCF relatively low, but are seeing in increase in homeless – some expanded surveillance being done in this group. </w:t>
            </w:r>
          </w:p>
          <w:p w14:paraId="029B6850" w14:textId="67B4F619" w:rsidR="007B580D" w:rsidRDefault="007B580D" w:rsidP="000A1530">
            <w:r>
              <w:t>County expectation: LPHAs should</w:t>
            </w:r>
            <w:r w:rsidR="009925CE">
              <w:t xml:space="preserve"> not</w:t>
            </w:r>
            <w:r>
              <w:t xml:space="preserve"> be receiving individual reports. </w:t>
            </w:r>
            <w:r w:rsidR="009925CE">
              <w:t xml:space="preserve">Reports come through as ELRs, and </w:t>
            </w:r>
            <w:r>
              <w:t xml:space="preserve">ACDP staff conducts chart review/investigation for individual cases. Clusters </w:t>
            </w:r>
            <w:r w:rsidR="009925CE">
              <w:t xml:space="preserve">are pretty </w:t>
            </w:r>
            <w:r>
              <w:t xml:space="preserve">rare, but historically ACDP/HAI staff </w:t>
            </w:r>
            <w:r w:rsidR="009925CE">
              <w:t>also do this investigation</w:t>
            </w:r>
            <w:r>
              <w:t>. No expectation for much LPHA involvement. CDC has toolkit for GAS clusters</w:t>
            </w:r>
            <w:r w:rsidR="009925CE">
              <w:t xml:space="preserve"> that v</w:t>
            </w:r>
            <w:r>
              <w:t>ery intensive. Ultimately, don’t expect much from LPHAs and aren’t really anticipating seeing much in this setting.</w:t>
            </w:r>
          </w:p>
          <w:p w14:paraId="7A5FB653" w14:textId="77777777" w:rsidR="007B580D" w:rsidRDefault="007B580D" w:rsidP="000A1530"/>
          <w:p w14:paraId="3021B4AD" w14:textId="77777777" w:rsidR="00F86766" w:rsidRDefault="00F86766" w:rsidP="000A153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Questions/Comments:</w:t>
            </w:r>
          </w:p>
          <w:p w14:paraId="1CE0432E" w14:textId="77777777" w:rsidR="00F86766" w:rsidRDefault="00F86766" w:rsidP="000A1530">
            <w:pPr>
              <w:pStyle w:val="ListParagraph"/>
              <w:numPr>
                <w:ilvl w:val="0"/>
                <w:numId w:val="22"/>
              </w:numPr>
              <w:ind w:left="335" w:hanging="180"/>
              <w:rPr>
                <w:color w:val="2E74B5" w:themeColor="accent1" w:themeShade="BF"/>
              </w:rPr>
            </w:pPr>
            <w:r w:rsidRPr="00F86766">
              <w:rPr>
                <w:color w:val="2E74B5" w:themeColor="accent1" w:themeShade="BF"/>
              </w:rPr>
              <w:t xml:space="preserve"> </w:t>
            </w:r>
            <w:r w:rsidR="007B580D" w:rsidRPr="00F86766">
              <w:rPr>
                <w:color w:val="2E74B5" w:themeColor="accent1" w:themeShade="BF"/>
              </w:rPr>
              <w:t>Reason for discussion was prompted by recent HAN from CDC</w:t>
            </w:r>
          </w:p>
          <w:p w14:paraId="168CBC3F" w14:textId="3D89F8B0" w:rsidR="00F86766" w:rsidRDefault="007D364B" w:rsidP="007D364B">
            <w:pPr>
              <w:pStyle w:val="ListParagraph"/>
              <w:numPr>
                <w:ilvl w:val="0"/>
                <w:numId w:val="22"/>
              </w:numPr>
              <w:ind w:left="436" w:hanging="281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iGAS is so</w:t>
            </w:r>
            <w:r w:rsidR="007B580D" w:rsidRPr="00F86766">
              <w:rPr>
                <w:color w:val="2E74B5" w:themeColor="accent1" w:themeShade="BF"/>
              </w:rPr>
              <w:t xml:space="preserve"> rare that most providers have never seen it. </w:t>
            </w:r>
            <w:r>
              <w:rPr>
                <w:color w:val="2E74B5" w:themeColor="accent1" w:themeShade="BF"/>
              </w:rPr>
              <w:t>Has there been a</w:t>
            </w:r>
            <w:r w:rsidR="007B580D" w:rsidRPr="00F86766">
              <w:rPr>
                <w:color w:val="2E74B5" w:themeColor="accent1" w:themeShade="BF"/>
              </w:rPr>
              <w:t>ny effort related to PCP/ED provider outreach to educate them on what it is/how to detect</w:t>
            </w:r>
            <w:r w:rsidR="002B638B" w:rsidRPr="00F86766">
              <w:rPr>
                <w:color w:val="2E74B5" w:themeColor="accent1" w:themeShade="BF"/>
              </w:rPr>
              <w:t>?</w:t>
            </w:r>
            <w:r w:rsidR="007B580D" w:rsidRPr="00F86766">
              <w:rPr>
                <w:color w:val="2E74B5" w:themeColor="accent1" w:themeShade="BF"/>
              </w:rPr>
              <w:t xml:space="preserve"> </w:t>
            </w:r>
          </w:p>
          <w:p w14:paraId="42E2CDF4" w14:textId="6132B2B2" w:rsidR="007B580D" w:rsidRPr="00F86766" w:rsidRDefault="007B580D" w:rsidP="00F86766">
            <w:pPr>
              <w:pStyle w:val="ListParagraph"/>
              <w:numPr>
                <w:ilvl w:val="1"/>
                <w:numId w:val="22"/>
              </w:numPr>
              <w:ind w:left="605" w:hanging="180"/>
              <w:rPr>
                <w:color w:val="2E74B5" w:themeColor="accent1" w:themeShade="BF"/>
              </w:rPr>
            </w:pPr>
            <w:r w:rsidRPr="00F86766">
              <w:rPr>
                <w:color w:val="2E74B5" w:themeColor="accent1" w:themeShade="BF"/>
              </w:rPr>
              <w:t xml:space="preserve">A: Not really. Long overdue for CD Summary for ACDP pathogens. </w:t>
            </w:r>
            <w:r w:rsidR="007D364B">
              <w:rPr>
                <w:color w:val="2E74B5" w:themeColor="accent1" w:themeShade="BF"/>
              </w:rPr>
              <w:t>There’s the o</w:t>
            </w:r>
            <w:r w:rsidRPr="00F86766">
              <w:rPr>
                <w:color w:val="2E74B5" w:themeColor="accent1" w:themeShade="BF"/>
              </w:rPr>
              <w:t xml:space="preserve">pportunity to do that, including iGAS, and </w:t>
            </w:r>
            <w:r w:rsidR="007D364B">
              <w:rPr>
                <w:color w:val="2E74B5" w:themeColor="accent1" w:themeShade="BF"/>
              </w:rPr>
              <w:t>s</w:t>
            </w:r>
            <w:r w:rsidRPr="00F86766">
              <w:rPr>
                <w:color w:val="2E74B5" w:themeColor="accent1" w:themeShade="BF"/>
              </w:rPr>
              <w:t>ummary is sent to providers statewide.</w:t>
            </w:r>
          </w:p>
          <w:p w14:paraId="0D69C041" w14:textId="6F664E9D" w:rsidR="002B638B" w:rsidRPr="002B638B" w:rsidRDefault="002B638B" w:rsidP="000A1530">
            <w:pPr>
              <w:rPr>
                <w:sz w:val="12"/>
              </w:rPr>
            </w:pPr>
          </w:p>
        </w:tc>
        <w:tc>
          <w:tcPr>
            <w:tcW w:w="3600" w:type="dxa"/>
          </w:tcPr>
          <w:p w14:paraId="103943C9" w14:textId="661C7150" w:rsidR="000A1530" w:rsidRDefault="000A1530" w:rsidP="000A1530"/>
        </w:tc>
      </w:tr>
      <w:tr w:rsidR="000A1530" w14:paraId="319A157E" w14:textId="77777777" w:rsidTr="00F86766">
        <w:trPr>
          <w:trHeight w:val="432"/>
          <w:jc w:val="center"/>
        </w:trPr>
        <w:tc>
          <w:tcPr>
            <w:tcW w:w="2245" w:type="dxa"/>
          </w:tcPr>
          <w:p w14:paraId="7E3FE088" w14:textId="7C30BFBB" w:rsidR="000A1530" w:rsidRDefault="000A1530" w:rsidP="000A1530">
            <w:r>
              <w:t>Charter discussion</w:t>
            </w:r>
          </w:p>
        </w:tc>
        <w:tc>
          <w:tcPr>
            <w:tcW w:w="2160" w:type="dxa"/>
          </w:tcPr>
          <w:p w14:paraId="4AA08322" w14:textId="6CA4A3E4" w:rsidR="000A1530" w:rsidRDefault="000A1530" w:rsidP="000A1530">
            <w:r>
              <w:t>Kathleen Rees</w:t>
            </w:r>
          </w:p>
        </w:tc>
        <w:tc>
          <w:tcPr>
            <w:tcW w:w="6660" w:type="dxa"/>
          </w:tcPr>
          <w:p w14:paraId="31867B26" w14:textId="77777777" w:rsidR="007D364B" w:rsidRDefault="007B580D" w:rsidP="000A1530">
            <w:r>
              <w:t xml:space="preserve">Changes made: </w:t>
            </w:r>
          </w:p>
          <w:p w14:paraId="06BDDDA8" w14:textId="77777777" w:rsidR="007D364B" w:rsidRDefault="007B580D" w:rsidP="007D364B">
            <w:pPr>
              <w:pStyle w:val="ListParagraph"/>
              <w:numPr>
                <w:ilvl w:val="0"/>
                <w:numId w:val="25"/>
              </w:numPr>
            </w:pPr>
            <w:r>
              <w:t>Minor formatting changes</w:t>
            </w:r>
          </w:p>
          <w:p w14:paraId="2F0D443C" w14:textId="0C34FB6B" w:rsidR="007D364B" w:rsidRDefault="007D364B" w:rsidP="007D364B">
            <w:pPr>
              <w:pStyle w:val="ListParagraph"/>
              <w:numPr>
                <w:ilvl w:val="0"/>
                <w:numId w:val="25"/>
              </w:numPr>
            </w:pPr>
            <w:r>
              <w:t>C</w:t>
            </w:r>
            <w:r w:rsidR="007B580D">
              <w:t>larifying language</w:t>
            </w:r>
            <w:r w:rsidR="00E668C8">
              <w:t xml:space="preserve">, </w:t>
            </w:r>
            <w:r w:rsidR="007B580D">
              <w:t>as workplan template is used by all CLHO Committees</w:t>
            </w:r>
            <w:r w:rsidR="00E668C8">
              <w:t>). Proposed changes to language include:</w:t>
            </w:r>
          </w:p>
          <w:p w14:paraId="50A41ED8" w14:textId="0D864E6D" w:rsidR="007D364B" w:rsidRDefault="007D364B" w:rsidP="007D364B">
            <w:pPr>
              <w:pStyle w:val="ListParagraph"/>
              <w:numPr>
                <w:ilvl w:val="1"/>
                <w:numId w:val="25"/>
              </w:numPr>
              <w:ind w:left="1336" w:hanging="256"/>
            </w:pPr>
            <w:r>
              <w:t>C</w:t>
            </w:r>
            <w:r w:rsidR="00F83709">
              <w:t>ommittee member terms/</w:t>
            </w:r>
            <w:r w:rsidR="00E668C8">
              <w:t>commitment to participate</w:t>
            </w:r>
          </w:p>
          <w:p w14:paraId="747B666A" w14:textId="7CD6902E" w:rsidR="00E668C8" w:rsidRDefault="00E668C8" w:rsidP="007D364B">
            <w:pPr>
              <w:pStyle w:val="ListParagraph"/>
              <w:numPr>
                <w:ilvl w:val="1"/>
                <w:numId w:val="25"/>
              </w:numPr>
              <w:ind w:left="1336" w:hanging="256"/>
            </w:pPr>
            <w:r>
              <w:t>Co-chair appointment</w:t>
            </w:r>
          </w:p>
          <w:p w14:paraId="450FF53A" w14:textId="670949B4" w:rsidR="007D364B" w:rsidRDefault="00F83709" w:rsidP="007D364B">
            <w:pPr>
              <w:pStyle w:val="ListParagraph"/>
              <w:numPr>
                <w:ilvl w:val="1"/>
                <w:numId w:val="25"/>
              </w:numPr>
              <w:ind w:left="1336" w:hanging="256"/>
            </w:pPr>
            <w:r>
              <w:t xml:space="preserve">Committee report process </w:t>
            </w:r>
          </w:p>
          <w:p w14:paraId="3C45DD20" w14:textId="3EC3604A" w:rsidR="007D364B" w:rsidRDefault="00F83709" w:rsidP="007D364B">
            <w:pPr>
              <w:pStyle w:val="ListParagraph"/>
              <w:numPr>
                <w:ilvl w:val="1"/>
                <w:numId w:val="25"/>
              </w:numPr>
              <w:ind w:left="1336" w:hanging="256"/>
            </w:pPr>
            <w:r>
              <w:t>Co-Chair responsibilities</w:t>
            </w:r>
          </w:p>
          <w:p w14:paraId="6E2591CD" w14:textId="23A1D353" w:rsidR="007D364B" w:rsidRDefault="007D364B" w:rsidP="007D364B">
            <w:pPr>
              <w:pStyle w:val="ListParagraph"/>
              <w:numPr>
                <w:ilvl w:val="1"/>
                <w:numId w:val="25"/>
              </w:numPr>
              <w:ind w:left="1336" w:hanging="256"/>
            </w:pPr>
            <w:r>
              <w:t>Meeting</w:t>
            </w:r>
            <w:r w:rsidR="00F83709">
              <w:t xml:space="preserve"> length </w:t>
            </w:r>
            <w:r w:rsidR="00E668C8">
              <w:t>(</w:t>
            </w:r>
            <w:r>
              <w:t>revised from 2hrs. to 1 hr.</w:t>
            </w:r>
            <w:r w:rsidR="00E668C8">
              <w:t>)</w:t>
            </w:r>
          </w:p>
          <w:p w14:paraId="73AADC94" w14:textId="0B40CB8F" w:rsidR="007B580D" w:rsidRDefault="007D364B" w:rsidP="007D364B">
            <w:pPr>
              <w:pStyle w:val="ListParagraph"/>
              <w:numPr>
                <w:ilvl w:val="1"/>
                <w:numId w:val="25"/>
              </w:numPr>
              <w:ind w:left="1336" w:hanging="256"/>
            </w:pPr>
            <w:r>
              <w:t>A</w:t>
            </w:r>
            <w:r w:rsidR="00F83709">
              <w:t>genda item</w:t>
            </w:r>
            <w:r>
              <w:t xml:space="preserve"> submission </w:t>
            </w:r>
            <w:r w:rsidR="00E668C8">
              <w:t>timeline</w:t>
            </w:r>
          </w:p>
          <w:p w14:paraId="48DE14FB" w14:textId="77777777" w:rsidR="00F83709" w:rsidRDefault="00F83709" w:rsidP="000A1530"/>
          <w:p w14:paraId="552C7556" w14:textId="77777777" w:rsidR="00F86766" w:rsidRDefault="00F83709" w:rsidP="000A1530">
            <w:pPr>
              <w:rPr>
                <w:color w:val="2E74B5" w:themeColor="accent1" w:themeShade="BF"/>
              </w:rPr>
            </w:pPr>
            <w:r w:rsidRPr="00F86766">
              <w:rPr>
                <w:color w:val="2E74B5" w:themeColor="accent1" w:themeShade="BF"/>
              </w:rPr>
              <w:t>Q</w:t>
            </w:r>
            <w:r w:rsidR="00F86766">
              <w:rPr>
                <w:color w:val="2E74B5" w:themeColor="accent1" w:themeShade="BF"/>
              </w:rPr>
              <w:t>uestions/Comments:</w:t>
            </w:r>
          </w:p>
          <w:p w14:paraId="49C768A8" w14:textId="5E649EC9" w:rsidR="00F83709" w:rsidRPr="00F86766" w:rsidRDefault="00F83709" w:rsidP="00F86766">
            <w:pPr>
              <w:pStyle w:val="ListParagraph"/>
              <w:numPr>
                <w:ilvl w:val="0"/>
                <w:numId w:val="23"/>
              </w:numPr>
              <w:ind w:left="605" w:hanging="245"/>
              <w:rPr>
                <w:color w:val="2E74B5" w:themeColor="accent1" w:themeShade="BF"/>
              </w:rPr>
            </w:pPr>
            <w:r w:rsidRPr="00F86766">
              <w:rPr>
                <w:color w:val="2E74B5" w:themeColor="accent1" w:themeShade="BF"/>
              </w:rPr>
              <w:t xml:space="preserve">Would counties like copy before it’s voted on? </w:t>
            </w:r>
          </w:p>
          <w:p w14:paraId="47D97EE4" w14:textId="75E4F1B5" w:rsidR="00F83709" w:rsidRDefault="00F83709" w:rsidP="000A1530">
            <w:pPr>
              <w:pStyle w:val="ListParagraph"/>
              <w:numPr>
                <w:ilvl w:val="1"/>
                <w:numId w:val="23"/>
              </w:numPr>
              <w:ind w:left="875" w:hanging="180"/>
              <w:rPr>
                <w:color w:val="2E74B5" w:themeColor="accent1" w:themeShade="BF"/>
              </w:rPr>
            </w:pPr>
            <w:r w:rsidRPr="00F86766">
              <w:rPr>
                <w:color w:val="2E74B5" w:themeColor="accent1" w:themeShade="BF"/>
              </w:rPr>
              <w:lastRenderedPageBreak/>
              <w:t xml:space="preserve">A: No response from attendees. </w:t>
            </w:r>
          </w:p>
          <w:p w14:paraId="6B19A443" w14:textId="77777777" w:rsidR="00ED1865" w:rsidRPr="00ED1865" w:rsidRDefault="00ED1865" w:rsidP="00ED1865">
            <w:pPr>
              <w:pStyle w:val="ListParagraph"/>
              <w:ind w:left="875"/>
              <w:rPr>
                <w:color w:val="2E74B5" w:themeColor="accent1" w:themeShade="BF"/>
                <w:sz w:val="14"/>
              </w:rPr>
            </w:pPr>
          </w:p>
          <w:p w14:paraId="0BD72FCE" w14:textId="4060CD6A" w:rsidR="00F83709" w:rsidRDefault="00F83709" w:rsidP="000A1530">
            <w:r>
              <w:t>Mo</w:t>
            </w:r>
            <w:r w:rsidR="00F86766">
              <w:t xml:space="preserve">tion </w:t>
            </w:r>
            <w:r>
              <w:t xml:space="preserve">to approve: Dr. </w:t>
            </w:r>
            <w:r w:rsidR="00ED1865">
              <w:t>Dannenhoffer</w:t>
            </w:r>
            <w:r>
              <w:t>, Douglas</w:t>
            </w:r>
          </w:p>
          <w:p w14:paraId="6DBFABD6" w14:textId="7F9503FA" w:rsidR="00F83709" w:rsidRDefault="00F83709" w:rsidP="000A1530">
            <w:r>
              <w:t>Second</w:t>
            </w:r>
            <w:r w:rsidR="00F86766">
              <w:t>ed</w:t>
            </w:r>
            <w:r>
              <w:t>: Amy</w:t>
            </w:r>
            <w:r w:rsidR="00ED1865">
              <w:t xml:space="preserve"> Manchester Harris</w:t>
            </w:r>
            <w:r>
              <w:t>, Washington</w:t>
            </w:r>
          </w:p>
          <w:p w14:paraId="7395B71E" w14:textId="166CFA01" w:rsidR="002B638B" w:rsidRPr="002B638B" w:rsidRDefault="002B638B" w:rsidP="000A1530">
            <w:pPr>
              <w:rPr>
                <w:sz w:val="12"/>
              </w:rPr>
            </w:pPr>
          </w:p>
        </w:tc>
        <w:tc>
          <w:tcPr>
            <w:tcW w:w="3600" w:type="dxa"/>
          </w:tcPr>
          <w:p w14:paraId="49B11951" w14:textId="0AD8CB80" w:rsidR="009925CE" w:rsidRDefault="009925CE" w:rsidP="00F86766">
            <w:pPr>
              <w:ind w:left="968" w:hanging="968"/>
            </w:pPr>
            <w:r>
              <w:lastRenderedPageBreak/>
              <w:t>Members: No interest was expressed in receiving copy prior to vote for approval. However, members can reach out to co-chairs with feedback.</w:t>
            </w:r>
          </w:p>
          <w:p w14:paraId="3A03A16D" w14:textId="3854A7B8" w:rsidR="007D364B" w:rsidRDefault="007D364B" w:rsidP="00F86766">
            <w:pPr>
              <w:ind w:left="968" w:hanging="968"/>
            </w:pPr>
          </w:p>
          <w:p w14:paraId="22B2FE82" w14:textId="77777777" w:rsidR="007D364B" w:rsidRDefault="007D364B" w:rsidP="00F86766">
            <w:pPr>
              <w:ind w:left="968" w:hanging="968"/>
            </w:pPr>
          </w:p>
          <w:p w14:paraId="1B7D5106" w14:textId="2057219C" w:rsidR="000A1530" w:rsidRDefault="00F86766" w:rsidP="00F86766">
            <w:pPr>
              <w:ind w:left="968" w:hanging="968"/>
            </w:pPr>
            <w:r>
              <w:t>Kathleen: Send out c</w:t>
            </w:r>
            <w:r w:rsidR="002B638B">
              <w:t xml:space="preserve">leaned version of </w:t>
            </w:r>
            <w:r>
              <w:t>charter</w:t>
            </w:r>
            <w:r w:rsidR="002B638B">
              <w:t xml:space="preserve"> with minutes.</w:t>
            </w:r>
          </w:p>
        </w:tc>
      </w:tr>
      <w:tr w:rsidR="000A1530" w14:paraId="51B0D5BB" w14:textId="77777777" w:rsidTr="00F86766">
        <w:trPr>
          <w:trHeight w:val="432"/>
          <w:jc w:val="center"/>
        </w:trPr>
        <w:tc>
          <w:tcPr>
            <w:tcW w:w="2245" w:type="dxa"/>
          </w:tcPr>
          <w:p w14:paraId="298CD6FB" w14:textId="779A1BA1" w:rsidR="000A1530" w:rsidRDefault="000A1530" w:rsidP="000A1530">
            <w:r>
              <w:t>Accountability Metrics</w:t>
            </w:r>
          </w:p>
        </w:tc>
        <w:tc>
          <w:tcPr>
            <w:tcW w:w="2160" w:type="dxa"/>
          </w:tcPr>
          <w:p w14:paraId="70F52674" w14:textId="03305393" w:rsidR="000A1530" w:rsidRDefault="000A1530" w:rsidP="000A1530">
            <w:r>
              <w:t>Kathleen Rees and workgroup members</w:t>
            </w:r>
          </w:p>
        </w:tc>
        <w:tc>
          <w:tcPr>
            <w:tcW w:w="6660" w:type="dxa"/>
          </w:tcPr>
          <w:p w14:paraId="5B7F99D4" w14:textId="595D24A5" w:rsidR="00F83709" w:rsidRDefault="00F83709" w:rsidP="000A1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Process has been happening for a while. Proposal </w:t>
            </w:r>
            <w:r w:rsidR="007D364B">
              <w:rPr>
                <w:rFonts w:eastAsia="Times New Roman"/>
              </w:rPr>
              <w:t xml:space="preserve">was last </w:t>
            </w:r>
            <w:r>
              <w:rPr>
                <w:rFonts w:eastAsia="Times New Roman"/>
              </w:rPr>
              <w:t>brought to group back in October 2022. Really trying to look at process pieces in terms of social determinants framework</w:t>
            </w:r>
            <w:r w:rsidR="007D364B">
              <w:rPr>
                <w:rFonts w:eastAsia="Times New Roman"/>
              </w:rPr>
              <w:t xml:space="preserve"> and moving</w:t>
            </w:r>
            <w:r>
              <w:rPr>
                <w:rFonts w:eastAsia="Times New Roman"/>
              </w:rPr>
              <w:t xml:space="preserve"> PH to align better with modernization priorites.</w:t>
            </w:r>
          </w:p>
          <w:p w14:paraId="4CA4C29A" w14:textId="77777777" w:rsidR="00F83709" w:rsidRDefault="00F83709" w:rsidP="000A1530">
            <w:pPr>
              <w:rPr>
                <w:rFonts w:eastAsia="Times New Roman"/>
              </w:rPr>
            </w:pPr>
          </w:p>
          <w:p w14:paraId="4FFD8207" w14:textId="4208103E" w:rsidR="00F83709" w:rsidRDefault="00F83709" w:rsidP="000A1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Looking at who’s accountable and for what</w:t>
            </w:r>
            <w:r w:rsidR="00F86766">
              <w:rPr>
                <w:rFonts w:eastAsia="Times New Roman"/>
              </w:rPr>
              <w:t xml:space="preserve"> at</w:t>
            </w:r>
            <w:r>
              <w:rPr>
                <w:rFonts w:eastAsia="Times New Roman"/>
              </w:rPr>
              <w:t xml:space="preserve"> all levels: OHA, LPHAs, PHAB, elected officials, etc. What this looks like at PH jurisdictional areas. Have discussed a bit with Big CLHO re: how counties choose metrics (menu</w:t>
            </w:r>
            <w:r w:rsidR="00C26212">
              <w:rPr>
                <w:rFonts w:eastAsia="Times New Roman"/>
              </w:rPr>
              <w:t xml:space="preserve"> of options</w:t>
            </w:r>
            <w:r>
              <w:rPr>
                <w:rFonts w:eastAsia="Times New Roman"/>
              </w:rPr>
              <w:t>?), when metrics are revisited.</w:t>
            </w:r>
          </w:p>
          <w:p w14:paraId="4A63FB55" w14:textId="3F91FF18" w:rsidR="00F86766" w:rsidRPr="00F86766" w:rsidRDefault="00F86766" w:rsidP="00BF5FB6">
            <w:pPr>
              <w:pStyle w:val="ListParagraph"/>
              <w:numPr>
                <w:ilvl w:val="0"/>
                <w:numId w:val="27"/>
              </w:numPr>
              <w:ind w:left="526" w:hanging="166"/>
              <w:rPr>
                <w:rFonts w:eastAsia="Times New Roman"/>
              </w:rPr>
            </w:pPr>
            <w:r w:rsidRPr="00F86766">
              <w:rPr>
                <w:rFonts w:eastAsia="Times New Roman"/>
              </w:rPr>
              <w:t>Regarding “menu of options”, rationale being that different counties may have different areas of major focus</w:t>
            </w:r>
          </w:p>
          <w:p w14:paraId="7387EA53" w14:textId="77777777" w:rsidR="00F83709" w:rsidRDefault="00F83709" w:rsidP="000A1530">
            <w:pPr>
              <w:rPr>
                <w:rFonts w:eastAsia="Times New Roman"/>
              </w:rPr>
            </w:pPr>
          </w:p>
          <w:p w14:paraId="3CC3BAD2" w14:textId="2C80ACFF" w:rsidR="00F83709" w:rsidRDefault="00F86766" w:rsidP="000A15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More specifically l</w:t>
            </w:r>
            <w:r w:rsidR="00F83709">
              <w:rPr>
                <w:rFonts w:eastAsia="Times New Roman"/>
              </w:rPr>
              <w:t>ooking at who populations are, workforce capacity issues</w:t>
            </w:r>
            <w:r w:rsidR="00C26212">
              <w:rPr>
                <w:rFonts w:eastAsia="Times New Roman"/>
              </w:rPr>
              <w:t xml:space="preserve">, </w:t>
            </w:r>
            <w:r w:rsidR="00F83709">
              <w:rPr>
                <w:rFonts w:eastAsia="Times New Roman"/>
              </w:rPr>
              <w:t>what counties would be responsible for in terms of data</w:t>
            </w:r>
            <w:r w:rsidR="00C26212">
              <w:rPr>
                <w:rFonts w:eastAsia="Times New Roman"/>
              </w:rPr>
              <w:t xml:space="preserve">. </w:t>
            </w:r>
            <w:r w:rsidR="007D364B">
              <w:rPr>
                <w:rFonts w:eastAsia="Times New Roman"/>
              </w:rPr>
              <w:t xml:space="preserve">Other considerations: </w:t>
            </w:r>
            <w:r w:rsidR="00C26212">
              <w:rPr>
                <w:rFonts w:eastAsia="Times New Roman"/>
              </w:rPr>
              <w:t>How to balance what’s achievable now vs where we want to move</w:t>
            </w:r>
            <w:r w:rsidR="007D364B">
              <w:rPr>
                <w:rFonts w:eastAsia="Times New Roman"/>
              </w:rPr>
              <w:t xml:space="preserve"> to</w:t>
            </w:r>
            <w:r w:rsidR="00C26212">
              <w:rPr>
                <w:rFonts w:eastAsia="Times New Roman"/>
              </w:rPr>
              <w:t xml:space="preserve">/be in future. Who do we compare to? </w:t>
            </w:r>
          </w:p>
          <w:p w14:paraId="0870CD85" w14:textId="77777777" w:rsidR="00C26212" w:rsidRPr="00F86766" w:rsidRDefault="00C26212" w:rsidP="000A1530">
            <w:pPr>
              <w:rPr>
                <w:rFonts w:eastAsia="Times New Roman"/>
                <w:sz w:val="12"/>
              </w:rPr>
            </w:pPr>
          </w:p>
          <w:p w14:paraId="1B2031CE" w14:textId="1203D94B" w:rsidR="002B638B" w:rsidRPr="002B638B" w:rsidRDefault="002B638B" w:rsidP="00F86766">
            <w:pPr>
              <w:rPr>
                <w:rFonts w:eastAsia="Times New Roman"/>
                <w:sz w:val="12"/>
              </w:rPr>
            </w:pPr>
          </w:p>
        </w:tc>
        <w:tc>
          <w:tcPr>
            <w:tcW w:w="3600" w:type="dxa"/>
          </w:tcPr>
          <w:p w14:paraId="4057ED62" w14:textId="77777777" w:rsidR="00E668C8" w:rsidRDefault="00C26212" w:rsidP="00E668C8">
            <w:pPr>
              <w:ind w:left="-22"/>
            </w:pPr>
            <w:r>
              <w:t>Kathleen</w:t>
            </w:r>
            <w:r w:rsidR="00F86766">
              <w:t>: Sh</w:t>
            </w:r>
            <w:r>
              <w:t xml:space="preserve">are spreadsheet/graphic. </w:t>
            </w:r>
          </w:p>
          <w:p w14:paraId="4AFE0BAA" w14:textId="77777777" w:rsidR="00E668C8" w:rsidRDefault="00E668C8" w:rsidP="00E668C8">
            <w:pPr>
              <w:ind w:left="-22"/>
            </w:pPr>
          </w:p>
          <w:p w14:paraId="755B7BFF" w14:textId="083A98A1" w:rsidR="00C26212" w:rsidRDefault="009925CE" w:rsidP="00E668C8">
            <w:pPr>
              <w:ind w:left="976" w:hanging="998"/>
            </w:pPr>
            <w:r>
              <w:t>Members</w:t>
            </w:r>
            <w:r w:rsidR="00C26212">
              <w:t xml:space="preserve">: </w:t>
            </w:r>
            <w:r>
              <w:t>Reach out with any questions about process and/or feedback.</w:t>
            </w:r>
            <w:r w:rsidR="00C26212">
              <w:t xml:space="preserve"> (</w:t>
            </w:r>
            <w:r>
              <w:t>Planning on having update for</w:t>
            </w:r>
            <w:r w:rsidR="00C26212">
              <w:t xml:space="preserve"> PHAB in July.)</w:t>
            </w:r>
          </w:p>
        </w:tc>
      </w:tr>
      <w:tr w:rsidR="000A1530" w14:paraId="5F7BC75E" w14:textId="77777777" w:rsidTr="00F86766">
        <w:trPr>
          <w:trHeight w:val="432"/>
          <w:jc w:val="center"/>
        </w:trPr>
        <w:tc>
          <w:tcPr>
            <w:tcW w:w="2245" w:type="dxa"/>
          </w:tcPr>
          <w:p w14:paraId="197AD235" w14:textId="4BC12D23" w:rsidR="000A1530" w:rsidRDefault="000A1530" w:rsidP="000A1530">
            <w:r>
              <w:t>Workplan discussion</w:t>
            </w:r>
          </w:p>
        </w:tc>
        <w:tc>
          <w:tcPr>
            <w:tcW w:w="2160" w:type="dxa"/>
          </w:tcPr>
          <w:p w14:paraId="7B5B9E33" w14:textId="7002D7AF" w:rsidR="000A1530" w:rsidRDefault="000A1530" w:rsidP="000A1530">
            <w:pPr>
              <w:rPr>
                <w:rFonts w:eastAsia="Times New Roman"/>
              </w:rPr>
            </w:pPr>
            <w:r>
              <w:t>Kathleen Rees, Rachel Posnick</w:t>
            </w:r>
          </w:p>
        </w:tc>
        <w:tc>
          <w:tcPr>
            <w:tcW w:w="6660" w:type="dxa"/>
          </w:tcPr>
          <w:p w14:paraId="2C513AE1" w14:textId="05107A90" w:rsidR="002B638B" w:rsidRDefault="00C26212" w:rsidP="00C262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Have general framework/idea for workplan</w:t>
            </w:r>
            <w:r w:rsidR="002B638B">
              <w:rPr>
                <w:rFonts w:eastAsia="Times New Roman"/>
              </w:rPr>
              <w:t xml:space="preserve"> for next year</w:t>
            </w:r>
            <w:r>
              <w:rPr>
                <w:rFonts w:eastAsia="Times New Roman"/>
              </w:rPr>
              <w:t>. Three projects</w:t>
            </w:r>
            <w:r w:rsidR="007D364B">
              <w:rPr>
                <w:rFonts w:eastAsia="Times New Roman"/>
              </w:rPr>
              <w:t xml:space="preserve"> have been</w:t>
            </w:r>
            <w:r>
              <w:rPr>
                <w:rFonts w:eastAsia="Times New Roman"/>
              </w:rPr>
              <w:t xml:space="preserve"> identified</w:t>
            </w:r>
            <w:r w:rsidR="002B638B">
              <w:rPr>
                <w:rFonts w:eastAsia="Times New Roman"/>
              </w:rPr>
              <w:t xml:space="preserve"> as highest priority by LPHAs:</w:t>
            </w:r>
          </w:p>
          <w:p w14:paraId="688320AE" w14:textId="59D5A540" w:rsidR="002B638B" w:rsidRDefault="002B638B" w:rsidP="00BF5FB6">
            <w:pPr>
              <w:pStyle w:val="ListParagraph"/>
              <w:numPr>
                <w:ilvl w:val="0"/>
                <w:numId w:val="16"/>
              </w:numPr>
              <w:ind w:left="436" w:hanging="270"/>
              <w:rPr>
                <w:rFonts w:eastAsia="Times New Roman"/>
              </w:rPr>
            </w:pPr>
            <w:r>
              <w:rPr>
                <w:rFonts w:eastAsia="Times New Roman"/>
              </w:rPr>
              <w:t>Triennial Review</w:t>
            </w:r>
          </w:p>
          <w:p w14:paraId="45FB2984" w14:textId="77777777" w:rsidR="00BF5FB6" w:rsidRPr="00BF5FB6" w:rsidRDefault="00BF5FB6" w:rsidP="00BF5FB6">
            <w:pPr>
              <w:pStyle w:val="ListParagraph"/>
              <w:numPr>
                <w:ilvl w:val="1"/>
                <w:numId w:val="16"/>
              </w:numPr>
              <w:ind w:left="616" w:hanging="180"/>
              <w:rPr>
                <w:rFonts w:eastAsia="Times New Roman"/>
              </w:rPr>
            </w:pPr>
            <w:r w:rsidRPr="00BF5FB6">
              <w:rPr>
                <w:rFonts w:eastAsia="Times New Roman"/>
              </w:rPr>
              <w:t>Improvement project to reevaluate and understand the metrics, understand the goal of triennial metrics, and define how all metrics are measured so that LPHAs are able to reproduce results themselves – increase transparency of the process and ability for LPHAs to understand and explain results</w:t>
            </w:r>
          </w:p>
          <w:p w14:paraId="4F7481FF" w14:textId="77777777" w:rsidR="00BF5FB6" w:rsidRPr="00BF5FB6" w:rsidRDefault="00BF5FB6" w:rsidP="00BF5FB6">
            <w:pPr>
              <w:pStyle w:val="ListParagraph"/>
              <w:numPr>
                <w:ilvl w:val="1"/>
                <w:numId w:val="16"/>
              </w:numPr>
              <w:ind w:left="616" w:hanging="180"/>
              <w:rPr>
                <w:rFonts w:eastAsia="Times New Roman"/>
              </w:rPr>
            </w:pPr>
            <w:r w:rsidRPr="00BF5FB6">
              <w:rPr>
                <w:rFonts w:eastAsia="Times New Roman"/>
              </w:rPr>
              <w:t>Look at what data is used in public reporting and align with triennial</w:t>
            </w:r>
          </w:p>
          <w:p w14:paraId="43ABF3B2" w14:textId="77777777" w:rsidR="00BF5FB6" w:rsidRPr="00BF5FB6" w:rsidRDefault="00BF5FB6" w:rsidP="00BF5FB6">
            <w:pPr>
              <w:pStyle w:val="ListParagraph"/>
              <w:numPr>
                <w:ilvl w:val="1"/>
                <w:numId w:val="16"/>
              </w:numPr>
              <w:ind w:left="616" w:hanging="180"/>
              <w:rPr>
                <w:rFonts w:eastAsia="Times New Roman"/>
              </w:rPr>
            </w:pPr>
            <w:r w:rsidRPr="00BF5FB6">
              <w:rPr>
                <w:rFonts w:eastAsia="Times New Roman"/>
              </w:rPr>
              <w:t>Look at how metrics and changes to metrics would/could impact asks of community partners at a time when the are really struggling and taxed to provide data to LPHAs</w:t>
            </w:r>
          </w:p>
          <w:p w14:paraId="36B0C842" w14:textId="77777777" w:rsidR="00BF5FB6" w:rsidRPr="00BF5FB6" w:rsidRDefault="00BF5FB6" w:rsidP="00BF5FB6">
            <w:pPr>
              <w:pStyle w:val="ListParagraph"/>
              <w:numPr>
                <w:ilvl w:val="1"/>
                <w:numId w:val="16"/>
              </w:numPr>
              <w:ind w:left="616" w:hanging="180"/>
              <w:rPr>
                <w:rFonts w:eastAsia="Times New Roman"/>
              </w:rPr>
            </w:pPr>
            <w:r w:rsidRPr="00BF5FB6">
              <w:rPr>
                <w:rFonts w:eastAsia="Times New Roman"/>
              </w:rPr>
              <w:t>Potentially look at how to better align with modernization and accountability goals</w:t>
            </w:r>
          </w:p>
          <w:p w14:paraId="36FF6897" w14:textId="77777777" w:rsidR="00BF5FB6" w:rsidRPr="00BF5FB6" w:rsidRDefault="00BF5FB6" w:rsidP="00BF5FB6">
            <w:pPr>
              <w:pStyle w:val="ListParagraph"/>
              <w:numPr>
                <w:ilvl w:val="1"/>
                <w:numId w:val="16"/>
              </w:numPr>
              <w:ind w:left="616" w:hanging="180"/>
              <w:rPr>
                <w:rFonts w:eastAsia="Times New Roman"/>
              </w:rPr>
            </w:pPr>
            <w:r w:rsidRPr="00BF5FB6">
              <w:rPr>
                <w:rFonts w:eastAsia="Times New Roman"/>
              </w:rPr>
              <w:t>Ask that a summary of triennial reviews, deidentified, are shared with CLHO-CD annually to encourage Q/A and identify common challenges LPHAs are experiencing to discuss further</w:t>
            </w:r>
          </w:p>
          <w:p w14:paraId="4748BB18" w14:textId="77777777" w:rsidR="002B638B" w:rsidRDefault="002B638B" w:rsidP="00BF5FB6">
            <w:pPr>
              <w:pStyle w:val="ListParagraph"/>
              <w:numPr>
                <w:ilvl w:val="0"/>
                <w:numId w:val="16"/>
              </w:numPr>
              <w:ind w:left="436" w:hanging="27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COVID-19 capacity</w:t>
            </w:r>
          </w:p>
          <w:p w14:paraId="4C3E72B8" w14:textId="490D9688" w:rsidR="002B638B" w:rsidRPr="00C26212" w:rsidRDefault="007D364B" w:rsidP="002B638B">
            <w:pPr>
              <w:pStyle w:val="ListParagraph"/>
              <w:numPr>
                <w:ilvl w:val="0"/>
                <w:numId w:val="19"/>
              </w:numPr>
              <w:ind w:left="976" w:hanging="180"/>
              <w:rPr>
                <w:rFonts w:eastAsia="Times New Roman"/>
              </w:rPr>
            </w:pPr>
            <w:r>
              <w:rPr>
                <w:rFonts w:eastAsia="Times New Roman"/>
              </w:rPr>
              <w:t>Process started with workgroup</w:t>
            </w:r>
            <w:r w:rsidR="002B638B">
              <w:rPr>
                <w:rFonts w:eastAsia="Times New Roman"/>
              </w:rPr>
              <w:t xml:space="preserve"> in Sept.</w:t>
            </w:r>
            <w:r>
              <w:rPr>
                <w:rFonts w:eastAsia="Times New Roman"/>
              </w:rPr>
              <w:t xml:space="preserve"> Looking to restart this work </w:t>
            </w:r>
            <w:r w:rsidR="002B638B">
              <w:rPr>
                <w:rFonts w:eastAsia="Times New Roman"/>
              </w:rPr>
              <w:t>sometime in April.</w:t>
            </w:r>
          </w:p>
          <w:p w14:paraId="12C3CA79" w14:textId="77777777" w:rsidR="002B638B" w:rsidRDefault="002B638B" w:rsidP="00BF5FB6">
            <w:pPr>
              <w:pStyle w:val="ListParagraph"/>
              <w:numPr>
                <w:ilvl w:val="0"/>
                <w:numId w:val="16"/>
              </w:numPr>
              <w:ind w:left="436" w:hanging="270"/>
              <w:rPr>
                <w:rFonts w:eastAsia="Times New Roman"/>
              </w:rPr>
            </w:pPr>
            <w:r>
              <w:rPr>
                <w:rFonts w:eastAsia="Times New Roman"/>
              </w:rPr>
              <w:t>Data panel/review process</w:t>
            </w:r>
          </w:p>
          <w:p w14:paraId="57CFB4CF" w14:textId="1CDBC8D6" w:rsidR="00C26212" w:rsidRPr="002B638B" w:rsidRDefault="002B638B" w:rsidP="00C26212">
            <w:pPr>
              <w:pStyle w:val="ListParagraph"/>
              <w:numPr>
                <w:ilvl w:val="0"/>
                <w:numId w:val="19"/>
              </w:numPr>
              <w:ind w:left="976" w:hanging="180"/>
              <w:rPr>
                <w:rFonts w:eastAsia="Times New Roman"/>
              </w:rPr>
            </w:pPr>
            <w:r>
              <w:rPr>
                <w:rFonts w:eastAsia="Times New Roman"/>
              </w:rPr>
              <w:t>Basic needs at this point. Basic framework, timeline, etc.</w:t>
            </w:r>
          </w:p>
          <w:p w14:paraId="56C34B69" w14:textId="12B5867D" w:rsidR="00F86766" w:rsidRDefault="00F86766" w:rsidP="00C26212">
            <w:pPr>
              <w:rPr>
                <w:rFonts w:eastAsia="Times New Roman"/>
              </w:rPr>
            </w:pPr>
          </w:p>
          <w:p w14:paraId="4D3CCF54" w14:textId="5F11178E" w:rsidR="00BF5FB6" w:rsidRDefault="00BF5FB6" w:rsidP="00BF5F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Overall n</w:t>
            </w:r>
            <w:r>
              <w:rPr>
                <w:rFonts w:eastAsia="Times New Roman"/>
              </w:rPr>
              <w:t xml:space="preserve">ext steps </w:t>
            </w:r>
            <w:r>
              <w:rPr>
                <w:rFonts w:eastAsia="Times New Roman"/>
              </w:rPr>
              <w:t>for Workplan</w:t>
            </w:r>
            <w:r>
              <w:rPr>
                <w:rFonts w:eastAsia="Times New Roman"/>
              </w:rPr>
              <w:t>:</w:t>
            </w:r>
          </w:p>
          <w:p w14:paraId="30EAA142" w14:textId="77777777" w:rsidR="00BF5FB6" w:rsidRDefault="00BF5FB6" w:rsidP="00BF5FB6">
            <w:pPr>
              <w:pStyle w:val="ListParagraph"/>
              <w:numPr>
                <w:ilvl w:val="0"/>
                <w:numId w:val="26"/>
              </w:numPr>
              <w:ind w:left="436" w:hanging="270"/>
              <w:rPr>
                <w:rFonts w:eastAsia="Times New Roman"/>
              </w:rPr>
            </w:pPr>
            <w:r w:rsidRPr="00BF5FB6">
              <w:rPr>
                <w:rFonts w:eastAsia="Times New Roman"/>
              </w:rPr>
              <w:t>Agree</w:t>
            </w:r>
            <w:r>
              <w:rPr>
                <w:rFonts w:eastAsia="Times New Roman"/>
              </w:rPr>
              <w:t xml:space="preserve"> on framing and deliverables</w:t>
            </w:r>
          </w:p>
          <w:p w14:paraId="34392F5A" w14:textId="77777777" w:rsidR="00BF5FB6" w:rsidRDefault="00BF5FB6" w:rsidP="00BF5FB6">
            <w:pPr>
              <w:pStyle w:val="ListParagraph"/>
              <w:numPr>
                <w:ilvl w:val="0"/>
                <w:numId w:val="26"/>
              </w:numPr>
              <w:ind w:left="436" w:hanging="270"/>
              <w:rPr>
                <w:rFonts w:eastAsia="Times New Roman"/>
              </w:rPr>
            </w:pPr>
            <w:r>
              <w:rPr>
                <w:rFonts w:eastAsia="Times New Roman"/>
              </w:rPr>
              <w:t>Pull in OHA and LPHA staff</w:t>
            </w:r>
          </w:p>
          <w:p w14:paraId="10DA6963" w14:textId="77777777" w:rsidR="00BF5FB6" w:rsidRDefault="00BF5FB6" w:rsidP="00BF5FB6">
            <w:pPr>
              <w:pStyle w:val="ListParagraph"/>
              <w:numPr>
                <w:ilvl w:val="0"/>
                <w:numId w:val="26"/>
              </w:numPr>
              <w:ind w:left="436" w:hanging="270"/>
              <w:rPr>
                <w:rFonts w:eastAsia="Times New Roman"/>
              </w:rPr>
            </w:pPr>
            <w:r>
              <w:rPr>
                <w:rFonts w:eastAsia="Times New Roman"/>
              </w:rPr>
              <w:t>Set timeframes</w:t>
            </w:r>
          </w:p>
          <w:p w14:paraId="2609BEB4" w14:textId="3174FE71" w:rsidR="00BF5FB6" w:rsidRPr="00BF5FB6" w:rsidRDefault="00BF5FB6" w:rsidP="00BF5FB6">
            <w:pPr>
              <w:pStyle w:val="ListParagraph"/>
              <w:numPr>
                <w:ilvl w:val="0"/>
                <w:numId w:val="26"/>
              </w:numPr>
              <w:ind w:left="436" w:hanging="27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Provide updates to the </w:t>
            </w:r>
            <w:r>
              <w:rPr>
                <w:rFonts w:eastAsia="Times New Roman"/>
              </w:rPr>
              <w:t>committee</w:t>
            </w:r>
          </w:p>
          <w:p w14:paraId="58F5153E" w14:textId="77777777" w:rsidR="00BF5FB6" w:rsidRDefault="00BF5FB6" w:rsidP="00C26212">
            <w:pPr>
              <w:rPr>
                <w:rFonts w:eastAsia="Times New Roman"/>
              </w:rPr>
            </w:pPr>
          </w:p>
          <w:p w14:paraId="435BDDE5" w14:textId="63FE1B52" w:rsidR="00F86766" w:rsidRPr="00F86766" w:rsidRDefault="00C26212" w:rsidP="00C26212">
            <w:pPr>
              <w:rPr>
                <w:rFonts w:eastAsia="Times New Roman"/>
                <w:color w:val="2E74B5" w:themeColor="accent1" w:themeShade="BF"/>
              </w:rPr>
            </w:pPr>
            <w:r w:rsidRPr="00F86766">
              <w:rPr>
                <w:rFonts w:eastAsia="Times New Roman"/>
                <w:color w:val="2E74B5" w:themeColor="accent1" w:themeShade="BF"/>
              </w:rPr>
              <w:t>Questions</w:t>
            </w:r>
            <w:r w:rsidR="00F86766" w:rsidRPr="00F86766">
              <w:rPr>
                <w:rFonts w:eastAsia="Times New Roman"/>
                <w:color w:val="2E74B5" w:themeColor="accent1" w:themeShade="BF"/>
              </w:rPr>
              <w:t>/Comments:</w:t>
            </w:r>
          </w:p>
          <w:p w14:paraId="102341E0" w14:textId="77777777" w:rsidR="00F86766" w:rsidRPr="00F86766" w:rsidRDefault="00C26212" w:rsidP="00F86766">
            <w:pPr>
              <w:pStyle w:val="ListParagraph"/>
              <w:numPr>
                <w:ilvl w:val="0"/>
                <w:numId w:val="23"/>
              </w:numPr>
              <w:ind w:left="605" w:hanging="245"/>
              <w:rPr>
                <w:rFonts w:eastAsia="Times New Roman"/>
                <w:color w:val="2E74B5" w:themeColor="accent1" w:themeShade="BF"/>
              </w:rPr>
            </w:pPr>
            <w:r w:rsidRPr="00F86766">
              <w:rPr>
                <w:rFonts w:eastAsia="Times New Roman"/>
                <w:color w:val="2E74B5" w:themeColor="accent1" w:themeShade="BF"/>
              </w:rPr>
              <w:t xml:space="preserve">How should counties voice interest? </w:t>
            </w:r>
          </w:p>
          <w:p w14:paraId="17DEE870" w14:textId="45D12F4D" w:rsidR="00C26212" w:rsidRPr="00F86766" w:rsidRDefault="00BF5FB6" w:rsidP="00F86766">
            <w:pPr>
              <w:pStyle w:val="ListParagraph"/>
              <w:numPr>
                <w:ilvl w:val="1"/>
                <w:numId w:val="23"/>
              </w:numPr>
              <w:ind w:left="785" w:hanging="180"/>
              <w:rPr>
                <w:rFonts w:eastAsia="Times New Roman"/>
              </w:rPr>
            </w:pPr>
            <w:r>
              <w:rPr>
                <w:rFonts w:eastAsia="Times New Roman"/>
                <w:color w:val="2E74B5" w:themeColor="accent1" w:themeShade="BF"/>
              </w:rPr>
              <w:t xml:space="preserve">A: </w:t>
            </w:r>
            <w:r w:rsidR="00F86766">
              <w:rPr>
                <w:rFonts w:eastAsia="Times New Roman"/>
                <w:color w:val="2E74B5" w:themeColor="accent1" w:themeShade="BF"/>
              </w:rPr>
              <w:t xml:space="preserve">Reach </w:t>
            </w:r>
            <w:r>
              <w:rPr>
                <w:rFonts w:eastAsia="Times New Roman"/>
                <w:color w:val="2E74B5" w:themeColor="accent1" w:themeShade="BF"/>
              </w:rPr>
              <w:t xml:space="preserve">out </w:t>
            </w:r>
            <w:r w:rsidR="00F86766">
              <w:rPr>
                <w:rFonts w:eastAsia="Times New Roman"/>
                <w:color w:val="2E74B5" w:themeColor="accent1" w:themeShade="BF"/>
              </w:rPr>
              <w:t xml:space="preserve">to </w:t>
            </w:r>
            <w:r w:rsidR="00C26212" w:rsidRPr="00F86766">
              <w:rPr>
                <w:rFonts w:eastAsia="Times New Roman"/>
                <w:color w:val="2E74B5" w:themeColor="accent1" w:themeShade="BF"/>
              </w:rPr>
              <w:t>Kathleen/Baile</w:t>
            </w:r>
            <w:r w:rsidR="00F86766">
              <w:rPr>
                <w:rFonts w:eastAsia="Times New Roman"/>
                <w:color w:val="2E74B5" w:themeColor="accent1" w:themeShade="BF"/>
              </w:rPr>
              <w:t>y</w:t>
            </w:r>
          </w:p>
        </w:tc>
        <w:tc>
          <w:tcPr>
            <w:tcW w:w="3600" w:type="dxa"/>
          </w:tcPr>
          <w:p w14:paraId="6B20AC38" w14:textId="2954B188" w:rsidR="000A1530" w:rsidRDefault="009925CE" w:rsidP="009925CE">
            <w:pPr>
              <w:ind w:left="968" w:hanging="968"/>
            </w:pPr>
            <w:r>
              <w:lastRenderedPageBreak/>
              <w:t>Member</w:t>
            </w:r>
            <w:r w:rsidR="00C26212">
              <w:t xml:space="preserve">s: If interested in any of the projects, let </w:t>
            </w:r>
            <w:r w:rsidR="007D364B">
              <w:t>co-chairs</w:t>
            </w:r>
            <w:r w:rsidR="00C26212">
              <w:t xml:space="preserve"> know. Hopefully can have some planning meetings, write something up, present to group/OHA to decide next steps/</w:t>
            </w:r>
            <w:r w:rsidR="007D364B">
              <w:t xml:space="preserve"> </w:t>
            </w:r>
            <w:r w:rsidR="00C26212">
              <w:t>scheduling.</w:t>
            </w:r>
          </w:p>
        </w:tc>
      </w:tr>
    </w:tbl>
    <w:p w14:paraId="0B54BE15" w14:textId="288C3BD3" w:rsidR="00E27A2A" w:rsidRPr="007D364B" w:rsidRDefault="000A1530" w:rsidP="00F83709">
      <w:pPr>
        <w:spacing w:after="0" w:line="240" w:lineRule="auto"/>
        <w:rPr>
          <w:b/>
          <w:sz w:val="24"/>
        </w:rPr>
      </w:pPr>
      <w:r w:rsidRPr="007D364B">
        <w:rPr>
          <w:b/>
          <w:sz w:val="24"/>
        </w:rPr>
        <w:t>Facilitator: Kathleen Rees</w:t>
      </w:r>
      <w:r w:rsidR="007D364B">
        <w:rPr>
          <w:b/>
          <w:sz w:val="24"/>
        </w:rPr>
        <w:tab/>
      </w:r>
      <w:r w:rsidR="007D364B">
        <w:rPr>
          <w:b/>
          <w:sz w:val="24"/>
        </w:rPr>
        <w:tab/>
      </w:r>
      <w:r w:rsidR="007D364B">
        <w:rPr>
          <w:b/>
          <w:sz w:val="24"/>
        </w:rPr>
        <w:tab/>
      </w:r>
      <w:r w:rsidRPr="007D364B">
        <w:rPr>
          <w:b/>
          <w:sz w:val="24"/>
        </w:rPr>
        <w:t>Note Taker: Bailey Burkhalter</w:t>
      </w:r>
      <w:r w:rsidR="007D364B">
        <w:rPr>
          <w:b/>
          <w:sz w:val="24"/>
        </w:rPr>
        <w:tab/>
      </w:r>
      <w:r w:rsidR="007D364B">
        <w:rPr>
          <w:b/>
          <w:sz w:val="24"/>
        </w:rPr>
        <w:tab/>
      </w:r>
      <w:r w:rsidR="007D364B">
        <w:rPr>
          <w:b/>
          <w:sz w:val="24"/>
        </w:rPr>
        <w:tab/>
      </w:r>
      <w:r w:rsidRPr="007D364B">
        <w:rPr>
          <w:b/>
          <w:sz w:val="24"/>
        </w:rPr>
        <w:t>Next M</w:t>
      </w:r>
      <w:bookmarkStart w:id="0" w:name="_GoBack"/>
      <w:bookmarkEnd w:id="0"/>
      <w:r w:rsidRPr="007D364B">
        <w:rPr>
          <w:b/>
          <w:sz w:val="24"/>
        </w:rPr>
        <w:t>eeting:</w:t>
      </w:r>
      <w:r w:rsidR="00C26212" w:rsidRPr="007D364B">
        <w:rPr>
          <w:b/>
          <w:sz w:val="24"/>
        </w:rPr>
        <w:t xml:space="preserve"> F</w:t>
      </w:r>
      <w:r w:rsidR="007D364B" w:rsidRPr="007D364B">
        <w:rPr>
          <w:b/>
          <w:sz w:val="24"/>
        </w:rPr>
        <w:t>riday, F</w:t>
      </w:r>
      <w:r w:rsidR="00C26212" w:rsidRPr="007D364B">
        <w:rPr>
          <w:b/>
          <w:sz w:val="24"/>
        </w:rPr>
        <w:t>eb</w:t>
      </w:r>
      <w:r w:rsidR="007D364B" w:rsidRPr="007D364B">
        <w:rPr>
          <w:b/>
          <w:sz w:val="24"/>
        </w:rPr>
        <w:t xml:space="preserve">ruary </w:t>
      </w:r>
      <w:r w:rsidR="00C26212" w:rsidRPr="007D364B">
        <w:rPr>
          <w:b/>
          <w:sz w:val="24"/>
        </w:rPr>
        <w:t>10</w:t>
      </w:r>
      <w:r w:rsidR="007D364B" w:rsidRPr="007D364B">
        <w:rPr>
          <w:b/>
          <w:sz w:val="24"/>
          <w:vertAlign w:val="superscript"/>
        </w:rPr>
        <w:t>th</w:t>
      </w:r>
      <w:r w:rsidR="007D364B" w:rsidRPr="007D364B">
        <w:rPr>
          <w:b/>
          <w:sz w:val="24"/>
        </w:rPr>
        <w:t>, 10-11AM</w:t>
      </w:r>
    </w:p>
    <w:sectPr w:rsidR="00E27A2A" w:rsidRPr="007D364B" w:rsidSect="000A1530">
      <w:footnotePr>
        <w:numFmt w:val="chicago"/>
      </w:footnotePr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6DA37" w14:textId="77777777" w:rsidR="00AC1372" w:rsidRDefault="00AC1372" w:rsidP="00BE3D69">
      <w:pPr>
        <w:spacing w:after="0" w:line="240" w:lineRule="auto"/>
      </w:pPr>
      <w:r>
        <w:separator/>
      </w:r>
    </w:p>
  </w:endnote>
  <w:endnote w:type="continuationSeparator" w:id="0">
    <w:p w14:paraId="38F06B78" w14:textId="77777777" w:rsidR="00AC1372" w:rsidRDefault="00AC1372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C961D" w14:textId="77777777" w:rsidR="00AC1372" w:rsidRDefault="00AC1372" w:rsidP="00BE3D69">
      <w:pPr>
        <w:spacing w:after="0" w:line="240" w:lineRule="auto"/>
      </w:pPr>
      <w:r>
        <w:separator/>
      </w:r>
    </w:p>
  </w:footnote>
  <w:footnote w:type="continuationSeparator" w:id="0">
    <w:p w14:paraId="6B6B724F" w14:textId="77777777" w:rsidR="00AC1372" w:rsidRDefault="00AC1372" w:rsidP="00BE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91725"/>
    <w:multiLevelType w:val="hybridMultilevel"/>
    <w:tmpl w:val="0E726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326B"/>
    <w:multiLevelType w:val="hybridMultilevel"/>
    <w:tmpl w:val="F364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22FD"/>
    <w:multiLevelType w:val="hybridMultilevel"/>
    <w:tmpl w:val="7A7698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209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F00E2"/>
    <w:multiLevelType w:val="hybridMultilevel"/>
    <w:tmpl w:val="FB6A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17F19"/>
    <w:multiLevelType w:val="hybridMultilevel"/>
    <w:tmpl w:val="6AAA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36B0C"/>
    <w:multiLevelType w:val="hybridMultilevel"/>
    <w:tmpl w:val="005E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CE1E8D"/>
    <w:multiLevelType w:val="hybridMultilevel"/>
    <w:tmpl w:val="829CF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736A9C"/>
    <w:multiLevelType w:val="hybridMultilevel"/>
    <w:tmpl w:val="48FC4E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F604FF"/>
    <w:multiLevelType w:val="hybridMultilevel"/>
    <w:tmpl w:val="01D81B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B3ABC"/>
    <w:multiLevelType w:val="hybridMultilevel"/>
    <w:tmpl w:val="2B0CD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24DF3"/>
    <w:multiLevelType w:val="hybridMultilevel"/>
    <w:tmpl w:val="4F1C4F68"/>
    <w:lvl w:ilvl="0" w:tplc="2A4055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75DE8"/>
    <w:multiLevelType w:val="hybridMultilevel"/>
    <w:tmpl w:val="7BFE2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57786"/>
    <w:multiLevelType w:val="hybridMultilevel"/>
    <w:tmpl w:val="C7C8C5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5B0EA2"/>
    <w:multiLevelType w:val="hybridMultilevel"/>
    <w:tmpl w:val="43FE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1"/>
  </w:num>
  <w:num w:numId="12">
    <w:abstractNumId w:val="7"/>
  </w:num>
  <w:num w:numId="13">
    <w:abstractNumId w:val="23"/>
  </w:num>
  <w:num w:numId="14">
    <w:abstractNumId w:val="7"/>
  </w:num>
  <w:num w:numId="15">
    <w:abstractNumId w:val="23"/>
  </w:num>
  <w:num w:numId="16">
    <w:abstractNumId w:val="12"/>
  </w:num>
  <w:num w:numId="17">
    <w:abstractNumId w:val="19"/>
  </w:num>
  <w:num w:numId="18">
    <w:abstractNumId w:val="16"/>
  </w:num>
  <w:num w:numId="19">
    <w:abstractNumId w:val="17"/>
  </w:num>
  <w:num w:numId="20">
    <w:abstractNumId w:val="10"/>
  </w:num>
  <w:num w:numId="21">
    <w:abstractNumId w:val="2"/>
  </w:num>
  <w:num w:numId="22">
    <w:abstractNumId w:val="14"/>
  </w:num>
  <w:num w:numId="23">
    <w:abstractNumId w:val="22"/>
  </w:num>
  <w:num w:numId="24">
    <w:abstractNumId w:val="8"/>
  </w:num>
  <w:num w:numId="25">
    <w:abstractNumId w:val="3"/>
  </w:num>
  <w:num w:numId="26">
    <w:abstractNumId w:val="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04BC4"/>
    <w:rsid w:val="000140FA"/>
    <w:rsid w:val="00031194"/>
    <w:rsid w:val="000346F4"/>
    <w:rsid w:val="00036C77"/>
    <w:rsid w:val="00041939"/>
    <w:rsid w:val="0005519E"/>
    <w:rsid w:val="00061E6D"/>
    <w:rsid w:val="00065993"/>
    <w:rsid w:val="0007644E"/>
    <w:rsid w:val="000838EE"/>
    <w:rsid w:val="00083B5E"/>
    <w:rsid w:val="00083C62"/>
    <w:rsid w:val="0009476F"/>
    <w:rsid w:val="00097738"/>
    <w:rsid w:val="000A1530"/>
    <w:rsid w:val="000A58AE"/>
    <w:rsid w:val="000B5446"/>
    <w:rsid w:val="000C2F3D"/>
    <w:rsid w:val="000F13B2"/>
    <w:rsid w:val="00100C80"/>
    <w:rsid w:val="00101F89"/>
    <w:rsid w:val="0010237F"/>
    <w:rsid w:val="00110A6F"/>
    <w:rsid w:val="0011442B"/>
    <w:rsid w:val="00114CBA"/>
    <w:rsid w:val="00117DAE"/>
    <w:rsid w:val="00130625"/>
    <w:rsid w:val="001364CC"/>
    <w:rsid w:val="0013683E"/>
    <w:rsid w:val="00143666"/>
    <w:rsid w:val="0014495D"/>
    <w:rsid w:val="0015523F"/>
    <w:rsid w:val="0016030F"/>
    <w:rsid w:val="00163BD4"/>
    <w:rsid w:val="00166AFA"/>
    <w:rsid w:val="00167F83"/>
    <w:rsid w:val="00176CA8"/>
    <w:rsid w:val="00177C76"/>
    <w:rsid w:val="00181256"/>
    <w:rsid w:val="00181A94"/>
    <w:rsid w:val="00182744"/>
    <w:rsid w:val="00184F07"/>
    <w:rsid w:val="00185255"/>
    <w:rsid w:val="00187143"/>
    <w:rsid w:val="00187450"/>
    <w:rsid w:val="001928B1"/>
    <w:rsid w:val="00193CF1"/>
    <w:rsid w:val="00196580"/>
    <w:rsid w:val="0019744A"/>
    <w:rsid w:val="001A16D1"/>
    <w:rsid w:val="001A3D67"/>
    <w:rsid w:val="001A6260"/>
    <w:rsid w:val="001B0D82"/>
    <w:rsid w:val="001C135F"/>
    <w:rsid w:val="001C62CF"/>
    <w:rsid w:val="001D59AD"/>
    <w:rsid w:val="001E76F7"/>
    <w:rsid w:val="001F37D8"/>
    <w:rsid w:val="001F6E4C"/>
    <w:rsid w:val="00200737"/>
    <w:rsid w:val="00212518"/>
    <w:rsid w:val="00213508"/>
    <w:rsid w:val="00220300"/>
    <w:rsid w:val="00222EBA"/>
    <w:rsid w:val="00223054"/>
    <w:rsid w:val="0024137A"/>
    <w:rsid w:val="00252581"/>
    <w:rsid w:val="0026748A"/>
    <w:rsid w:val="002678B0"/>
    <w:rsid w:val="00267F26"/>
    <w:rsid w:val="002817D5"/>
    <w:rsid w:val="0028347F"/>
    <w:rsid w:val="00290BA4"/>
    <w:rsid w:val="002919C9"/>
    <w:rsid w:val="002952B6"/>
    <w:rsid w:val="00295E74"/>
    <w:rsid w:val="002A5BC1"/>
    <w:rsid w:val="002B245A"/>
    <w:rsid w:val="002B2E33"/>
    <w:rsid w:val="002B638B"/>
    <w:rsid w:val="002E3373"/>
    <w:rsid w:val="002E63EA"/>
    <w:rsid w:val="002F6FC4"/>
    <w:rsid w:val="00300127"/>
    <w:rsid w:val="00301FB4"/>
    <w:rsid w:val="003028F4"/>
    <w:rsid w:val="00303881"/>
    <w:rsid w:val="00305AAC"/>
    <w:rsid w:val="00311978"/>
    <w:rsid w:val="00323747"/>
    <w:rsid w:val="00323E3F"/>
    <w:rsid w:val="003301E7"/>
    <w:rsid w:val="003347A2"/>
    <w:rsid w:val="00340D38"/>
    <w:rsid w:val="003429CC"/>
    <w:rsid w:val="0034624B"/>
    <w:rsid w:val="00353A3C"/>
    <w:rsid w:val="0036484A"/>
    <w:rsid w:val="0037042B"/>
    <w:rsid w:val="00371136"/>
    <w:rsid w:val="00386503"/>
    <w:rsid w:val="0039267F"/>
    <w:rsid w:val="003B12FD"/>
    <w:rsid w:val="003B4209"/>
    <w:rsid w:val="003C3892"/>
    <w:rsid w:val="003C6691"/>
    <w:rsid w:val="003D4E0E"/>
    <w:rsid w:val="003E3B48"/>
    <w:rsid w:val="003F29F3"/>
    <w:rsid w:val="00402641"/>
    <w:rsid w:val="004035F7"/>
    <w:rsid w:val="00423A9C"/>
    <w:rsid w:val="00426712"/>
    <w:rsid w:val="00444BB4"/>
    <w:rsid w:val="004472C2"/>
    <w:rsid w:val="004603EB"/>
    <w:rsid w:val="0046279D"/>
    <w:rsid w:val="0046390C"/>
    <w:rsid w:val="00466384"/>
    <w:rsid w:val="004706F1"/>
    <w:rsid w:val="00474906"/>
    <w:rsid w:val="004843B0"/>
    <w:rsid w:val="00485DB0"/>
    <w:rsid w:val="004944C0"/>
    <w:rsid w:val="004A13C4"/>
    <w:rsid w:val="004A60C8"/>
    <w:rsid w:val="004A64EB"/>
    <w:rsid w:val="004B4130"/>
    <w:rsid w:val="004B43B5"/>
    <w:rsid w:val="004B50F8"/>
    <w:rsid w:val="004C3C9A"/>
    <w:rsid w:val="004D26E0"/>
    <w:rsid w:val="004D7EA0"/>
    <w:rsid w:val="00501343"/>
    <w:rsid w:val="005179B3"/>
    <w:rsid w:val="00523962"/>
    <w:rsid w:val="00525CAE"/>
    <w:rsid w:val="00544692"/>
    <w:rsid w:val="00552491"/>
    <w:rsid w:val="00552D82"/>
    <w:rsid w:val="0055799F"/>
    <w:rsid w:val="005668AE"/>
    <w:rsid w:val="00577F2C"/>
    <w:rsid w:val="00591E75"/>
    <w:rsid w:val="00597A19"/>
    <w:rsid w:val="005A1107"/>
    <w:rsid w:val="005A225E"/>
    <w:rsid w:val="005B37E3"/>
    <w:rsid w:val="005B4044"/>
    <w:rsid w:val="005C13D5"/>
    <w:rsid w:val="005D1DF0"/>
    <w:rsid w:val="005D4A0C"/>
    <w:rsid w:val="005D596D"/>
    <w:rsid w:val="005E061D"/>
    <w:rsid w:val="005F0EAA"/>
    <w:rsid w:val="005F43F1"/>
    <w:rsid w:val="00607DA3"/>
    <w:rsid w:val="00610AB3"/>
    <w:rsid w:val="00613A92"/>
    <w:rsid w:val="0061577E"/>
    <w:rsid w:val="0061581D"/>
    <w:rsid w:val="0062484D"/>
    <w:rsid w:val="00624C2D"/>
    <w:rsid w:val="00642AEC"/>
    <w:rsid w:val="0064714C"/>
    <w:rsid w:val="00647936"/>
    <w:rsid w:val="0066616B"/>
    <w:rsid w:val="00672E23"/>
    <w:rsid w:val="0067551B"/>
    <w:rsid w:val="00682BC7"/>
    <w:rsid w:val="006978B6"/>
    <w:rsid w:val="006A3D2B"/>
    <w:rsid w:val="006A3F11"/>
    <w:rsid w:val="006B1EDB"/>
    <w:rsid w:val="006C30A5"/>
    <w:rsid w:val="006D7393"/>
    <w:rsid w:val="006E5142"/>
    <w:rsid w:val="006F38B8"/>
    <w:rsid w:val="006F7DE8"/>
    <w:rsid w:val="0070774F"/>
    <w:rsid w:val="007139F9"/>
    <w:rsid w:val="007164C8"/>
    <w:rsid w:val="00723C34"/>
    <w:rsid w:val="00724BB6"/>
    <w:rsid w:val="007351F8"/>
    <w:rsid w:val="0074055F"/>
    <w:rsid w:val="0074690D"/>
    <w:rsid w:val="007638B4"/>
    <w:rsid w:val="007721EF"/>
    <w:rsid w:val="00772331"/>
    <w:rsid w:val="007746AF"/>
    <w:rsid w:val="007841EF"/>
    <w:rsid w:val="00794401"/>
    <w:rsid w:val="00794D6D"/>
    <w:rsid w:val="00796F3D"/>
    <w:rsid w:val="007A0358"/>
    <w:rsid w:val="007A0D2C"/>
    <w:rsid w:val="007A1000"/>
    <w:rsid w:val="007A76DE"/>
    <w:rsid w:val="007B2DA2"/>
    <w:rsid w:val="007B504F"/>
    <w:rsid w:val="007B580D"/>
    <w:rsid w:val="007D2536"/>
    <w:rsid w:val="007D364B"/>
    <w:rsid w:val="007D5E9B"/>
    <w:rsid w:val="007E0156"/>
    <w:rsid w:val="007F5703"/>
    <w:rsid w:val="00814378"/>
    <w:rsid w:val="00815D65"/>
    <w:rsid w:val="0082010F"/>
    <w:rsid w:val="00822C23"/>
    <w:rsid w:val="00830CFE"/>
    <w:rsid w:val="00832AB1"/>
    <w:rsid w:val="008343D7"/>
    <w:rsid w:val="0084359D"/>
    <w:rsid w:val="00862C24"/>
    <w:rsid w:val="008644BB"/>
    <w:rsid w:val="00864E75"/>
    <w:rsid w:val="00873DEF"/>
    <w:rsid w:val="0088391F"/>
    <w:rsid w:val="0088538C"/>
    <w:rsid w:val="008918E3"/>
    <w:rsid w:val="00892AED"/>
    <w:rsid w:val="008932F4"/>
    <w:rsid w:val="008A0E51"/>
    <w:rsid w:val="008A19B5"/>
    <w:rsid w:val="008C4CF2"/>
    <w:rsid w:val="008C6701"/>
    <w:rsid w:val="008D260B"/>
    <w:rsid w:val="008D5A9A"/>
    <w:rsid w:val="008D5B85"/>
    <w:rsid w:val="008D7D71"/>
    <w:rsid w:val="008E0095"/>
    <w:rsid w:val="008E5C01"/>
    <w:rsid w:val="008E7557"/>
    <w:rsid w:val="00906B39"/>
    <w:rsid w:val="00907DA7"/>
    <w:rsid w:val="00917296"/>
    <w:rsid w:val="009228BA"/>
    <w:rsid w:val="00924807"/>
    <w:rsid w:val="00925AB8"/>
    <w:rsid w:val="009265AC"/>
    <w:rsid w:val="00934D0B"/>
    <w:rsid w:val="009404A1"/>
    <w:rsid w:val="00943AE2"/>
    <w:rsid w:val="00944768"/>
    <w:rsid w:val="00946CE8"/>
    <w:rsid w:val="0095187D"/>
    <w:rsid w:val="00960271"/>
    <w:rsid w:val="00967D3E"/>
    <w:rsid w:val="0097142B"/>
    <w:rsid w:val="00980129"/>
    <w:rsid w:val="00980CE7"/>
    <w:rsid w:val="009817EA"/>
    <w:rsid w:val="009925CE"/>
    <w:rsid w:val="009972FB"/>
    <w:rsid w:val="009A4625"/>
    <w:rsid w:val="009B350A"/>
    <w:rsid w:val="009C0642"/>
    <w:rsid w:val="009C0888"/>
    <w:rsid w:val="009C3C37"/>
    <w:rsid w:val="009C4DB7"/>
    <w:rsid w:val="009C5B7E"/>
    <w:rsid w:val="009C640F"/>
    <w:rsid w:val="009D2499"/>
    <w:rsid w:val="009D4B35"/>
    <w:rsid w:val="009D7DCB"/>
    <w:rsid w:val="009E0817"/>
    <w:rsid w:val="009E5586"/>
    <w:rsid w:val="009E780A"/>
    <w:rsid w:val="009F1E63"/>
    <w:rsid w:val="00A06DED"/>
    <w:rsid w:val="00A26411"/>
    <w:rsid w:val="00A37A3F"/>
    <w:rsid w:val="00A53181"/>
    <w:rsid w:val="00A6117B"/>
    <w:rsid w:val="00A65255"/>
    <w:rsid w:val="00A731E2"/>
    <w:rsid w:val="00A75336"/>
    <w:rsid w:val="00A84BC0"/>
    <w:rsid w:val="00A86EEB"/>
    <w:rsid w:val="00A94501"/>
    <w:rsid w:val="00A965EA"/>
    <w:rsid w:val="00A97176"/>
    <w:rsid w:val="00AA1A67"/>
    <w:rsid w:val="00AB3490"/>
    <w:rsid w:val="00AC1372"/>
    <w:rsid w:val="00AD0BFE"/>
    <w:rsid w:val="00AD5027"/>
    <w:rsid w:val="00AD724F"/>
    <w:rsid w:val="00AD7828"/>
    <w:rsid w:val="00AD7B83"/>
    <w:rsid w:val="00AE235D"/>
    <w:rsid w:val="00AE4CAC"/>
    <w:rsid w:val="00AE5EA7"/>
    <w:rsid w:val="00B07284"/>
    <w:rsid w:val="00B1157D"/>
    <w:rsid w:val="00B158CD"/>
    <w:rsid w:val="00B1726C"/>
    <w:rsid w:val="00B219C6"/>
    <w:rsid w:val="00B31CBF"/>
    <w:rsid w:val="00B33BB2"/>
    <w:rsid w:val="00B35FC6"/>
    <w:rsid w:val="00B37570"/>
    <w:rsid w:val="00B407AF"/>
    <w:rsid w:val="00B52A7D"/>
    <w:rsid w:val="00B5324F"/>
    <w:rsid w:val="00B563D5"/>
    <w:rsid w:val="00B6557C"/>
    <w:rsid w:val="00B70ED3"/>
    <w:rsid w:val="00B710D6"/>
    <w:rsid w:val="00B71D94"/>
    <w:rsid w:val="00B80A94"/>
    <w:rsid w:val="00B86843"/>
    <w:rsid w:val="00B87E4E"/>
    <w:rsid w:val="00B93D31"/>
    <w:rsid w:val="00B9632E"/>
    <w:rsid w:val="00B9638B"/>
    <w:rsid w:val="00BA07DF"/>
    <w:rsid w:val="00BD64DE"/>
    <w:rsid w:val="00BE3D69"/>
    <w:rsid w:val="00BF571C"/>
    <w:rsid w:val="00BF5FB6"/>
    <w:rsid w:val="00C016E2"/>
    <w:rsid w:val="00C04D04"/>
    <w:rsid w:val="00C10CC2"/>
    <w:rsid w:val="00C14C07"/>
    <w:rsid w:val="00C178F3"/>
    <w:rsid w:val="00C26212"/>
    <w:rsid w:val="00C56189"/>
    <w:rsid w:val="00C627EF"/>
    <w:rsid w:val="00C65189"/>
    <w:rsid w:val="00C65AFD"/>
    <w:rsid w:val="00C8260C"/>
    <w:rsid w:val="00C85453"/>
    <w:rsid w:val="00CA45EE"/>
    <w:rsid w:val="00CB73FB"/>
    <w:rsid w:val="00CB75BB"/>
    <w:rsid w:val="00CC377F"/>
    <w:rsid w:val="00CC3F19"/>
    <w:rsid w:val="00CD314D"/>
    <w:rsid w:val="00CE0029"/>
    <w:rsid w:val="00CE367B"/>
    <w:rsid w:val="00CF0B3E"/>
    <w:rsid w:val="00D0739C"/>
    <w:rsid w:val="00D213E3"/>
    <w:rsid w:val="00D24C5A"/>
    <w:rsid w:val="00D24D87"/>
    <w:rsid w:val="00D36F34"/>
    <w:rsid w:val="00D422E5"/>
    <w:rsid w:val="00D43F02"/>
    <w:rsid w:val="00D449B6"/>
    <w:rsid w:val="00D55226"/>
    <w:rsid w:val="00D575A5"/>
    <w:rsid w:val="00D6751D"/>
    <w:rsid w:val="00D8577C"/>
    <w:rsid w:val="00D94FD2"/>
    <w:rsid w:val="00DA4CAA"/>
    <w:rsid w:val="00DB4CB2"/>
    <w:rsid w:val="00DB52A2"/>
    <w:rsid w:val="00DC2C0B"/>
    <w:rsid w:val="00DD55F6"/>
    <w:rsid w:val="00DD6E79"/>
    <w:rsid w:val="00DE515B"/>
    <w:rsid w:val="00DE5C9F"/>
    <w:rsid w:val="00DE5D67"/>
    <w:rsid w:val="00DF547D"/>
    <w:rsid w:val="00E01677"/>
    <w:rsid w:val="00E03AF5"/>
    <w:rsid w:val="00E065D8"/>
    <w:rsid w:val="00E20415"/>
    <w:rsid w:val="00E23BCD"/>
    <w:rsid w:val="00E24217"/>
    <w:rsid w:val="00E27A2A"/>
    <w:rsid w:val="00E30D3E"/>
    <w:rsid w:val="00E30F1C"/>
    <w:rsid w:val="00E34559"/>
    <w:rsid w:val="00E34950"/>
    <w:rsid w:val="00E40B6A"/>
    <w:rsid w:val="00E446A5"/>
    <w:rsid w:val="00E44C07"/>
    <w:rsid w:val="00E51957"/>
    <w:rsid w:val="00E545FF"/>
    <w:rsid w:val="00E56A9B"/>
    <w:rsid w:val="00E571EA"/>
    <w:rsid w:val="00E60D3C"/>
    <w:rsid w:val="00E65D83"/>
    <w:rsid w:val="00E6685A"/>
    <w:rsid w:val="00E668C8"/>
    <w:rsid w:val="00E700C1"/>
    <w:rsid w:val="00E8016C"/>
    <w:rsid w:val="00E85102"/>
    <w:rsid w:val="00E876E4"/>
    <w:rsid w:val="00E94F1F"/>
    <w:rsid w:val="00EA1029"/>
    <w:rsid w:val="00EA386A"/>
    <w:rsid w:val="00EA7A9D"/>
    <w:rsid w:val="00EA7ED5"/>
    <w:rsid w:val="00EB039E"/>
    <w:rsid w:val="00EB7142"/>
    <w:rsid w:val="00EC6BDC"/>
    <w:rsid w:val="00ED07C4"/>
    <w:rsid w:val="00ED1865"/>
    <w:rsid w:val="00EE27DD"/>
    <w:rsid w:val="00EE4291"/>
    <w:rsid w:val="00EE61AA"/>
    <w:rsid w:val="00EF60DC"/>
    <w:rsid w:val="00F00A9A"/>
    <w:rsid w:val="00F02687"/>
    <w:rsid w:val="00F05060"/>
    <w:rsid w:val="00F059D7"/>
    <w:rsid w:val="00F06748"/>
    <w:rsid w:val="00F1021A"/>
    <w:rsid w:val="00F1024B"/>
    <w:rsid w:val="00F210EC"/>
    <w:rsid w:val="00F2333F"/>
    <w:rsid w:val="00F245AC"/>
    <w:rsid w:val="00F262A5"/>
    <w:rsid w:val="00F31DAF"/>
    <w:rsid w:val="00F32694"/>
    <w:rsid w:val="00F45225"/>
    <w:rsid w:val="00F460A4"/>
    <w:rsid w:val="00F518C1"/>
    <w:rsid w:val="00F52648"/>
    <w:rsid w:val="00F53AB3"/>
    <w:rsid w:val="00F540D4"/>
    <w:rsid w:val="00F61950"/>
    <w:rsid w:val="00F674EA"/>
    <w:rsid w:val="00F7110F"/>
    <w:rsid w:val="00F7415C"/>
    <w:rsid w:val="00F74C41"/>
    <w:rsid w:val="00F75778"/>
    <w:rsid w:val="00F759FD"/>
    <w:rsid w:val="00F81DA8"/>
    <w:rsid w:val="00F83709"/>
    <w:rsid w:val="00F86766"/>
    <w:rsid w:val="00F92004"/>
    <w:rsid w:val="00F95E90"/>
    <w:rsid w:val="00FB4DA2"/>
    <w:rsid w:val="00FC2944"/>
    <w:rsid w:val="00FC6141"/>
    <w:rsid w:val="00FD49D1"/>
    <w:rsid w:val="00FE1154"/>
    <w:rsid w:val="00FE54A3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amanetwork.com/journals/jamanetworkopen/fullarticle/27954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Bailey Burkhalter</cp:lastModifiedBy>
  <cp:revision>6</cp:revision>
  <cp:lastPrinted>2019-11-01T22:07:00Z</cp:lastPrinted>
  <dcterms:created xsi:type="dcterms:W3CDTF">2023-01-13T18:09:00Z</dcterms:created>
  <dcterms:modified xsi:type="dcterms:W3CDTF">2023-01-17T19:46:00Z</dcterms:modified>
</cp:coreProperties>
</file>