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:rsidR="00CA4CB5" w:rsidRPr="002165AC" w:rsidRDefault="002F75DB" w:rsidP="00A764F2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BE153C">
        <w:rPr>
          <w:b/>
          <w:color w:val="FF0000"/>
          <w:sz w:val="24"/>
          <w:szCs w:val="24"/>
        </w:rPr>
        <w:t xml:space="preserve">November 8, </w:t>
      </w:r>
      <w:r w:rsidR="00CD4A7C">
        <w:rPr>
          <w:b/>
          <w:color w:val="FF0000"/>
          <w:sz w:val="24"/>
          <w:szCs w:val="24"/>
        </w:rPr>
        <w:t>2019</w:t>
      </w:r>
    </w:p>
    <w:p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153DB3">
        <w:rPr>
          <w:b/>
          <w:sz w:val="24"/>
          <w:szCs w:val="24"/>
        </w:rPr>
        <w:t xml:space="preserve"> - 12</w:t>
      </w:r>
      <w:r>
        <w:rPr>
          <w:b/>
          <w:sz w:val="24"/>
          <w:szCs w:val="24"/>
        </w:rPr>
        <w:t>:00 pm</w:t>
      </w:r>
    </w:p>
    <w:p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:rsidR="00F1140B" w:rsidRDefault="00BE153C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Guests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1980"/>
        <w:gridCol w:w="2160"/>
        <w:gridCol w:w="2070"/>
        <w:gridCol w:w="1980"/>
        <w:gridCol w:w="6048"/>
      </w:tblGrid>
      <w:tr w:rsidR="00BE153C" w:rsidTr="00BE153C">
        <w:trPr>
          <w:trHeight w:val="143"/>
        </w:trPr>
        <w:tc>
          <w:tcPr>
            <w:tcW w:w="1980" w:type="dxa"/>
            <w:vAlign w:val="center"/>
          </w:tcPr>
          <w:p w:rsidR="00BE153C" w:rsidRPr="00CC6D47" w:rsidRDefault="00667647" w:rsidP="00C541EA">
            <w:r>
              <w:t>Erin Corrigan</w:t>
            </w:r>
          </w:p>
        </w:tc>
        <w:tc>
          <w:tcPr>
            <w:tcW w:w="2160" w:type="dxa"/>
            <w:vAlign w:val="center"/>
          </w:tcPr>
          <w:p w:rsidR="00BE153C" w:rsidRPr="00DB53B5" w:rsidRDefault="006F6898" w:rsidP="00C541EA">
            <w:r>
              <w:t xml:space="preserve">Cecile Town </w:t>
            </w:r>
          </w:p>
        </w:tc>
        <w:tc>
          <w:tcPr>
            <w:tcW w:w="2070" w:type="dxa"/>
            <w:vAlign w:val="center"/>
          </w:tcPr>
          <w:p w:rsidR="00BE153C" w:rsidRPr="00ED5F68" w:rsidRDefault="00BE153C" w:rsidP="0095764D"/>
        </w:tc>
        <w:tc>
          <w:tcPr>
            <w:tcW w:w="1980" w:type="dxa"/>
            <w:vAlign w:val="center"/>
          </w:tcPr>
          <w:p w:rsidR="00BE153C" w:rsidRPr="00DB53B5" w:rsidRDefault="00BE153C" w:rsidP="00BE3E3D"/>
        </w:tc>
        <w:tc>
          <w:tcPr>
            <w:tcW w:w="6048" w:type="dxa"/>
            <w:vAlign w:val="center"/>
          </w:tcPr>
          <w:p w:rsidR="00BE153C" w:rsidRPr="00F1140B" w:rsidRDefault="00BE153C" w:rsidP="00BE3E3D"/>
        </w:tc>
      </w:tr>
      <w:tr w:rsidR="00BE153C" w:rsidRPr="0034688A" w:rsidTr="00BE153C">
        <w:tc>
          <w:tcPr>
            <w:tcW w:w="1980" w:type="dxa"/>
          </w:tcPr>
          <w:p w:rsidR="00BE153C" w:rsidRPr="000F5E7E" w:rsidRDefault="006F6898" w:rsidP="00C541EA">
            <w:r>
              <w:t xml:space="preserve">Tasha </w:t>
            </w:r>
            <w:r w:rsidR="0085722C">
              <w:t>Piossant</w:t>
            </w:r>
          </w:p>
        </w:tc>
        <w:tc>
          <w:tcPr>
            <w:tcW w:w="2160" w:type="dxa"/>
          </w:tcPr>
          <w:p w:rsidR="00BE153C" w:rsidRPr="00DB53B5" w:rsidRDefault="00BE153C" w:rsidP="00C541EA"/>
        </w:tc>
        <w:tc>
          <w:tcPr>
            <w:tcW w:w="2070" w:type="dxa"/>
          </w:tcPr>
          <w:p w:rsidR="00BE153C" w:rsidRPr="000F5E7E" w:rsidRDefault="00BE153C" w:rsidP="00C541EA"/>
        </w:tc>
        <w:tc>
          <w:tcPr>
            <w:tcW w:w="1980" w:type="dxa"/>
          </w:tcPr>
          <w:p w:rsidR="00BE153C" w:rsidRPr="00E440CE" w:rsidRDefault="00BE153C" w:rsidP="00C541EA"/>
        </w:tc>
        <w:tc>
          <w:tcPr>
            <w:tcW w:w="6048" w:type="dxa"/>
          </w:tcPr>
          <w:p w:rsidR="00BE153C" w:rsidRPr="0034688A" w:rsidRDefault="00BE153C" w:rsidP="00C541EA"/>
        </w:tc>
      </w:tr>
    </w:tbl>
    <w:p w:rsidR="00B16198" w:rsidRPr="006319FD" w:rsidRDefault="00B16198" w:rsidP="006E63C1">
      <w:pPr>
        <w:rPr>
          <w:b/>
          <w:sz w:val="24"/>
          <w:szCs w:val="24"/>
          <w:u w:val="single"/>
        </w:rPr>
      </w:pPr>
    </w:p>
    <w:p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19"/>
        <w:gridCol w:w="1132"/>
        <w:gridCol w:w="6071"/>
        <w:gridCol w:w="9"/>
        <w:gridCol w:w="3827"/>
      </w:tblGrid>
      <w:tr w:rsidR="002A4153" w:rsidRPr="00FB46DB" w:rsidTr="002A4153">
        <w:trPr>
          <w:trHeight w:val="233"/>
        </w:trPr>
        <w:tc>
          <w:tcPr>
            <w:tcW w:w="3199" w:type="dxa"/>
            <w:gridSpan w:val="2"/>
          </w:tcPr>
          <w:p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132" w:type="dxa"/>
          </w:tcPr>
          <w:p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071" w:type="dxa"/>
          </w:tcPr>
          <w:p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3836" w:type="dxa"/>
            <w:gridSpan w:val="2"/>
          </w:tcPr>
          <w:p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:rsidTr="002A4153">
        <w:trPr>
          <w:trHeight w:val="665"/>
        </w:trPr>
        <w:tc>
          <w:tcPr>
            <w:tcW w:w="3199" w:type="dxa"/>
            <w:gridSpan w:val="2"/>
            <w:vAlign w:val="center"/>
          </w:tcPr>
          <w:p w:rsidR="002A4153" w:rsidRPr="007852F9" w:rsidRDefault="00B43DD0" w:rsidP="00725F9D">
            <w:r>
              <w:t>Welcome and roll call</w:t>
            </w:r>
          </w:p>
        </w:tc>
        <w:tc>
          <w:tcPr>
            <w:tcW w:w="1132" w:type="dxa"/>
            <w:vAlign w:val="center"/>
          </w:tcPr>
          <w:p w:rsidR="002A4153" w:rsidRPr="00AC55CF" w:rsidRDefault="00B43DD0" w:rsidP="00C17166">
            <w:r>
              <w:t>Kathleen</w:t>
            </w:r>
          </w:p>
        </w:tc>
        <w:tc>
          <w:tcPr>
            <w:tcW w:w="6071" w:type="dxa"/>
            <w:vAlign w:val="center"/>
          </w:tcPr>
          <w:p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3836" w:type="dxa"/>
            <w:gridSpan w:val="2"/>
          </w:tcPr>
          <w:p w:rsidR="002A4153" w:rsidRPr="00BD7F91" w:rsidRDefault="0085722C" w:rsidP="00C17166">
            <w:r>
              <w:t xml:space="preserve"> </w:t>
            </w:r>
          </w:p>
        </w:tc>
      </w:tr>
      <w:tr w:rsidR="002A4153" w:rsidRPr="00BD7F91" w:rsidTr="002A4153">
        <w:trPr>
          <w:trHeight w:val="665"/>
        </w:trPr>
        <w:tc>
          <w:tcPr>
            <w:tcW w:w="3199" w:type="dxa"/>
            <w:gridSpan w:val="2"/>
            <w:vAlign w:val="center"/>
          </w:tcPr>
          <w:p w:rsidR="002A4153" w:rsidRDefault="00BE153C" w:rsidP="00BE3E3D">
            <w:r>
              <w:t>Approve minutes from 09/13/2019</w:t>
            </w:r>
          </w:p>
        </w:tc>
        <w:tc>
          <w:tcPr>
            <w:tcW w:w="1132" w:type="dxa"/>
            <w:vAlign w:val="center"/>
          </w:tcPr>
          <w:p w:rsidR="002A4153" w:rsidRDefault="00F53718" w:rsidP="00C17166">
            <w:r>
              <w:t>Kathleen</w:t>
            </w:r>
          </w:p>
        </w:tc>
        <w:tc>
          <w:tcPr>
            <w:tcW w:w="6071" w:type="dxa"/>
            <w:vAlign w:val="center"/>
          </w:tcPr>
          <w:p w:rsidR="002A4153" w:rsidRDefault="00F53718" w:rsidP="00F53718">
            <w:r>
              <w:t>Minutes were a</w:t>
            </w:r>
            <w:r w:rsidR="00C01D91">
              <w:t>pproved as submitted</w:t>
            </w:r>
          </w:p>
        </w:tc>
        <w:tc>
          <w:tcPr>
            <w:tcW w:w="3836" w:type="dxa"/>
            <w:gridSpan w:val="2"/>
          </w:tcPr>
          <w:p w:rsidR="002A4153" w:rsidRPr="00BD7F91" w:rsidRDefault="0085722C" w:rsidP="0031009F">
            <w:r>
              <w:t>Bob Dannenhoffer moved to approve, seconded by Cindy Morgan</w:t>
            </w:r>
          </w:p>
        </w:tc>
      </w:tr>
      <w:tr w:rsidR="002A4153" w:rsidRPr="00BD7F91" w:rsidTr="002A4153">
        <w:trPr>
          <w:trHeight w:val="665"/>
        </w:trPr>
        <w:tc>
          <w:tcPr>
            <w:tcW w:w="3199" w:type="dxa"/>
            <w:gridSpan w:val="2"/>
            <w:vAlign w:val="center"/>
          </w:tcPr>
          <w:p w:rsidR="002A4153" w:rsidRDefault="00F53718" w:rsidP="00D55D5B">
            <w:r>
              <w:t>County Updates</w:t>
            </w:r>
          </w:p>
        </w:tc>
        <w:tc>
          <w:tcPr>
            <w:tcW w:w="1132" w:type="dxa"/>
            <w:vAlign w:val="center"/>
          </w:tcPr>
          <w:p w:rsidR="002A4153" w:rsidRPr="00AC55CF" w:rsidRDefault="002A4153" w:rsidP="00D55D5B"/>
        </w:tc>
        <w:tc>
          <w:tcPr>
            <w:tcW w:w="6071" w:type="dxa"/>
            <w:vAlign w:val="center"/>
          </w:tcPr>
          <w:p w:rsidR="002A4153" w:rsidRPr="00AC55CF" w:rsidRDefault="00B72671" w:rsidP="00B72671">
            <w:r>
              <w:t>Cindy Morgan mentioned</w:t>
            </w:r>
            <w:r w:rsidR="00BE153C">
              <w:t xml:space="preserve"> the expense related to a single case of Measles in Lane County.  Charlie Fautin </w:t>
            </w:r>
            <w:r>
              <w:t>stat</w:t>
            </w:r>
            <w:r w:rsidR="00BE153C">
              <w:t>ed Benton County tracked the expenses for 2</w:t>
            </w:r>
            <w:r>
              <w:t xml:space="preserve"> cases which totaled</w:t>
            </w:r>
            <w:r w:rsidR="00BE153C">
              <w:t xml:space="preserve"> over $200,000.  Members discussed </w:t>
            </w:r>
            <w:r>
              <w:t>how</w:t>
            </w:r>
            <w:r w:rsidR="00BE153C">
              <w:t xml:space="preserve"> </w:t>
            </w:r>
            <w:r>
              <w:t>difficult it is to</w:t>
            </w:r>
            <w:r w:rsidR="00BE153C">
              <w:t xml:space="preserve"> accurately capture the CD work that is not getting done </w:t>
            </w:r>
            <w:r>
              <w:t xml:space="preserve">due </w:t>
            </w:r>
            <w:r w:rsidR="00BE153C">
              <w:t>to Measles investigation work</w:t>
            </w:r>
            <w:r w:rsidR="0085722C">
              <w:t xml:space="preserve"> or other similar outbreaks</w:t>
            </w:r>
            <w:r w:rsidR="00BE153C">
              <w:t xml:space="preserve">. </w:t>
            </w:r>
          </w:p>
        </w:tc>
        <w:tc>
          <w:tcPr>
            <w:tcW w:w="3836" w:type="dxa"/>
            <w:gridSpan w:val="2"/>
          </w:tcPr>
          <w:p w:rsidR="002A4153" w:rsidRPr="00BD7F91" w:rsidRDefault="00BE153C" w:rsidP="0031009F">
            <w:r>
              <w:t xml:space="preserve">Members asked Charlie if he would be willing to share his tracking system and data.  </w:t>
            </w:r>
          </w:p>
        </w:tc>
      </w:tr>
      <w:tr w:rsidR="002A4153" w:rsidRPr="00BD7F91" w:rsidTr="002A4153">
        <w:trPr>
          <w:trHeight w:val="665"/>
        </w:trPr>
        <w:tc>
          <w:tcPr>
            <w:tcW w:w="3199" w:type="dxa"/>
            <w:gridSpan w:val="2"/>
            <w:vAlign w:val="center"/>
          </w:tcPr>
          <w:p w:rsidR="002A4153" w:rsidRDefault="00BE153C" w:rsidP="00D55D5B">
            <w:pPr>
              <w:rPr>
                <w:rFonts w:asciiTheme="minorHAnsi" w:hAnsiTheme="minorHAnsi"/>
              </w:rPr>
            </w:pPr>
            <w:r>
              <w:t xml:space="preserve">PE 43 </w:t>
            </w:r>
            <w:r w:rsidR="00AD037B">
              <w:t>Edits</w:t>
            </w:r>
          </w:p>
        </w:tc>
        <w:tc>
          <w:tcPr>
            <w:tcW w:w="1132" w:type="dxa"/>
            <w:vAlign w:val="center"/>
          </w:tcPr>
          <w:p w:rsidR="002A4153" w:rsidRDefault="00BE153C" w:rsidP="00BE153C">
            <w:r>
              <w:t xml:space="preserve">Erin Corrigan </w:t>
            </w:r>
          </w:p>
        </w:tc>
        <w:tc>
          <w:tcPr>
            <w:tcW w:w="6071" w:type="dxa"/>
            <w:vAlign w:val="center"/>
          </w:tcPr>
          <w:p w:rsidR="002A4153" w:rsidRDefault="00667647" w:rsidP="0085722C">
            <w:r>
              <w:t>Erin provided a brief history of PE 43 from 2012-2015 which had the purpose to support sustainable resources f</w:t>
            </w:r>
            <w:r w:rsidR="0085722C">
              <w:t>or</w:t>
            </w:r>
            <w:r>
              <w:t xml:space="preserve"> vaccines for </w:t>
            </w:r>
            <w:r w:rsidR="0085722C">
              <w:t>l</w:t>
            </w:r>
            <w:r>
              <w:t>ocal health departments.  The new project better aligns with current local public health practices.  The OHA held regional meetings to gather input from local staff</w:t>
            </w:r>
            <w:r w:rsidR="00C0090F">
              <w:t xml:space="preserve"> </w:t>
            </w:r>
            <w:r w:rsidR="0085722C">
              <w:t>earlier this year.</w:t>
            </w:r>
            <w:r>
              <w:t xml:space="preserve">  The revised billing standards</w:t>
            </w:r>
            <w:r w:rsidR="00C0090F">
              <w:t xml:space="preserve"> came about from the regional meetings and committee work.  Bob Danne</w:t>
            </w:r>
            <w:r w:rsidR="00F16383">
              <w:t>nhoffer mentioned the difficulty small jurisdictions have with securing contracts</w:t>
            </w:r>
            <w:r w:rsidR="00D64F1D">
              <w:t xml:space="preserve"> with commercial insurance </w:t>
            </w:r>
            <w:r w:rsidR="0085722C">
              <w:t>payers</w:t>
            </w:r>
            <w:r w:rsidR="00AD037B">
              <w:t>.</w:t>
            </w:r>
            <w:r w:rsidR="00D64F1D">
              <w:t xml:space="preserve"> </w:t>
            </w:r>
          </w:p>
        </w:tc>
        <w:tc>
          <w:tcPr>
            <w:tcW w:w="3836" w:type="dxa"/>
            <w:gridSpan w:val="2"/>
          </w:tcPr>
          <w:p w:rsidR="002A4153" w:rsidRDefault="00D64F1D" w:rsidP="00A27471">
            <w:r>
              <w:t xml:space="preserve"> Bob Dannenhoffer moved to approve changes, second by </w:t>
            </w:r>
            <w:r>
              <w:t>Sher Salber</w:t>
            </w:r>
            <w:r>
              <w:t>.</w:t>
            </w:r>
          </w:p>
          <w:p w:rsidR="00AD037B" w:rsidRDefault="00AD037B" w:rsidP="00A27471">
            <w:r>
              <w:t xml:space="preserve">The co-chairs will </w:t>
            </w:r>
            <w:r w:rsidR="001C4F73">
              <w:t>take PE</w:t>
            </w:r>
            <w:r w:rsidR="00B72671">
              <w:t xml:space="preserve"> 43 to</w:t>
            </w:r>
            <w:r>
              <w:t xml:space="preserve"> </w:t>
            </w:r>
            <w:r w:rsidR="00EE20BD">
              <w:t>CHLO later this month.</w:t>
            </w:r>
          </w:p>
          <w:p w:rsidR="00AD037B" w:rsidRDefault="00AD037B" w:rsidP="00A27471"/>
        </w:tc>
      </w:tr>
      <w:tr w:rsidR="002A4153" w:rsidRPr="00BD7F91" w:rsidTr="00827EE8">
        <w:trPr>
          <w:trHeight w:val="593"/>
        </w:trPr>
        <w:tc>
          <w:tcPr>
            <w:tcW w:w="3180" w:type="dxa"/>
            <w:vAlign w:val="center"/>
          </w:tcPr>
          <w:p w:rsidR="002A4153" w:rsidRPr="00B94C44" w:rsidRDefault="00B72671" w:rsidP="00350CAB">
            <w:pPr>
              <w:rPr>
                <w:rFonts w:asciiTheme="minorHAnsi" w:hAnsiTheme="minorHAnsi"/>
              </w:rPr>
            </w:pPr>
            <w:r>
              <w:t>HOPP Funds</w:t>
            </w:r>
          </w:p>
        </w:tc>
        <w:tc>
          <w:tcPr>
            <w:tcW w:w="1151" w:type="dxa"/>
            <w:gridSpan w:val="2"/>
            <w:vAlign w:val="center"/>
          </w:tcPr>
          <w:p w:rsidR="002A4153" w:rsidRPr="00B94C44" w:rsidRDefault="00533090" w:rsidP="00350C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Cecile Town</w:t>
            </w:r>
          </w:p>
        </w:tc>
        <w:tc>
          <w:tcPr>
            <w:tcW w:w="6080" w:type="dxa"/>
            <w:gridSpan w:val="2"/>
          </w:tcPr>
          <w:p w:rsidR="002A4153" w:rsidRPr="00B43DD0" w:rsidRDefault="00533090" w:rsidP="0085722C">
            <w:pPr>
              <w:pStyle w:val="A-1-Boldhead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The Hepatitis A funding recipients were announced.  Eight projects were funded with amounts ranging from $3,000 to $50,000.</w:t>
            </w:r>
            <w:r w:rsidR="00350CAB" w:rsidRPr="00B43DD0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Of the $300,000 available, $298,000 was distributed for local projects.  The projects spanned form working with local jails, unhoused populations, substance abuse providers, to STI clinics.  Those counties selected to receive funds include; Harney, Douglas, Deschutes, Washington, Lane, Malheur, Clackamas, and Multnomah. </w:t>
            </w:r>
            <w:r w:rsidR="006F6898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85722C">
              <w:rPr>
                <w:rFonts w:asciiTheme="minorHAnsi" w:hAnsiTheme="minorHAnsi"/>
                <w:b w:val="0"/>
                <w:sz w:val="22"/>
                <w:szCs w:val="22"/>
              </w:rPr>
              <w:t xml:space="preserve">Local counties </w:t>
            </w:r>
            <w:r w:rsidR="006F6898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85722C">
              <w:rPr>
                <w:rFonts w:asciiTheme="minorHAnsi" w:hAnsiTheme="minorHAnsi"/>
                <w:b w:val="0"/>
                <w:sz w:val="22"/>
                <w:szCs w:val="22"/>
              </w:rPr>
              <w:t>will provide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a summary of their </w:t>
            </w:r>
            <w:r w:rsidR="0085722C">
              <w:rPr>
                <w:rFonts w:asciiTheme="minorHAnsi" w:hAnsiTheme="minorHAnsi"/>
                <w:b w:val="0"/>
                <w:sz w:val="22"/>
                <w:szCs w:val="22"/>
              </w:rPr>
              <w:t>work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in June to CHLO. </w:t>
            </w:r>
          </w:p>
        </w:tc>
        <w:tc>
          <w:tcPr>
            <w:tcW w:w="3827" w:type="dxa"/>
          </w:tcPr>
          <w:p w:rsidR="002A4153" w:rsidRPr="00BD7F91" w:rsidRDefault="002A4153" w:rsidP="009314A1"/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2A4153" w:rsidRPr="00B94C44" w:rsidRDefault="007B486D" w:rsidP="00B35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Vaping Update</w:t>
            </w:r>
          </w:p>
        </w:tc>
        <w:tc>
          <w:tcPr>
            <w:tcW w:w="1151" w:type="dxa"/>
            <w:gridSpan w:val="2"/>
            <w:vAlign w:val="center"/>
          </w:tcPr>
          <w:p w:rsidR="002A4153" w:rsidRPr="00B94C44" w:rsidRDefault="0085722C" w:rsidP="007D24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Tasha Piossant </w:t>
            </w:r>
            <w:r w:rsidR="007B486D">
              <w:rPr>
                <w:rFonts w:asciiTheme="minorHAnsi" w:hAnsiTheme="minorHAnsi"/>
              </w:rPr>
              <w:t>from OHA</w:t>
            </w:r>
          </w:p>
        </w:tc>
        <w:tc>
          <w:tcPr>
            <w:tcW w:w="6080" w:type="dxa"/>
            <w:gridSpan w:val="2"/>
          </w:tcPr>
          <w:p w:rsidR="002A4153" w:rsidRPr="00BD7F91" w:rsidRDefault="00B051F1" w:rsidP="00F10B6E">
            <w:r>
              <w:t>Oregon has had</w:t>
            </w:r>
            <w:r w:rsidR="007B486D">
              <w:t xml:space="preserve"> 17 cases and 2 deaths due to vaping associated lung illness.  Some of the cases are under the age of 18 years.  Of the cases investigated by local public health staff</w:t>
            </w:r>
            <w:r>
              <w:t>,</w:t>
            </w:r>
            <w:r w:rsidR="007B486D">
              <w:t xml:space="preserve"> the individuals report vaping THC only, nicotine only, THC and nicotine and CBD.  OHA is offering ongoing Orpheus training for local staff</w:t>
            </w:r>
            <w:r w:rsidR="00F10B6E">
              <w:t>.</w:t>
            </w:r>
            <w:r w:rsidR="007B486D">
              <w:t xml:space="preserve"> Charlie said Benton County is seeing an increase in upper respiratory illnesses and asthma with a vaping history.  Paul responded that is why the case definition is so </w:t>
            </w:r>
            <w:r w:rsidR="00F10B6E">
              <w:t xml:space="preserve">precise. </w:t>
            </w:r>
            <w:r w:rsidR="007B486D">
              <w:t xml:space="preserve"> </w:t>
            </w:r>
            <w:r w:rsidR="00F10B6E">
              <w:t>He added the follow up of cases varies by states.</w:t>
            </w:r>
          </w:p>
        </w:tc>
        <w:tc>
          <w:tcPr>
            <w:tcW w:w="3827" w:type="dxa"/>
          </w:tcPr>
          <w:p w:rsidR="002A4153" w:rsidRPr="00BD7F91" w:rsidRDefault="00F10B6E" w:rsidP="00F10B6E">
            <w:r>
              <w:t xml:space="preserve">OHA staff has asked </w:t>
            </w:r>
            <w:r>
              <w:t xml:space="preserve">local public health </w:t>
            </w:r>
            <w:r>
              <w:t xml:space="preserve">staff to complete the intake form </w:t>
            </w:r>
            <w:r>
              <w:t>for all</w:t>
            </w:r>
            <w:r>
              <w:t xml:space="preserve"> reported cases if jurisdictions have the local capacity.  These forms should be forwarded to OHA. OHA staff will complete a review of the medical chart then will notify the local health department </w:t>
            </w:r>
            <w:r>
              <w:t>i</w:t>
            </w:r>
            <w:r>
              <w:t>f interview of</w:t>
            </w:r>
            <w:r>
              <w:t xml:space="preserve"> case is indicated.</w:t>
            </w:r>
            <w:r w:rsidR="009314A1">
              <w:t xml:space="preserve">  </w:t>
            </w:r>
          </w:p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2A4153" w:rsidRPr="001471DA" w:rsidRDefault="00F10B6E" w:rsidP="00B35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LTCF Project</w:t>
            </w:r>
          </w:p>
        </w:tc>
        <w:tc>
          <w:tcPr>
            <w:tcW w:w="1151" w:type="dxa"/>
            <w:gridSpan w:val="2"/>
            <w:vAlign w:val="center"/>
          </w:tcPr>
          <w:p w:rsidR="002A4153" w:rsidRPr="00B94C44" w:rsidRDefault="00F10B6E" w:rsidP="00A94A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Kathleen Rees</w:t>
            </w:r>
          </w:p>
        </w:tc>
        <w:tc>
          <w:tcPr>
            <w:tcW w:w="6080" w:type="dxa"/>
            <w:gridSpan w:val="2"/>
          </w:tcPr>
          <w:p w:rsidR="002A4153" w:rsidRPr="00BD7F91" w:rsidRDefault="00F10B6E" w:rsidP="00F10B6E">
            <w:r>
              <w:t xml:space="preserve">Washington County staff are looking for feedback on the toolkit from rural/small counties.  One of the elements of the toolkit is helping facilities develop isolation carts during outbreaks.  Washington County is hoping </w:t>
            </w:r>
            <w:r w:rsidR="00B051F1">
              <w:t>OHA will make the final toolkit</w:t>
            </w:r>
            <w:r>
              <w:t xml:space="preserve"> available across the state.  Sher Salber has reviewed the toolkit stated it is helpful.</w:t>
            </w:r>
          </w:p>
        </w:tc>
        <w:tc>
          <w:tcPr>
            <w:tcW w:w="3827" w:type="dxa"/>
          </w:tcPr>
          <w:p w:rsidR="002A4153" w:rsidRPr="00BD7F91" w:rsidRDefault="00F10B6E" w:rsidP="00E52B20">
            <w:r>
              <w:t xml:space="preserve">Members who wish to provide feedback on the toolkit should email Sue Liong at </w:t>
            </w:r>
            <w:hyperlink r:id="rId8" w:history="1">
              <w:r w:rsidRPr="00297086">
                <w:rPr>
                  <w:rStyle w:val="Hyperlink"/>
                </w:rPr>
                <w:t>Sue_Liong@co.washington.or.us</w:t>
              </w:r>
            </w:hyperlink>
            <w:r>
              <w:t xml:space="preserve"> </w:t>
            </w:r>
          </w:p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2A4153" w:rsidRDefault="00357EE5" w:rsidP="006F5082">
            <w:pPr>
              <w:rPr>
                <w:rFonts w:asciiTheme="minorHAnsi" w:hAnsiTheme="minorHAnsi"/>
              </w:rPr>
            </w:pPr>
            <w:r>
              <w:t xml:space="preserve">Work </w:t>
            </w:r>
            <w:r w:rsidR="006F5082">
              <w:t>P</w:t>
            </w:r>
            <w:r>
              <w:t>lan</w:t>
            </w:r>
          </w:p>
        </w:tc>
        <w:tc>
          <w:tcPr>
            <w:tcW w:w="1151" w:type="dxa"/>
            <w:gridSpan w:val="2"/>
            <w:vAlign w:val="center"/>
          </w:tcPr>
          <w:p w:rsidR="002A4153" w:rsidRDefault="00D511C7" w:rsidP="00A94A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Kathleen</w:t>
            </w:r>
            <w:r w:rsidR="00F10B6E">
              <w:rPr>
                <w:rFonts w:asciiTheme="minorHAnsi" w:hAnsiTheme="minorHAnsi"/>
              </w:rPr>
              <w:t xml:space="preserve"> Rees</w:t>
            </w:r>
          </w:p>
        </w:tc>
        <w:tc>
          <w:tcPr>
            <w:tcW w:w="6080" w:type="dxa"/>
            <w:gridSpan w:val="2"/>
          </w:tcPr>
          <w:p w:rsidR="002A4153" w:rsidRPr="00BD7F91" w:rsidRDefault="005C794A" w:rsidP="005C794A">
            <w:r>
              <w:t>Kathleen stated the</w:t>
            </w:r>
            <w:r w:rsidR="00F10B6E">
              <w:t xml:space="preserve"> charter is </w:t>
            </w:r>
            <w:r w:rsidR="00B051F1">
              <w:t>complete</w:t>
            </w:r>
            <w:r w:rsidR="00F10B6E">
              <w:t xml:space="preserve"> and </w:t>
            </w:r>
            <w:r>
              <w:t>asked</w:t>
            </w:r>
            <w:r w:rsidR="00F10B6E">
              <w:t xml:space="preserve"> for </w:t>
            </w:r>
            <w:r>
              <w:t>work</w:t>
            </w:r>
            <w:r w:rsidR="00F10B6E">
              <w:t xml:space="preserve"> plan ide</w:t>
            </w:r>
            <w:r>
              <w:t>a</w:t>
            </w:r>
            <w:r w:rsidR="00F10B6E">
              <w:t>s for the committee to move forward.</w:t>
            </w:r>
            <w:r>
              <w:t xml:space="preserve"> Bob Dannenhoffer suggested investigation of TB cases in small/rural counties if Heidi and OHA staff are available. The second suggestion was a cost analysis of measles cases. Andrea</w:t>
            </w:r>
            <w:r w:rsidR="0085722C">
              <w:t xml:space="preserve"> Krause</w:t>
            </w:r>
            <w:r>
              <w:t xml:space="preserve">, Lisa </w:t>
            </w:r>
            <w:r w:rsidR="0085722C">
              <w:t xml:space="preserve">Ferguson </w:t>
            </w:r>
            <w:r>
              <w:t>and Cindy</w:t>
            </w:r>
            <w:r w:rsidR="0085722C">
              <w:t xml:space="preserve"> Morgan</w:t>
            </w:r>
            <w:r>
              <w:t xml:space="preserve"> volunteered to begin thi</w:t>
            </w:r>
            <w:r w:rsidR="00B051F1">
              <w:t>s work</w:t>
            </w:r>
            <w:r>
              <w:t xml:space="preserve">. </w:t>
            </w:r>
          </w:p>
        </w:tc>
        <w:tc>
          <w:tcPr>
            <w:tcW w:w="3827" w:type="dxa"/>
          </w:tcPr>
          <w:p w:rsidR="002A4153" w:rsidRPr="00BD7F91" w:rsidRDefault="005C794A" w:rsidP="00853C71">
            <w:r>
              <w:t>If members have other ideas for the work</w:t>
            </w:r>
            <w:r w:rsidR="00B051F1">
              <w:t xml:space="preserve"> </w:t>
            </w:r>
            <w:r>
              <w:t xml:space="preserve">plan please send them to one of the co-chairs. </w:t>
            </w:r>
          </w:p>
        </w:tc>
      </w:tr>
    </w:tbl>
    <w:p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B444CF" w:rsidRPr="007852F9">
        <w:rPr>
          <w:b/>
          <w:sz w:val="24"/>
          <w:szCs w:val="24"/>
        </w:rPr>
        <w:t xml:space="preserve"> Cindy Morgan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D93EB1">
        <w:rPr>
          <w:b/>
          <w:sz w:val="24"/>
          <w:szCs w:val="24"/>
        </w:rPr>
        <w:t>Friday</w:t>
      </w:r>
      <w:r w:rsidR="00415959">
        <w:rPr>
          <w:b/>
          <w:sz w:val="24"/>
          <w:szCs w:val="24"/>
        </w:rPr>
        <w:t>,</w:t>
      </w:r>
      <w:r w:rsidR="00533090">
        <w:rPr>
          <w:b/>
          <w:sz w:val="24"/>
          <w:szCs w:val="24"/>
        </w:rPr>
        <w:t xml:space="preserve"> </w:t>
      </w:r>
      <w:r w:rsidR="005C794A">
        <w:rPr>
          <w:b/>
          <w:sz w:val="24"/>
          <w:szCs w:val="24"/>
        </w:rPr>
        <w:t>January 10, 2020</w:t>
      </w:r>
    </w:p>
    <w:sectPr w:rsidR="00E74F81" w:rsidSect="00116C37">
      <w:footerReference w:type="default" r:id="rId9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E23" w:rsidRDefault="00ED5E23" w:rsidP="003C38D2">
      <w:r>
        <w:separator/>
      </w:r>
    </w:p>
  </w:endnote>
  <w:endnote w:type="continuationSeparator" w:id="0">
    <w:p w:rsidR="00ED5E23" w:rsidRDefault="00ED5E23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E23" w:rsidRDefault="00ED5E23" w:rsidP="003C38D2">
      <w:r>
        <w:separator/>
      </w:r>
    </w:p>
  </w:footnote>
  <w:footnote w:type="continuationSeparator" w:id="0">
    <w:p w:rsidR="00ED5E23" w:rsidRDefault="00ED5E23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3D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6A9D"/>
    <w:rsid w:val="00090FD6"/>
    <w:rsid w:val="00092F6F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2CBE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56C4"/>
    <w:rsid w:val="001A25B0"/>
    <w:rsid w:val="001A3254"/>
    <w:rsid w:val="001B2AC8"/>
    <w:rsid w:val="001B464C"/>
    <w:rsid w:val="001C3022"/>
    <w:rsid w:val="001C4F73"/>
    <w:rsid w:val="001D330F"/>
    <w:rsid w:val="001D48BD"/>
    <w:rsid w:val="001D491E"/>
    <w:rsid w:val="001D5E37"/>
    <w:rsid w:val="001F0F50"/>
    <w:rsid w:val="001F3DC9"/>
    <w:rsid w:val="001F5E4C"/>
    <w:rsid w:val="00201C72"/>
    <w:rsid w:val="00205CA6"/>
    <w:rsid w:val="00212C17"/>
    <w:rsid w:val="002165AC"/>
    <w:rsid w:val="00216974"/>
    <w:rsid w:val="002239FD"/>
    <w:rsid w:val="00230639"/>
    <w:rsid w:val="0023229F"/>
    <w:rsid w:val="00232923"/>
    <w:rsid w:val="00245DF8"/>
    <w:rsid w:val="00266CB4"/>
    <w:rsid w:val="002926B2"/>
    <w:rsid w:val="002A0CD7"/>
    <w:rsid w:val="002A4153"/>
    <w:rsid w:val="002A5024"/>
    <w:rsid w:val="002C7F74"/>
    <w:rsid w:val="002D1E65"/>
    <w:rsid w:val="002D3597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72A2"/>
    <w:rsid w:val="0031009F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A0960"/>
    <w:rsid w:val="003A1522"/>
    <w:rsid w:val="003A2BB1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6927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11EAC"/>
    <w:rsid w:val="005207A1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80D13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B31AF"/>
    <w:rsid w:val="007B3A52"/>
    <w:rsid w:val="007B486D"/>
    <w:rsid w:val="007B5DAB"/>
    <w:rsid w:val="007C151F"/>
    <w:rsid w:val="007C7A37"/>
    <w:rsid w:val="007D1533"/>
    <w:rsid w:val="007D24A3"/>
    <w:rsid w:val="007D7B06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45CA8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842C6"/>
    <w:rsid w:val="009871D3"/>
    <w:rsid w:val="00992C71"/>
    <w:rsid w:val="009A336D"/>
    <w:rsid w:val="009A7837"/>
    <w:rsid w:val="009B54A7"/>
    <w:rsid w:val="009C13E6"/>
    <w:rsid w:val="009C67DF"/>
    <w:rsid w:val="009D0995"/>
    <w:rsid w:val="009D6D11"/>
    <w:rsid w:val="009E56D8"/>
    <w:rsid w:val="00A03EC0"/>
    <w:rsid w:val="00A128EA"/>
    <w:rsid w:val="00A131D2"/>
    <w:rsid w:val="00A1346F"/>
    <w:rsid w:val="00A27471"/>
    <w:rsid w:val="00A305C1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A31"/>
    <w:rsid w:val="00A94A42"/>
    <w:rsid w:val="00A97532"/>
    <w:rsid w:val="00AA016B"/>
    <w:rsid w:val="00AA2787"/>
    <w:rsid w:val="00AA54E1"/>
    <w:rsid w:val="00AC55CF"/>
    <w:rsid w:val="00AD037B"/>
    <w:rsid w:val="00AD06E8"/>
    <w:rsid w:val="00AD4D55"/>
    <w:rsid w:val="00AE26C8"/>
    <w:rsid w:val="00AE3AFE"/>
    <w:rsid w:val="00AE7F14"/>
    <w:rsid w:val="00AF102C"/>
    <w:rsid w:val="00B051F1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624F2"/>
    <w:rsid w:val="00B63DA2"/>
    <w:rsid w:val="00B67CA3"/>
    <w:rsid w:val="00B72671"/>
    <w:rsid w:val="00B74435"/>
    <w:rsid w:val="00B8081F"/>
    <w:rsid w:val="00B81011"/>
    <w:rsid w:val="00B8445A"/>
    <w:rsid w:val="00B910BA"/>
    <w:rsid w:val="00B94C44"/>
    <w:rsid w:val="00BA33B2"/>
    <w:rsid w:val="00BB772E"/>
    <w:rsid w:val="00BC057B"/>
    <w:rsid w:val="00BC2688"/>
    <w:rsid w:val="00BD083A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523E7"/>
    <w:rsid w:val="00C53201"/>
    <w:rsid w:val="00C541EA"/>
    <w:rsid w:val="00C62BDE"/>
    <w:rsid w:val="00C64D6B"/>
    <w:rsid w:val="00C652D7"/>
    <w:rsid w:val="00C745C1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3B0F"/>
    <w:rsid w:val="00CF7F67"/>
    <w:rsid w:val="00D01939"/>
    <w:rsid w:val="00D0299A"/>
    <w:rsid w:val="00D0718F"/>
    <w:rsid w:val="00D25437"/>
    <w:rsid w:val="00D279EC"/>
    <w:rsid w:val="00D32C99"/>
    <w:rsid w:val="00D35189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C59C0"/>
    <w:rsid w:val="00DD40F3"/>
    <w:rsid w:val="00DE7895"/>
    <w:rsid w:val="00DF2EEA"/>
    <w:rsid w:val="00DF4262"/>
    <w:rsid w:val="00E011FE"/>
    <w:rsid w:val="00E0478D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40AE"/>
    <w:rsid w:val="00ED5E23"/>
    <w:rsid w:val="00ED5F68"/>
    <w:rsid w:val="00EE20BD"/>
    <w:rsid w:val="00EE3D11"/>
    <w:rsid w:val="00F002F4"/>
    <w:rsid w:val="00F03FA9"/>
    <w:rsid w:val="00F0583A"/>
    <w:rsid w:val="00F10B6E"/>
    <w:rsid w:val="00F1140B"/>
    <w:rsid w:val="00F16383"/>
    <w:rsid w:val="00F2400D"/>
    <w:rsid w:val="00F25634"/>
    <w:rsid w:val="00F30586"/>
    <w:rsid w:val="00F32CF1"/>
    <w:rsid w:val="00F4022E"/>
    <w:rsid w:val="00F40D3F"/>
    <w:rsid w:val="00F426B3"/>
    <w:rsid w:val="00F5027A"/>
    <w:rsid w:val="00F53718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_Liong@co.washington.or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5BB7-0EE0-447A-A16C-2DD58721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MORGAN Cindy K</cp:lastModifiedBy>
  <cp:revision>5</cp:revision>
  <cp:lastPrinted>2019-01-11T17:57:00Z</cp:lastPrinted>
  <dcterms:created xsi:type="dcterms:W3CDTF">2019-11-14T17:50:00Z</dcterms:created>
  <dcterms:modified xsi:type="dcterms:W3CDTF">2019-11-15T22:40:00Z</dcterms:modified>
</cp:coreProperties>
</file>