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306CF" w14:textId="5D797038" w:rsidR="002B638B" w:rsidRPr="000A1530" w:rsidRDefault="00F2333F" w:rsidP="002B638B">
      <w:pPr>
        <w:spacing w:after="0" w:line="240" w:lineRule="auto"/>
        <w:jc w:val="center"/>
        <w:rPr>
          <w:b/>
          <w:szCs w:val="28"/>
        </w:rPr>
      </w:pPr>
      <w:r>
        <w:rPr>
          <w:b/>
          <w:sz w:val="28"/>
          <w:szCs w:val="28"/>
        </w:rPr>
        <w:t xml:space="preserve">      </w:t>
      </w:r>
      <w:r w:rsidR="00213508">
        <w:rPr>
          <w:b/>
          <w:sz w:val="28"/>
          <w:szCs w:val="28"/>
        </w:rPr>
        <w:tab/>
      </w:r>
      <w:r w:rsidR="002B638B" w:rsidRPr="000A1530">
        <w:rPr>
          <w:b/>
          <w:szCs w:val="28"/>
        </w:rPr>
        <w:t xml:space="preserve">CLHO Communicable Disease Committee </w:t>
      </w:r>
      <w:r w:rsidR="00FD6B12">
        <w:rPr>
          <w:b/>
          <w:szCs w:val="28"/>
        </w:rPr>
        <w:t>Minutes</w:t>
      </w:r>
    </w:p>
    <w:p w14:paraId="6D790FCF" w14:textId="0F279A2B" w:rsidR="002B638B" w:rsidRPr="000A1530" w:rsidRDefault="002B638B" w:rsidP="002B638B">
      <w:pPr>
        <w:spacing w:after="0" w:line="240" w:lineRule="auto"/>
        <w:jc w:val="center"/>
        <w:rPr>
          <w:b/>
          <w:szCs w:val="28"/>
        </w:rPr>
      </w:pPr>
      <w:r>
        <w:rPr>
          <w:b/>
          <w:szCs w:val="28"/>
        </w:rPr>
        <w:t>Date:</w:t>
      </w:r>
      <w:r w:rsidRPr="000A1530">
        <w:rPr>
          <w:b/>
          <w:szCs w:val="28"/>
        </w:rPr>
        <w:t xml:space="preserve"> </w:t>
      </w:r>
      <w:r w:rsidR="00307D8B">
        <w:rPr>
          <w:b/>
          <w:szCs w:val="28"/>
        </w:rPr>
        <w:t>March 10, 2023</w:t>
      </w:r>
    </w:p>
    <w:p w14:paraId="58606585" w14:textId="77777777" w:rsidR="002B638B" w:rsidRPr="002B638B" w:rsidRDefault="002B638B" w:rsidP="00ED1865">
      <w:pPr>
        <w:pStyle w:val="Header"/>
        <w:spacing w:after="120"/>
        <w:contextualSpacing/>
        <w:jc w:val="center"/>
        <w:rPr>
          <w:b/>
          <w:sz w:val="20"/>
        </w:rPr>
      </w:pPr>
      <w:r w:rsidRPr="002B638B">
        <w:rPr>
          <w:b/>
          <w:szCs w:val="24"/>
        </w:rPr>
        <w:t>Time: 10:00 a.m. – 11:00 a.m.</w:t>
      </w:r>
    </w:p>
    <w:p w14:paraId="004CB8AF" w14:textId="79608D04" w:rsidR="00ED1865" w:rsidRPr="0080442C" w:rsidRDefault="007D364B" w:rsidP="00ED1865">
      <w:pPr>
        <w:spacing w:line="240" w:lineRule="auto"/>
        <w:contextualSpacing/>
        <w:rPr>
          <w:bCs/>
        </w:rPr>
      </w:pPr>
      <w:r w:rsidRPr="0080442C">
        <w:rPr>
          <w:bCs/>
        </w:rPr>
        <w:t xml:space="preserve">Committee Attendees: </w:t>
      </w:r>
    </w:p>
    <w:p w14:paraId="1EE4435B" w14:textId="021F97D9" w:rsidR="00ED1865" w:rsidRPr="0080442C" w:rsidRDefault="00ED1865" w:rsidP="00ED1865">
      <w:pPr>
        <w:spacing w:line="240" w:lineRule="auto"/>
        <w:ind w:left="180" w:hanging="180"/>
        <w:contextualSpacing/>
        <w:rPr>
          <w:bCs/>
        </w:rPr>
      </w:pPr>
      <w:r w:rsidRPr="0080442C">
        <w:rPr>
          <w:bCs/>
          <w:u w:val="single"/>
        </w:rPr>
        <w:t>Members</w:t>
      </w:r>
      <w:r w:rsidRPr="0080442C">
        <w:rPr>
          <w:bCs/>
        </w:rPr>
        <w:t xml:space="preserve">: </w:t>
      </w:r>
      <w:r w:rsidR="00E94F1F" w:rsidRPr="0080442C">
        <w:rPr>
          <w:bCs/>
        </w:rPr>
        <w:t>Gerald Dyer, Anna Summer,</w:t>
      </w:r>
      <w:r w:rsidR="00307D8B" w:rsidRPr="0080442C">
        <w:rPr>
          <w:bCs/>
        </w:rPr>
        <w:t xml:space="preserve"> </w:t>
      </w:r>
      <w:r w:rsidR="00E94F1F" w:rsidRPr="0080442C">
        <w:rPr>
          <w:bCs/>
        </w:rPr>
        <w:t xml:space="preserve">Lisa McClean, </w:t>
      </w:r>
      <w:r w:rsidR="00307D8B" w:rsidRPr="0080442C">
        <w:rPr>
          <w:bCs/>
        </w:rPr>
        <w:t xml:space="preserve">Lillia Rodgers, </w:t>
      </w:r>
      <w:r w:rsidR="00D922CE" w:rsidRPr="0080442C">
        <w:rPr>
          <w:bCs/>
        </w:rPr>
        <w:t xml:space="preserve">Bob Dannenhoffer, </w:t>
      </w:r>
      <w:r w:rsidR="00307D8B" w:rsidRPr="0080442C">
        <w:rPr>
          <w:bCs/>
        </w:rPr>
        <w:t>Jessica Winegar</w:t>
      </w:r>
      <w:r w:rsidR="00E94F1F" w:rsidRPr="0080442C">
        <w:rPr>
          <w:bCs/>
        </w:rPr>
        <w:t>, Andrea Krause,</w:t>
      </w:r>
      <w:r w:rsidR="00E52FBA" w:rsidRPr="0080442C">
        <w:rPr>
          <w:bCs/>
        </w:rPr>
        <w:t xml:space="preserve"> </w:t>
      </w:r>
      <w:r w:rsidR="00D922CE" w:rsidRPr="0080442C">
        <w:rPr>
          <w:bCs/>
        </w:rPr>
        <w:t xml:space="preserve">Bailey Burkhalter, </w:t>
      </w:r>
      <w:r w:rsidR="00E94F1F" w:rsidRPr="0080442C">
        <w:rPr>
          <w:bCs/>
        </w:rPr>
        <w:t>Katharine Carvelli,</w:t>
      </w:r>
      <w:r w:rsidR="00307D8B" w:rsidRPr="0080442C">
        <w:rPr>
          <w:bCs/>
        </w:rPr>
        <w:t xml:space="preserve"> Nicole Sticka, </w:t>
      </w:r>
      <w:r w:rsidRPr="0080442C">
        <w:rPr>
          <w:bCs/>
        </w:rPr>
        <w:t>Tyra Jansson,</w:t>
      </w:r>
      <w:r w:rsidR="00307D8B" w:rsidRPr="0080442C">
        <w:rPr>
          <w:bCs/>
        </w:rPr>
        <w:t xml:space="preserve"> Nikki Jasper, Wendy Zieker, </w:t>
      </w:r>
      <w:r w:rsidRPr="0080442C">
        <w:rPr>
          <w:bCs/>
        </w:rPr>
        <w:t xml:space="preserve"> Robin Canaday, Sara McCall, Russel Barlow, </w:t>
      </w:r>
      <w:r w:rsidR="00B81FCD" w:rsidRPr="0080442C">
        <w:rPr>
          <w:bCs/>
        </w:rPr>
        <w:t xml:space="preserve">Emily Brateng, Jon Hitzman, </w:t>
      </w:r>
      <w:r w:rsidRPr="0080442C">
        <w:rPr>
          <w:bCs/>
        </w:rPr>
        <w:t xml:space="preserve">Kathleen Rees, </w:t>
      </w:r>
      <w:r w:rsidR="00B81FCD" w:rsidRPr="0080442C">
        <w:rPr>
          <w:bCs/>
        </w:rPr>
        <w:t xml:space="preserve">Brian Leon, </w:t>
      </w:r>
      <w:r w:rsidRPr="0080442C">
        <w:rPr>
          <w:bCs/>
        </w:rPr>
        <w:t>Abigail Gray</w:t>
      </w:r>
    </w:p>
    <w:p w14:paraId="390DB17B" w14:textId="77777777" w:rsidR="00DC4B45" w:rsidRPr="0080442C" w:rsidRDefault="00DC4B45" w:rsidP="00ED1865">
      <w:pPr>
        <w:spacing w:line="240" w:lineRule="auto"/>
        <w:ind w:left="180" w:hanging="180"/>
        <w:contextualSpacing/>
        <w:rPr>
          <w:bCs/>
        </w:rPr>
      </w:pPr>
    </w:p>
    <w:p w14:paraId="3E25B890" w14:textId="77777777" w:rsidR="00307D8B" w:rsidRPr="0080442C" w:rsidRDefault="00ED1865" w:rsidP="00307D8B">
      <w:pPr>
        <w:spacing w:line="240" w:lineRule="auto"/>
        <w:contextualSpacing/>
        <w:rPr>
          <w:bCs/>
        </w:rPr>
      </w:pPr>
      <w:r w:rsidRPr="0080442C">
        <w:rPr>
          <w:bCs/>
          <w:u w:val="single"/>
        </w:rPr>
        <w:t>Additional Non-LPHA Staff</w:t>
      </w:r>
      <w:r w:rsidRPr="0080442C">
        <w:rPr>
          <w:bCs/>
        </w:rPr>
        <w:t xml:space="preserve">: </w:t>
      </w:r>
      <w:r w:rsidR="00307D8B" w:rsidRPr="0080442C">
        <w:rPr>
          <w:bCs/>
        </w:rPr>
        <w:t>Faith Soto, Debbie George, Sarah Zia</w:t>
      </w:r>
    </w:p>
    <w:p w14:paraId="77ED74C5" w14:textId="48264C25" w:rsidR="00763473" w:rsidRPr="0080442C" w:rsidRDefault="00763473" w:rsidP="00ED1865">
      <w:pPr>
        <w:spacing w:line="240" w:lineRule="auto"/>
        <w:contextualSpacing/>
        <w:rPr>
          <w:bCs/>
        </w:rPr>
      </w:pPr>
    </w:p>
    <w:p w14:paraId="3B251D78" w14:textId="2BBB3AD9" w:rsidR="00B81FCD" w:rsidRPr="0080442C" w:rsidRDefault="007D364B" w:rsidP="007D364B">
      <w:pPr>
        <w:spacing w:line="240" w:lineRule="auto"/>
        <w:contextualSpacing/>
        <w:rPr>
          <w:bCs/>
        </w:rPr>
      </w:pPr>
      <w:r w:rsidRPr="0080442C">
        <w:rPr>
          <w:bCs/>
          <w:u w:val="single"/>
        </w:rPr>
        <w:t>OHA Attendees</w:t>
      </w:r>
      <w:r w:rsidRPr="0080442C">
        <w:rPr>
          <w:bCs/>
        </w:rPr>
        <w:t xml:space="preserve">: </w:t>
      </w:r>
      <w:r w:rsidR="00ED1865" w:rsidRPr="0080442C">
        <w:rPr>
          <w:bCs/>
        </w:rPr>
        <w:t xml:space="preserve"> </w:t>
      </w:r>
      <w:r w:rsidR="007676EA" w:rsidRPr="0080442C">
        <w:rPr>
          <w:bCs/>
        </w:rPr>
        <w:t xml:space="preserve">Paul Cieslak, </w:t>
      </w:r>
      <w:r w:rsidR="00B81FCD" w:rsidRPr="0080442C">
        <w:rPr>
          <w:bCs/>
        </w:rPr>
        <w:t xml:space="preserve">Lex Zhang, </w:t>
      </w:r>
      <w:r w:rsidR="007676EA" w:rsidRPr="0080442C">
        <w:rPr>
          <w:bCs/>
        </w:rPr>
        <w:t xml:space="preserve"> Orion McCotter, </w:t>
      </w:r>
      <w:r w:rsidR="00B81FCD" w:rsidRPr="0080442C">
        <w:rPr>
          <w:bCs/>
        </w:rPr>
        <w:t>Sara Beaudrault, Joanna McClain, Susan Wickstrom, Rex Larsen, Kelly McDonald, Albert Koroloff, Jennifer Brown</w:t>
      </w:r>
    </w:p>
    <w:p w14:paraId="04B86280" w14:textId="5B21C2F8" w:rsidR="00CA6223" w:rsidRPr="0080442C" w:rsidRDefault="00CA6223" w:rsidP="007D364B">
      <w:pPr>
        <w:spacing w:line="240" w:lineRule="auto"/>
        <w:contextualSpacing/>
        <w:rPr>
          <w:bCs/>
        </w:rPr>
      </w:pPr>
      <w:r w:rsidRPr="0080442C">
        <w:rPr>
          <w:bCs/>
        </w:rPr>
        <w:t>Other</w:t>
      </w:r>
      <w:r w:rsidR="0080442C">
        <w:rPr>
          <w:bCs/>
        </w:rPr>
        <w:t>:</w:t>
      </w:r>
    </w:p>
    <w:p w14:paraId="5B094A82" w14:textId="57A15708" w:rsidR="00B81FCD" w:rsidRPr="0080442C" w:rsidRDefault="00E5277F" w:rsidP="0080442C">
      <w:pPr>
        <w:spacing w:line="240" w:lineRule="auto"/>
        <w:contextualSpacing/>
        <w:rPr>
          <w:bCs/>
        </w:rPr>
      </w:pPr>
      <w:r w:rsidRPr="0080442C">
        <w:rPr>
          <w:bCs/>
        </w:rPr>
        <w:t>Guest</w:t>
      </w:r>
      <w:r w:rsidR="00580537" w:rsidRPr="0080442C">
        <w:rPr>
          <w:bCs/>
        </w:rPr>
        <w:t>s</w:t>
      </w:r>
      <w:r w:rsidRPr="0080442C">
        <w:rPr>
          <w:bCs/>
        </w:rPr>
        <w:t xml:space="preserve">: </w:t>
      </w:r>
    </w:p>
    <w:p w14:paraId="4D4C76C4" w14:textId="1AECD04C" w:rsidR="000A1530" w:rsidRPr="001F3168" w:rsidRDefault="000A1530" w:rsidP="000A1530">
      <w:pPr>
        <w:spacing w:after="0" w:line="240" w:lineRule="auto"/>
        <w:rPr>
          <w:b/>
          <w:i/>
          <w:iCs/>
          <w:sz w:val="20"/>
          <w:szCs w:val="28"/>
        </w:rPr>
      </w:pPr>
    </w:p>
    <w:p w14:paraId="04D3020D" w14:textId="77777777" w:rsidR="007D2536" w:rsidRPr="00F2333F" w:rsidRDefault="007D2536" w:rsidP="00BE3D69">
      <w:pPr>
        <w:spacing w:after="0" w:line="240" w:lineRule="auto"/>
        <w:rPr>
          <w:sz w:val="8"/>
          <w:szCs w:val="8"/>
        </w:rPr>
      </w:pPr>
    </w:p>
    <w:tbl>
      <w:tblPr>
        <w:tblStyle w:val="TableGrid"/>
        <w:tblW w:w="14665" w:type="dxa"/>
        <w:jc w:val="center"/>
        <w:tblLayout w:type="fixed"/>
        <w:tblLook w:val="04A0" w:firstRow="1" w:lastRow="0" w:firstColumn="1" w:lastColumn="0" w:noHBand="0" w:noVBand="1"/>
      </w:tblPr>
      <w:tblGrid>
        <w:gridCol w:w="1885"/>
        <w:gridCol w:w="1800"/>
        <w:gridCol w:w="8280"/>
        <w:gridCol w:w="2700"/>
      </w:tblGrid>
      <w:tr w:rsidR="000A1530" w:rsidRPr="00BE3D69" w14:paraId="19EF1B73" w14:textId="77777777" w:rsidTr="00877FA0">
        <w:trPr>
          <w:trHeight w:val="347"/>
          <w:jc w:val="center"/>
        </w:trPr>
        <w:tc>
          <w:tcPr>
            <w:tcW w:w="1885" w:type="dxa"/>
            <w:shd w:val="clear" w:color="auto" w:fill="D9D9D9" w:themeFill="background1" w:themeFillShade="D9"/>
          </w:tcPr>
          <w:p w14:paraId="2E025735" w14:textId="77777777" w:rsidR="000A1530" w:rsidRPr="000A1530" w:rsidRDefault="000A1530" w:rsidP="000A1530">
            <w:pPr>
              <w:jc w:val="center"/>
              <w:rPr>
                <w:b/>
                <w:u w:val="single"/>
              </w:rPr>
            </w:pPr>
            <w:r w:rsidRPr="000A1530">
              <w:rPr>
                <w:b/>
                <w:u w:val="single"/>
              </w:rPr>
              <w:t>Agenda Item</w:t>
            </w:r>
          </w:p>
        </w:tc>
        <w:tc>
          <w:tcPr>
            <w:tcW w:w="1800" w:type="dxa"/>
            <w:shd w:val="clear" w:color="auto" w:fill="D9D9D9" w:themeFill="background1" w:themeFillShade="D9"/>
          </w:tcPr>
          <w:p w14:paraId="3ED8B205" w14:textId="62FAEFB3" w:rsidR="000A1530" w:rsidRPr="000A1530" w:rsidRDefault="000A1530" w:rsidP="000A1530">
            <w:pPr>
              <w:jc w:val="center"/>
              <w:rPr>
                <w:b/>
                <w:u w:val="single"/>
              </w:rPr>
            </w:pPr>
            <w:r w:rsidRPr="000A1530">
              <w:rPr>
                <w:b/>
                <w:u w:val="single"/>
              </w:rPr>
              <w:t>Lead</w:t>
            </w:r>
          </w:p>
        </w:tc>
        <w:tc>
          <w:tcPr>
            <w:tcW w:w="8280" w:type="dxa"/>
            <w:shd w:val="clear" w:color="auto" w:fill="D9D9D9" w:themeFill="background1" w:themeFillShade="D9"/>
          </w:tcPr>
          <w:p w14:paraId="2AD865B8" w14:textId="087D0295" w:rsidR="000A1530" w:rsidRPr="000A1530" w:rsidRDefault="000A1530" w:rsidP="000A1530">
            <w:pPr>
              <w:jc w:val="center"/>
              <w:rPr>
                <w:b/>
                <w:u w:val="single"/>
              </w:rPr>
            </w:pPr>
            <w:r w:rsidRPr="000A1530">
              <w:rPr>
                <w:b/>
                <w:u w:val="single"/>
              </w:rPr>
              <w:t>Detail</w:t>
            </w:r>
          </w:p>
        </w:tc>
        <w:tc>
          <w:tcPr>
            <w:tcW w:w="2700" w:type="dxa"/>
            <w:shd w:val="clear" w:color="auto" w:fill="D9D9D9" w:themeFill="background1" w:themeFillShade="D9"/>
          </w:tcPr>
          <w:p w14:paraId="7174690D" w14:textId="4A9D2F3B" w:rsidR="000A1530" w:rsidRPr="000A1530" w:rsidRDefault="000A1530" w:rsidP="000A1530">
            <w:pPr>
              <w:jc w:val="center"/>
              <w:rPr>
                <w:b/>
                <w:u w:val="single"/>
              </w:rPr>
            </w:pPr>
            <w:r w:rsidRPr="000A1530">
              <w:rPr>
                <w:b/>
                <w:u w:val="single"/>
              </w:rPr>
              <w:t>Action &amp; Responsibilities</w:t>
            </w:r>
          </w:p>
        </w:tc>
      </w:tr>
      <w:tr w:rsidR="000A1530" w14:paraId="59A30539" w14:textId="77777777" w:rsidTr="00877FA0">
        <w:trPr>
          <w:trHeight w:val="305"/>
          <w:jc w:val="center"/>
        </w:trPr>
        <w:tc>
          <w:tcPr>
            <w:tcW w:w="1885" w:type="dxa"/>
            <w:vAlign w:val="center"/>
          </w:tcPr>
          <w:p w14:paraId="04FCCAD8" w14:textId="299394B6" w:rsidR="000A1530" w:rsidRDefault="000A1530" w:rsidP="000A1530">
            <w:r>
              <w:t xml:space="preserve">Welcome and roll call </w:t>
            </w:r>
          </w:p>
        </w:tc>
        <w:tc>
          <w:tcPr>
            <w:tcW w:w="1800" w:type="dxa"/>
            <w:vAlign w:val="center"/>
          </w:tcPr>
          <w:p w14:paraId="1562F551" w14:textId="580AD188" w:rsidR="000A1530" w:rsidRDefault="000A1530" w:rsidP="000A1530">
            <w:r>
              <w:t>Co-chairs</w:t>
            </w:r>
          </w:p>
        </w:tc>
        <w:tc>
          <w:tcPr>
            <w:tcW w:w="8280" w:type="dxa"/>
          </w:tcPr>
          <w:p w14:paraId="70FE7F8E" w14:textId="2805254B" w:rsidR="000A1530" w:rsidRPr="00763473" w:rsidRDefault="000A1530" w:rsidP="00ED1865">
            <w:pPr>
              <w:rPr>
                <w:highlight w:val="yellow"/>
              </w:rPr>
            </w:pPr>
            <w:r w:rsidRPr="0004295C">
              <w:t>Quorum</w:t>
            </w:r>
            <w:r w:rsidR="00877FA0">
              <w:t xml:space="preserve"> met. </w:t>
            </w:r>
          </w:p>
        </w:tc>
        <w:tc>
          <w:tcPr>
            <w:tcW w:w="2700" w:type="dxa"/>
            <w:vAlign w:val="center"/>
          </w:tcPr>
          <w:p w14:paraId="3D67FEB4" w14:textId="5B5DE2A6" w:rsidR="000A1530" w:rsidRDefault="000A1530" w:rsidP="000A1530"/>
        </w:tc>
      </w:tr>
      <w:tr w:rsidR="000A1530" w14:paraId="54D7ECF2" w14:textId="77777777" w:rsidTr="00877FA0">
        <w:trPr>
          <w:trHeight w:val="638"/>
          <w:jc w:val="center"/>
        </w:trPr>
        <w:tc>
          <w:tcPr>
            <w:tcW w:w="1885" w:type="dxa"/>
          </w:tcPr>
          <w:p w14:paraId="18D14D0F" w14:textId="08F0A892" w:rsidR="000A1530" w:rsidRDefault="000A1530" w:rsidP="000A1530">
            <w:r>
              <w:t>Approve minutes</w:t>
            </w:r>
          </w:p>
        </w:tc>
        <w:tc>
          <w:tcPr>
            <w:tcW w:w="1800" w:type="dxa"/>
          </w:tcPr>
          <w:p w14:paraId="4B60BE7D" w14:textId="321530B7" w:rsidR="000A1530" w:rsidRDefault="000A1530" w:rsidP="000A1530">
            <w:r>
              <w:t>Co-chairs</w:t>
            </w:r>
          </w:p>
        </w:tc>
        <w:tc>
          <w:tcPr>
            <w:tcW w:w="8280" w:type="dxa"/>
          </w:tcPr>
          <w:p w14:paraId="7594EABB" w14:textId="4CAB688D" w:rsidR="00143D68" w:rsidRDefault="0004295C" w:rsidP="00ED1865">
            <w:r>
              <w:t>Any additions or changes</w:t>
            </w:r>
            <w:r w:rsidR="00143D68">
              <w:t xml:space="preserve">: </w:t>
            </w:r>
            <w:r w:rsidR="00FE36EC">
              <w:t xml:space="preserve">none </w:t>
            </w:r>
          </w:p>
          <w:p w14:paraId="7F413B3F" w14:textId="21765B3C" w:rsidR="008A39D4" w:rsidRDefault="0004295C" w:rsidP="008A39D4">
            <w:r>
              <w:t xml:space="preserve">Motion to approve: </w:t>
            </w:r>
            <w:r w:rsidR="00E3144B">
              <w:t>Lisa McClean, Clatsop</w:t>
            </w:r>
          </w:p>
          <w:p w14:paraId="3085EEEC" w14:textId="6BBFAB06" w:rsidR="00143D68" w:rsidRDefault="008A39D4" w:rsidP="008A39D4">
            <w:r>
              <w:t xml:space="preserve">Seconded: </w:t>
            </w:r>
            <w:r w:rsidR="00E3144B">
              <w:t>Andrea Krause, Jackson</w:t>
            </w:r>
          </w:p>
        </w:tc>
        <w:tc>
          <w:tcPr>
            <w:tcW w:w="2700" w:type="dxa"/>
          </w:tcPr>
          <w:p w14:paraId="7D5F8756" w14:textId="22E614E9" w:rsidR="000A1530" w:rsidRDefault="000A1530" w:rsidP="000A1530"/>
        </w:tc>
      </w:tr>
      <w:tr w:rsidR="000A1530" w14:paraId="315E7CA0" w14:textId="77777777" w:rsidTr="00877FA0">
        <w:trPr>
          <w:trHeight w:val="432"/>
          <w:jc w:val="center"/>
        </w:trPr>
        <w:tc>
          <w:tcPr>
            <w:tcW w:w="1885" w:type="dxa"/>
          </w:tcPr>
          <w:p w14:paraId="18F64F59" w14:textId="33214364" w:rsidR="00B341AD" w:rsidRDefault="002C2AF4" w:rsidP="000A1530">
            <w:r>
              <w:t>IQIP</w:t>
            </w:r>
          </w:p>
        </w:tc>
        <w:tc>
          <w:tcPr>
            <w:tcW w:w="1800" w:type="dxa"/>
          </w:tcPr>
          <w:p w14:paraId="4E4194A7" w14:textId="77777777" w:rsidR="002C2AF4" w:rsidRDefault="002C2AF4" w:rsidP="002C2AF4">
            <w:r>
              <w:t xml:space="preserve">Rex Larsen, </w:t>
            </w:r>
          </w:p>
          <w:p w14:paraId="44F0B18B" w14:textId="77777777" w:rsidR="002C2AF4" w:rsidRDefault="002C2AF4" w:rsidP="002C2AF4">
            <w:r>
              <w:t>Immunization Surveillance and Quality Manager, Oregon Immunization Program (OIP)</w:t>
            </w:r>
          </w:p>
          <w:p w14:paraId="04F6C042" w14:textId="79D5A446" w:rsidR="000A1530" w:rsidRDefault="000A1530" w:rsidP="000A1530"/>
        </w:tc>
        <w:tc>
          <w:tcPr>
            <w:tcW w:w="8280" w:type="dxa"/>
          </w:tcPr>
          <w:p w14:paraId="601E2A95" w14:textId="77777777" w:rsidR="00A46222" w:rsidRDefault="00A46222" w:rsidP="00A46222">
            <w:r>
              <w:t xml:space="preserve">Review vaccine rates for 2-year-olds and adolescence. </w:t>
            </w:r>
          </w:p>
          <w:p w14:paraId="04441B22" w14:textId="0AC3BAF5" w:rsidR="00A46222" w:rsidRDefault="00A46222" w:rsidP="00A46222">
            <w:r>
              <w:t>Discuss Immunization Quality Improvement for Providers (IQIP) and the possibility of partnering with LPHAs.</w:t>
            </w:r>
          </w:p>
          <w:p w14:paraId="11E7F717" w14:textId="0AFED5AC" w:rsidR="005B2EA4" w:rsidRDefault="005B2EA4" w:rsidP="00A46222"/>
          <w:p w14:paraId="5CDFB367" w14:textId="77777777" w:rsidR="005B2EA4" w:rsidRPr="00AB4148" w:rsidRDefault="005B2EA4" w:rsidP="005B2EA4">
            <w:pPr>
              <w:rPr>
                <w:b/>
                <w:bCs/>
              </w:rPr>
            </w:pPr>
            <w:r w:rsidRPr="00AB4148">
              <w:rPr>
                <w:b/>
                <w:bCs/>
              </w:rPr>
              <w:t>1) Current Immunization rates for 2-year-olds and adolescents.</w:t>
            </w:r>
          </w:p>
          <w:p w14:paraId="281377C1" w14:textId="77777777" w:rsidR="009810CE" w:rsidRDefault="005B2EA4" w:rsidP="005B2EA4">
            <w:r>
              <w:t xml:space="preserve">The statewide 2-year-olds UTD rates are calculated annually in December. The Dec 2022 rates will be published soon. </w:t>
            </w:r>
          </w:p>
          <w:p w14:paraId="4862359D" w14:textId="4A079619" w:rsidR="005B2EA4" w:rsidRDefault="005B2EA4" w:rsidP="009810CE">
            <w:pPr>
              <w:pStyle w:val="ListParagraph"/>
              <w:numPr>
                <w:ilvl w:val="0"/>
                <w:numId w:val="39"/>
              </w:numPr>
            </w:pPr>
            <w:r>
              <w:t xml:space="preserve">Data shows that COVID did not have a significant </w:t>
            </w:r>
            <w:r w:rsidR="009810CE">
              <w:t>effect</w:t>
            </w:r>
            <w:r>
              <w:t xml:space="preserve"> on the 2-year rates, but other states have seen a disruption. There is some impact on individual rates. Pre-COVID rates were improving significantly, followed by a plateau with the arrival of COVID.</w:t>
            </w:r>
          </w:p>
          <w:p w14:paraId="33B35423" w14:textId="77777777" w:rsidR="009810CE" w:rsidRDefault="005B2EA4" w:rsidP="009810CE">
            <w:pPr>
              <w:pStyle w:val="ListParagraph"/>
              <w:numPr>
                <w:ilvl w:val="0"/>
                <w:numId w:val="39"/>
              </w:numPr>
            </w:pPr>
            <w:r>
              <w:t>There were no significant changes in individual rates for race and ethnicity</w:t>
            </w:r>
            <w:r w:rsidR="009810CE">
              <w:t>.</w:t>
            </w:r>
          </w:p>
          <w:p w14:paraId="7AAF9522" w14:textId="0640922D" w:rsidR="005B2EA4" w:rsidRDefault="009810CE" w:rsidP="009810CE">
            <w:pPr>
              <w:pStyle w:val="ListParagraph"/>
              <w:numPr>
                <w:ilvl w:val="0"/>
                <w:numId w:val="39"/>
              </w:numPr>
            </w:pPr>
            <w:r>
              <w:t>T</w:t>
            </w:r>
            <w:r w:rsidR="005B2EA4">
              <w:t xml:space="preserve">here was a big drop in 1 flu dose. This was also seen with adults. Work needs to be done to bring flu vaccine rates  back up. </w:t>
            </w:r>
          </w:p>
          <w:p w14:paraId="626332D5" w14:textId="77777777" w:rsidR="006835F3" w:rsidRDefault="006835F3" w:rsidP="009810CE">
            <w:pPr>
              <w:pStyle w:val="ListParagraph"/>
              <w:numPr>
                <w:ilvl w:val="0"/>
                <w:numId w:val="39"/>
              </w:numPr>
            </w:pPr>
            <w:r>
              <w:t xml:space="preserve">The 2-year-old series completion rate for 2021 by county shows higher rates in metro areas. Each county has a summary. Some have too few denominators to display for race/ethnicity. OIP is working on more ways to display small numbers. </w:t>
            </w:r>
            <w:r>
              <w:lastRenderedPageBreak/>
              <w:t>The data for the counties can be sent by request, and by raw data transfer. OIP can also provide technical assistance for analysis.</w:t>
            </w:r>
          </w:p>
          <w:p w14:paraId="12A1F225" w14:textId="7FB23097" w:rsidR="006835F3" w:rsidRDefault="006835F3" w:rsidP="009810CE">
            <w:pPr>
              <w:pStyle w:val="ListParagraph"/>
              <w:numPr>
                <w:ilvl w:val="0"/>
                <w:numId w:val="39"/>
              </w:numPr>
            </w:pPr>
            <w:r>
              <w:t>Overall</w:t>
            </w:r>
            <w:r w:rsidR="009810CE">
              <w:t xml:space="preserve">, the </w:t>
            </w:r>
            <w:r>
              <w:t xml:space="preserve">statewide impact is not significant, but the individual level reveals different impacts. </w:t>
            </w:r>
          </w:p>
          <w:p w14:paraId="457B3F53" w14:textId="72937828" w:rsidR="009810CE" w:rsidRDefault="006835F3" w:rsidP="009810CE">
            <w:r>
              <w:t xml:space="preserve">There was not a big change in adolescent rates, except for a drop in flu, which was already low. </w:t>
            </w:r>
            <w:r w:rsidR="009810CE">
              <w:t xml:space="preserve">The adolescent rates are calculated annually in </w:t>
            </w:r>
            <w:r w:rsidR="00615955">
              <w:t>May and</w:t>
            </w:r>
            <w:r w:rsidR="009810CE">
              <w:t xml:space="preserve"> will be published in June or July with 2022 data.</w:t>
            </w:r>
          </w:p>
          <w:p w14:paraId="12F92DAA" w14:textId="77777777" w:rsidR="009810CE" w:rsidRDefault="006835F3" w:rsidP="009810CE">
            <w:pPr>
              <w:pStyle w:val="ListParagraph"/>
              <w:numPr>
                <w:ilvl w:val="0"/>
                <w:numId w:val="40"/>
              </w:numPr>
            </w:pPr>
            <w:r>
              <w:t xml:space="preserve">The  13-year-olds are the biggest focus with </w:t>
            </w:r>
            <w:r w:rsidR="009810CE">
              <w:t xml:space="preserve">a </w:t>
            </w:r>
            <w:r>
              <w:t xml:space="preserve">vaccination rate of 34%. </w:t>
            </w:r>
          </w:p>
          <w:p w14:paraId="0202DF9B" w14:textId="4CD142B6" w:rsidR="006835F3" w:rsidRDefault="006835F3" w:rsidP="009810CE">
            <w:pPr>
              <w:pStyle w:val="ListParagraph"/>
              <w:numPr>
                <w:ilvl w:val="0"/>
                <w:numId w:val="40"/>
              </w:numPr>
            </w:pPr>
            <w:r>
              <w:t xml:space="preserve">For race/ethnicity, Whites have lower rates than many other groups. </w:t>
            </w:r>
          </w:p>
          <w:p w14:paraId="0F105C98" w14:textId="77777777" w:rsidR="009810CE" w:rsidRDefault="006835F3" w:rsidP="009810CE">
            <w:pPr>
              <w:pStyle w:val="ListParagraph"/>
              <w:numPr>
                <w:ilvl w:val="0"/>
                <w:numId w:val="40"/>
              </w:numPr>
            </w:pPr>
            <w:r>
              <w:t xml:space="preserve">HPV completion rates are mapped and show the varying rates among counties. The counties with strong providers make a big difference such as in Malheur, Jefferson and Jackson. </w:t>
            </w:r>
          </w:p>
          <w:p w14:paraId="384241BE" w14:textId="6E0D4B58" w:rsidR="006835F3" w:rsidRDefault="006835F3" w:rsidP="009810CE">
            <w:pPr>
              <w:pStyle w:val="ListParagraph"/>
              <w:numPr>
                <w:ilvl w:val="0"/>
                <w:numId w:val="40"/>
              </w:numPr>
            </w:pPr>
            <w:r>
              <w:t xml:space="preserve">The county level data is available and can be found on the OHA website under Data and Reports. </w:t>
            </w:r>
          </w:p>
          <w:p w14:paraId="60E0E54C" w14:textId="77777777" w:rsidR="006835F3" w:rsidRDefault="006835F3" w:rsidP="006835F3"/>
          <w:p w14:paraId="2EC97531" w14:textId="77777777" w:rsidR="006835F3" w:rsidRPr="009810CE" w:rsidRDefault="00DE37BF" w:rsidP="009810CE">
            <w:pPr>
              <w:ind w:left="720"/>
              <w:rPr>
                <w:sz w:val="18"/>
                <w:szCs w:val="18"/>
              </w:rPr>
            </w:pPr>
            <w:hyperlink r:id="rId7" w:history="1">
              <w:r w:rsidR="006835F3" w:rsidRPr="009810CE">
                <w:rPr>
                  <w:rStyle w:val="Hyperlink"/>
                  <w:sz w:val="18"/>
                  <w:szCs w:val="18"/>
                </w:rPr>
                <w:t>https://www.oregon.gov/oha/ph/preventionwellness/vaccinesimmunization/pages/index.aspx</w:t>
              </w:r>
            </w:hyperlink>
          </w:p>
          <w:p w14:paraId="01A1B7D0" w14:textId="77777777" w:rsidR="006835F3" w:rsidRDefault="006835F3" w:rsidP="006835F3"/>
          <w:p w14:paraId="34156654" w14:textId="77777777" w:rsidR="006835F3" w:rsidRDefault="006835F3" w:rsidP="009810CE">
            <w:pPr>
              <w:pStyle w:val="ListParagraph"/>
              <w:numPr>
                <w:ilvl w:val="0"/>
                <w:numId w:val="40"/>
              </w:numPr>
            </w:pPr>
            <w:r>
              <w:t xml:space="preserve">Overall, there is not a big drop in immunization rates but there is concern for the  growing vaccine hesitancy. Next year’s data will provide more information, especially for the children born during the COVID interruption. There will be a lot or work to do for improvement and the incentive measure has been difficult to achieve. </w:t>
            </w:r>
          </w:p>
          <w:p w14:paraId="6D57D051" w14:textId="4A0F983A" w:rsidR="005B2EA4" w:rsidRDefault="005B2EA4" w:rsidP="00A46222"/>
          <w:p w14:paraId="77FA80C7" w14:textId="77777777" w:rsidR="006835F3" w:rsidRPr="009E12D9" w:rsidRDefault="006835F3" w:rsidP="006835F3">
            <w:pPr>
              <w:rPr>
                <w:b/>
                <w:bCs/>
              </w:rPr>
            </w:pPr>
            <w:r w:rsidRPr="009E12D9">
              <w:rPr>
                <w:b/>
                <w:bCs/>
              </w:rPr>
              <w:t>2) Immunization Quality Improvement for Providers (IQIP)</w:t>
            </w:r>
          </w:p>
          <w:p w14:paraId="75D288DE" w14:textId="77777777" w:rsidR="006835F3" w:rsidRPr="009E12D9" w:rsidRDefault="006835F3" w:rsidP="006835F3">
            <w:r w:rsidRPr="009E12D9">
              <w:t xml:space="preserve">The IQIP program works closely with CCOs and LPHAs to help them  identify what issues are impeding them. The goal is to improve health and vaccination rates statewide and meet the CCO metrics. </w:t>
            </w:r>
          </w:p>
          <w:p w14:paraId="78B8285A" w14:textId="77777777" w:rsidR="00877FA0" w:rsidRDefault="006835F3" w:rsidP="00877FA0">
            <w:pPr>
              <w:pStyle w:val="ListParagraph"/>
              <w:numPr>
                <w:ilvl w:val="0"/>
                <w:numId w:val="40"/>
              </w:numPr>
            </w:pPr>
            <w:r w:rsidRPr="009E12D9">
              <w:t>The IQIP team from OIP has three health educators and is always looking for collaborators to be the local voice as it help</w:t>
            </w:r>
            <w:r w:rsidR="00877FA0">
              <w:t>s</w:t>
            </w:r>
            <w:r w:rsidRPr="009E12D9">
              <w:t xml:space="preserve"> improve the vaccination rates.  </w:t>
            </w:r>
          </w:p>
          <w:p w14:paraId="14812257" w14:textId="77777777" w:rsidR="00877FA0" w:rsidRDefault="006835F3" w:rsidP="00877FA0">
            <w:pPr>
              <w:pStyle w:val="ListParagraph"/>
              <w:numPr>
                <w:ilvl w:val="0"/>
                <w:numId w:val="40"/>
              </w:numPr>
            </w:pPr>
            <w:r w:rsidRPr="009E12D9">
              <w:t xml:space="preserve">OIP can provide trainings, data and other supports. The Plan-Do-Study-Act (PDSA) cycle for learning and improvement was reviewed, as well as an overview of what an IQIP visit would look like. This can also involve local coalitions </w:t>
            </w:r>
            <w:r w:rsidR="00877FA0">
              <w:t xml:space="preserve">which </w:t>
            </w:r>
            <w:r w:rsidRPr="009E12D9">
              <w:t>make</w:t>
            </w:r>
            <w:r w:rsidR="00877FA0">
              <w:t>s</w:t>
            </w:r>
            <w:r w:rsidRPr="009E12D9">
              <w:t xml:space="preserve"> a big difference. </w:t>
            </w:r>
          </w:p>
          <w:p w14:paraId="28D9A8BB" w14:textId="7678D49B" w:rsidR="006835F3" w:rsidRPr="009E12D9" w:rsidRDefault="006835F3" w:rsidP="00877FA0">
            <w:pPr>
              <w:pStyle w:val="ListParagraph"/>
              <w:numPr>
                <w:ilvl w:val="0"/>
                <w:numId w:val="40"/>
              </w:numPr>
            </w:pPr>
            <w:r w:rsidRPr="009E12D9">
              <w:t xml:space="preserve">The program encourages ways to go beyond phone calls in order to assist counties in working through their obstacles. </w:t>
            </w:r>
          </w:p>
          <w:p w14:paraId="412ADFFB" w14:textId="77777777" w:rsidR="006835F3" w:rsidRPr="009E12D9" w:rsidRDefault="006835F3" w:rsidP="00877FA0">
            <w:pPr>
              <w:pStyle w:val="ListParagraph"/>
              <w:numPr>
                <w:ilvl w:val="0"/>
                <w:numId w:val="40"/>
              </w:numPr>
            </w:pPr>
            <w:r w:rsidRPr="009E12D9">
              <w:t>The IQIP program workflow tool has strategies to assess clinic workflows. These are evidence-based strategies to help clinics improve rates and are detailed in the Guide to Community Preventive Services “ The Community Guide.”</w:t>
            </w:r>
          </w:p>
          <w:p w14:paraId="24DF760E" w14:textId="74F96431" w:rsidR="006835F3" w:rsidRDefault="006835F3" w:rsidP="00877FA0">
            <w:pPr>
              <w:ind w:left="360"/>
            </w:pPr>
            <w:r w:rsidRPr="009E12D9">
              <w:lastRenderedPageBreak/>
              <w:t xml:space="preserve">The IQIP is a 12-month process </w:t>
            </w:r>
            <w:r w:rsidR="00877FA0">
              <w:t xml:space="preserve">during which </w:t>
            </w:r>
            <w:r w:rsidRPr="009E12D9">
              <w:t xml:space="preserve">PH representatives and VFC providers work together on strategies to increase vaccine uptake by improving vaccination workflow. </w:t>
            </w:r>
          </w:p>
          <w:p w14:paraId="1E859E85" w14:textId="77777777" w:rsidR="00877FA0" w:rsidRPr="009E12D9" w:rsidRDefault="00877FA0" w:rsidP="00877FA0">
            <w:pPr>
              <w:ind w:left="360"/>
            </w:pPr>
          </w:p>
          <w:p w14:paraId="718C8F72" w14:textId="77777777" w:rsidR="006835F3" w:rsidRPr="009E12D9" w:rsidRDefault="006835F3" w:rsidP="006835F3">
            <w:pPr>
              <w:rPr>
                <w:b/>
                <w:bCs/>
              </w:rPr>
            </w:pPr>
            <w:r w:rsidRPr="009E12D9">
              <w:rPr>
                <w:b/>
                <w:bCs/>
              </w:rPr>
              <w:t>3) Opportunities for LPHAs to partner with OIP</w:t>
            </w:r>
          </w:p>
          <w:p w14:paraId="36D35382" w14:textId="77777777" w:rsidR="009A467E" w:rsidRDefault="009A467E" w:rsidP="009A467E">
            <w:r>
              <w:t>LPHAs can partner by w</w:t>
            </w:r>
            <w:r w:rsidR="006835F3" w:rsidRPr="009E12D9">
              <w:t>ork</w:t>
            </w:r>
            <w:r>
              <w:t xml:space="preserve">ing </w:t>
            </w:r>
            <w:r w:rsidR="006835F3" w:rsidRPr="009E12D9">
              <w:t xml:space="preserve">with OIP to recruit clinics for IQIP, form an immunization QI community, go to clinics to build relationships, </w:t>
            </w:r>
            <w:r>
              <w:t xml:space="preserve">and </w:t>
            </w:r>
            <w:r w:rsidR="006835F3" w:rsidRPr="009E12D9">
              <w:t xml:space="preserve">help improve local vaccination rates. </w:t>
            </w:r>
          </w:p>
          <w:p w14:paraId="58B39D4A" w14:textId="31F52E75" w:rsidR="009A467E" w:rsidRDefault="009A467E" w:rsidP="009A467E">
            <w:pPr>
              <w:pStyle w:val="ListParagraph"/>
              <w:numPr>
                <w:ilvl w:val="0"/>
                <w:numId w:val="41"/>
              </w:numPr>
            </w:pPr>
            <w:r>
              <w:t xml:space="preserve">By working in </w:t>
            </w:r>
            <w:r w:rsidR="006835F3" w:rsidRPr="009E12D9">
              <w:t xml:space="preserve">partnership with the state, LPHAs and clinics can change immunization rates. </w:t>
            </w:r>
            <w:r>
              <w:t>There h</w:t>
            </w:r>
            <w:r w:rsidRPr="009E12D9">
              <w:t xml:space="preserve">ave had great partnerships. </w:t>
            </w:r>
          </w:p>
          <w:p w14:paraId="06D24D2C" w14:textId="0DAC4BC6" w:rsidR="006835F3" w:rsidRPr="009E12D9" w:rsidRDefault="006835F3" w:rsidP="00470D2C">
            <w:pPr>
              <w:pStyle w:val="ListParagraph"/>
              <w:numPr>
                <w:ilvl w:val="0"/>
                <w:numId w:val="41"/>
              </w:numPr>
            </w:pPr>
            <w:r w:rsidRPr="009E12D9">
              <w:t xml:space="preserve">Funding to support this is an issue. </w:t>
            </w:r>
          </w:p>
          <w:p w14:paraId="7755629B" w14:textId="77777777" w:rsidR="009A467E" w:rsidRDefault="006835F3" w:rsidP="009A467E">
            <w:pPr>
              <w:pStyle w:val="ListParagraph"/>
              <w:numPr>
                <w:ilvl w:val="0"/>
                <w:numId w:val="41"/>
              </w:numPr>
            </w:pPr>
            <w:r w:rsidRPr="009E12D9">
              <w:t xml:space="preserve">The 2-year-old group is divided in 3 parts: </w:t>
            </w:r>
          </w:p>
          <w:p w14:paraId="3707FA74" w14:textId="77777777" w:rsidR="009A467E" w:rsidRDefault="006835F3" w:rsidP="009A467E">
            <w:pPr>
              <w:pStyle w:val="ListParagraph"/>
            </w:pPr>
            <w:r w:rsidRPr="009E12D9">
              <w:t xml:space="preserve">do not have vaccines, have some vaccines, </w:t>
            </w:r>
            <w:r w:rsidR="009A467E">
              <w:t xml:space="preserve">or </w:t>
            </w:r>
            <w:r w:rsidRPr="009E12D9">
              <w:t>missing one vaccine</w:t>
            </w:r>
          </w:p>
          <w:p w14:paraId="4CE73AF2" w14:textId="62C21E5E" w:rsidR="006835F3" w:rsidRPr="009E12D9" w:rsidRDefault="006835F3" w:rsidP="009A467E">
            <w:pPr>
              <w:pStyle w:val="ListParagraph"/>
            </w:pPr>
            <w:r w:rsidRPr="009E12D9">
              <w:t>The focus will be on the ones to be UTD by age 2. OIP staff goes to CCO offices and talks about Alert or helps to set up or re-instate the IQIP.</w:t>
            </w:r>
          </w:p>
          <w:p w14:paraId="5DCD24F6" w14:textId="77777777" w:rsidR="006835F3" w:rsidRPr="009E12D9" w:rsidRDefault="006835F3" w:rsidP="006835F3"/>
          <w:p w14:paraId="220FE369" w14:textId="0DE15D3D" w:rsidR="006835F3" w:rsidRPr="009A467E" w:rsidRDefault="009A467E" w:rsidP="009A467E">
            <w:pPr>
              <w:pStyle w:val="ListParagraph"/>
              <w:numPr>
                <w:ilvl w:val="0"/>
                <w:numId w:val="42"/>
              </w:numPr>
              <w:rPr>
                <w:color w:val="4472C4" w:themeColor="accent5"/>
              </w:rPr>
            </w:pPr>
            <w:r w:rsidRPr="009A467E">
              <w:rPr>
                <w:color w:val="4472C4" w:themeColor="accent5"/>
              </w:rPr>
              <w:t xml:space="preserve">Douglas county reported </w:t>
            </w:r>
            <w:r w:rsidR="006835F3" w:rsidRPr="009A467E">
              <w:rPr>
                <w:color w:val="4472C4" w:themeColor="accent5"/>
              </w:rPr>
              <w:t xml:space="preserve">they worked with CCOs and there is a vested interest in meeting the metrics. Before being interrupted by the pandemic, there was good community involvement. </w:t>
            </w:r>
          </w:p>
          <w:p w14:paraId="5693F827" w14:textId="77777777" w:rsidR="006835F3" w:rsidRPr="009E12D9" w:rsidRDefault="006835F3" w:rsidP="006835F3"/>
          <w:p w14:paraId="05A3D52D" w14:textId="51F4B0A5" w:rsidR="006835F3" w:rsidRPr="009A467E" w:rsidRDefault="006835F3" w:rsidP="009A467E">
            <w:pPr>
              <w:pStyle w:val="ListParagraph"/>
              <w:numPr>
                <w:ilvl w:val="0"/>
                <w:numId w:val="43"/>
              </w:numPr>
              <w:rPr>
                <w:color w:val="4472C4" w:themeColor="accent5"/>
              </w:rPr>
            </w:pPr>
            <w:r w:rsidRPr="009A467E">
              <w:rPr>
                <w:color w:val="4472C4" w:themeColor="accent5"/>
              </w:rPr>
              <w:t xml:space="preserve">Deschutes county is working </w:t>
            </w:r>
            <w:r w:rsidR="009A467E">
              <w:rPr>
                <w:color w:val="4472C4" w:themeColor="accent5"/>
              </w:rPr>
              <w:t>towards</w:t>
            </w:r>
            <w:r w:rsidRPr="009A467E">
              <w:rPr>
                <w:color w:val="4472C4" w:themeColor="accent5"/>
              </w:rPr>
              <w:t xml:space="preserve"> onboarding clinics. So far, they have recruited eighteen and </w:t>
            </w:r>
            <w:r w:rsidR="009A467E">
              <w:rPr>
                <w:color w:val="4472C4" w:themeColor="accent5"/>
              </w:rPr>
              <w:t xml:space="preserve">are </w:t>
            </w:r>
            <w:r w:rsidRPr="009A467E">
              <w:rPr>
                <w:color w:val="4472C4" w:themeColor="accent5"/>
              </w:rPr>
              <w:t xml:space="preserve">doing the two-month check. They offer support for twelve months, set up community connection meetings and share what is working well. The CCO is also involved, sharing information, having QI monthly meetings. Seeing some small improvements in the challenging environment. </w:t>
            </w:r>
          </w:p>
          <w:p w14:paraId="7935CD20" w14:textId="77777777" w:rsidR="006835F3" w:rsidRPr="009E12D9" w:rsidRDefault="006835F3" w:rsidP="006835F3"/>
          <w:p w14:paraId="200B4428" w14:textId="77777777" w:rsidR="006835F3" w:rsidRPr="009A467E" w:rsidRDefault="006835F3" w:rsidP="009A467E">
            <w:pPr>
              <w:pStyle w:val="ListParagraph"/>
              <w:numPr>
                <w:ilvl w:val="0"/>
                <w:numId w:val="44"/>
              </w:numPr>
              <w:rPr>
                <w:color w:val="4472C4" w:themeColor="accent5"/>
              </w:rPr>
            </w:pPr>
            <w:r w:rsidRPr="009A467E">
              <w:rPr>
                <w:color w:val="4472C4" w:themeColor="accent5"/>
              </w:rPr>
              <w:t xml:space="preserve">Rex noted the providers feel supported to know the projects are back up and running. </w:t>
            </w:r>
          </w:p>
          <w:p w14:paraId="534FD02C" w14:textId="77777777" w:rsidR="006835F3" w:rsidRDefault="006835F3" w:rsidP="00A46222"/>
          <w:p w14:paraId="3C4ECEDE" w14:textId="739B12ED" w:rsidR="00143D68" w:rsidRPr="00143D68" w:rsidRDefault="00143D68" w:rsidP="00A46222">
            <w:pPr>
              <w:rPr>
                <w:rFonts w:eastAsia="Times New Roman"/>
                <w:sz w:val="20"/>
                <w:szCs w:val="36"/>
              </w:rPr>
            </w:pPr>
          </w:p>
        </w:tc>
        <w:tc>
          <w:tcPr>
            <w:tcW w:w="2700" w:type="dxa"/>
          </w:tcPr>
          <w:p w14:paraId="74AD2482" w14:textId="6EF5ABBF" w:rsidR="002B638B" w:rsidRDefault="002550B9" w:rsidP="00F31CBF">
            <w:pPr>
              <w:tabs>
                <w:tab w:val="left" w:pos="515"/>
              </w:tabs>
            </w:pPr>
            <w:r>
              <w:lastRenderedPageBreak/>
              <w:t xml:space="preserve">Rex - send to Dan Dannenhoffer the Douglas </w:t>
            </w:r>
            <w:r>
              <w:rPr>
                <w:rStyle w:val="ui-provider"/>
              </w:rPr>
              <w:t>County data</w:t>
            </w:r>
          </w:p>
        </w:tc>
      </w:tr>
      <w:tr w:rsidR="000A1530" w14:paraId="7FEA1DBA" w14:textId="77777777" w:rsidTr="00FE36EC">
        <w:trPr>
          <w:trHeight w:val="432"/>
          <w:jc w:val="center"/>
        </w:trPr>
        <w:tc>
          <w:tcPr>
            <w:tcW w:w="1885" w:type="dxa"/>
          </w:tcPr>
          <w:p w14:paraId="50C8F633" w14:textId="77777777" w:rsidR="0011799A" w:rsidRDefault="00A46222" w:rsidP="000A1530">
            <w:r>
              <w:lastRenderedPageBreak/>
              <w:t>Let’s RISE</w:t>
            </w:r>
            <w:r w:rsidR="00FE36EC">
              <w:t xml:space="preserve"> </w:t>
            </w:r>
          </w:p>
          <w:p w14:paraId="2EABBC76" w14:textId="59F61679" w:rsidR="000A1530" w:rsidRDefault="00FE36EC" w:rsidP="000A1530">
            <w:r>
              <w:t>(Routine Immunizations on Schedule for Everyone)</w:t>
            </w:r>
          </w:p>
        </w:tc>
        <w:tc>
          <w:tcPr>
            <w:tcW w:w="1800" w:type="dxa"/>
          </w:tcPr>
          <w:p w14:paraId="6EF642B8" w14:textId="167E5920" w:rsidR="000A1530" w:rsidRDefault="00FE36EC" w:rsidP="000A1530">
            <w:r>
              <w:t xml:space="preserve">Susan Wickstrom,  </w:t>
            </w:r>
          </w:p>
          <w:p w14:paraId="201F98F5" w14:textId="3F3371F3" w:rsidR="00FE36EC" w:rsidRDefault="00FE36EC" w:rsidP="000A1530">
            <w:r>
              <w:t>OHA Immunization Communications</w:t>
            </w:r>
          </w:p>
        </w:tc>
        <w:tc>
          <w:tcPr>
            <w:tcW w:w="8280" w:type="dxa"/>
          </w:tcPr>
          <w:p w14:paraId="29879296" w14:textId="77777777" w:rsidR="001D51A3" w:rsidRDefault="00A46222" w:rsidP="00FE36EC">
            <w:r>
              <w:t xml:space="preserve">Discuss CDC’s Let’s RISE Initiative to get routine immunizations back on track. </w:t>
            </w:r>
          </w:p>
          <w:p w14:paraId="520C6F4B" w14:textId="51B46196" w:rsidR="0011799A" w:rsidRDefault="005E0A22" w:rsidP="005E0A22">
            <w:r w:rsidRPr="009E12D9">
              <w:t xml:space="preserve">This is </w:t>
            </w:r>
            <w:r>
              <w:t xml:space="preserve">CDC’s </w:t>
            </w:r>
            <w:r w:rsidRPr="009E12D9">
              <w:t>new initiative</w:t>
            </w:r>
            <w:r>
              <w:t xml:space="preserve"> to provide resources and support to get people back on-schedule with their immunizations. </w:t>
            </w:r>
          </w:p>
          <w:p w14:paraId="10108A97" w14:textId="65A18730" w:rsidR="00A279E2" w:rsidRDefault="00A279E2" w:rsidP="005E0A22"/>
          <w:p w14:paraId="00CC2F75" w14:textId="5EF6C06E" w:rsidR="00A279E2" w:rsidRDefault="00A279E2" w:rsidP="005E0A22">
            <w:hyperlink r:id="rId8" w:history="1">
              <w:r w:rsidRPr="00E41F49">
                <w:rPr>
                  <w:rStyle w:val="Hyperlink"/>
                </w:rPr>
                <w:t>https://www.cdc.gov/vaccines/partners/routine-immunizations-lets-rise.html</w:t>
              </w:r>
            </w:hyperlink>
          </w:p>
          <w:p w14:paraId="2D1CF7C2" w14:textId="77777777" w:rsidR="00A279E2" w:rsidRDefault="00A279E2" w:rsidP="005E0A22"/>
          <w:p w14:paraId="4359C60D" w14:textId="77777777" w:rsidR="000940F3" w:rsidRDefault="000940F3" w:rsidP="005E0A22"/>
          <w:p w14:paraId="62D4C7A1" w14:textId="7F8C0F4D" w:rsidR="0011799A" w:rsidRPr="0011799A" w:rsidRDefault="0011799A" w:rsidP="005E0A22">
            <w:pPr>
              <w:rPr>
                <w:b/>
                <w:bCs/>
              </w:rPr>
            </w:pPr>
            <w:r w:rsidRPr="0011799A">
              <w:rPr>
                <w:b/>
                <w:bCs/>
              </w:rPr>
              <w:t>1) Promoting routine catch-up</w:t>
            </w:r>
          </w:p>
          <w:p w14:paraId="5410026C" w14:textId="3B340B7D" w:rsidR="005E0A22" w:rsidRDefault="005E0A22" w:rsidP="005E0A22">
            <w:r w:rsidRPr="009E12D9">
              <w:t xml:space="preserve">Oregon </w:t>
            </w:r>
            <w:r>
              <w:t xml:space="preserve">is </w:t>
            </w:r>
            <w:r w:rsidRPr="009E12D9">
              <w:t>behind on routine imm</w:t>
            </w:r>
            <w:r>
              <w:t xml:space="preserve">unizations and it is a </w:t>
            </w:r>
            <w:r w:rsidRPr="009E12D9">
              <w:t>national and global problem</w:t>
            </w:r>
            <w:r>
              <w:t xml:space="preserve"> as well. OIP is seeking to integrate this initiative in its work. </w:t>
            </w:r>
          </w:p>
          <w:p w14:paraId="56A98078" w14:textId="77777777" w:rsidR="0011799A" w:rsidRDefault="0011799A" w:rsidP="005E0A22"/>
          <w:p w14:paraId="1CF241D3" w14:textId="68A5D5C9" w:rsidR="0011799A" w:rsidRPr="0011799A" w:rsidRDefault="0011799A" w:rsidP="005E0A22">
            <w:pPr>
              <w:rPr>
                <w:b/>
                <w:bCs/>
              </w:rPr>
            </w:pPr>
            <w:r w:rsidRPr="0011799A">
              <w:rPr>
                <w:b/>
                <w:bCs/>
              </w:rPr>
              <w:lastRenderedPageBreak/>
              <w:t>2) OHA Communication strategies</w:t>
            </w:r>
          </w:p>
          <w:p w14:paraId="0539C9D2" w14:textId="368FFFFD" w:rsidR="005E0A22" w:rsidRDefault="005E0A22" w:rsidP="005E0A22">
            <w:r>
              <w:t>One of the main reasons for the la</w:t>
            </w:r>
            <w:r w:rsidR="0011799A">
              <w:t>g</w:t>
            </w:r>
            <w:r>
              <w:t xml:space="preserve"> is </w:t>
            </w:r>
            <w:r w:rsidRPr="009E12D9">
              <w:t xml:space="preserve">misinformation. </w:t>
            </w:r>
          </w:p>
          <w:p w14:paraId="150035F0" w14:textId="77777777" w:rsidR="005E0A22" w:rsidRDefault="005E0A22" w:rsidP="005E0A22">
            <w:r>
              <w:t>OHA’s focus is on these main communications strategies:</w:t>
            </w:r>
          </w:p>
          <w:p w14:paraId="4421F7F4" w14:textId="534D3DE1" w:rsidR="005E0A22" w:rsidRDefault="005E0A22" w:rsidP="0011799A">
            <w:pPr>
              <w:pStyle w:val="ListParagraph"/>
              <w:numPr>
                <w:ilvl w:val="0"/>
                <w:numId w:val="45"/>
              </w:numPr>
            </w:pPr>
            <w:r>
              <w:t>Sharing data, engaging partner</w:t>
            </w:r>
            <w:r w:rsidR="0011799A">
              <w:t>s</w:t>
            </w:r>
            <w:r>
              <w:t xml:space="preserve">, generating earned media, enhancing access to adult vaccine services, leveraging social media, launching awareness campaigns. </w:t>
            </w:r>
          </w:p>
          <w:p w14:paraId="66321538" w14:textId="48E98E9D" w:rsidR="005E0A22" w:rsidRDefault="005E0A22" w:rsidP="0011799A">
            <w:pPr>
              <w:pStyle w:val="ListParagraph"/>
              <w:numPr>
                <w:ilvl w:val="0"/>
                <w:numId w:val="45"/>
              </w:numPr>
            </w:pPr>
            <w:r w:rsidRPr="009E12D9">
              <w:t xml:space="preserve">During </w:t>
            </w:r>
            <w:r>
              <w:t xml:space="preserve">the </w:t>
            </w:r>
            <w:r w:rsidRPr="009E12D9">
              <w:t xml:space="preserve">roadshow </w:t>
            </w:r>
            <w:r>
              <w:t xml:space="preserve">OHA </w:t>
            </w:r>
            <w:r w:rsidRPr="009E12D9">
              <w:t>went to cities across Oregon</w:t>
            </w:r>
            <w:r>
              <w:t xml:space="preserve"> and </w:t>
            </w:r>
            <w:r w:rsidRPr="009E12D9">
              <w:t>provided motiva</w:t>
            </w:r>
            <w:r>
              <w:t xml:space="preserve">tional </w:t>
            </w:r>
            <w:r w:rsidRPr="009E12D9">
              <w:t>interview training</w:t>
            </w:r>
            <w:r>
              <w:t xml:space="preserve"> and invited </w:t>
            </w:r>
            <w:r w:rsidRPr="009E12D9">
              <w:t xml:space="preserve">community groups. </w:t>
            </w:r>
            <w:r>
              <w:t>One result</w:t>
            </w:r>
            <w:r w:rsidR="003D4E01">
              <w:t xml:space="preserve">: </w:t>
            </w:r>
            <w:r>
              <w:t xml:space="preserve"> </w:t>
            </w:r>
            <w:r w:rsidRPr="009E12D9">
              <w:t>Mult</w:t>
            </w:r>
            <w:r>
              <w:t xml:space="preserve">omah County </w:t>
            </w:r>
            <w:r w:rsidRPr="009E12D9">
              <w:t xml:space="preserve">has </w:t>
            </w:r>
            <w:r>
              <w:t>re-</w:t>
            </w:r>
            <w:r w:rsidRPr="009E12D9">
              <w:t xml:space="preserve">branded </w:t>
            </w:r>
            <w:r w:rsidR="003D4E01">
              <w:t>E</w:t>
            </w:r>
            <w:r w:rsidRPr="009E12D9">
              <w:t xml:space="preserve">xclusion day </w:t>
            </w:r>
            <w:r>
              <w:t>as C</w:t>
            </w:r>
            <w:r w:rsidRPr="009E12D9">
              <w:t>atch</w:t>
            </w:r>
            <w:r>
              <w:t>-U</w:t>
            </w:r>
            <w:r w:rsidRPr="009E12D9">
              <w:t xml:space="preserve">p </w:t>
            </w:r>
            <w:r w:rsidR="003D4E01">
              <w:t>d</w:t>
            </w:r>
            <w:r w:rsidRPr="009E12D9">
              <w:t xml:space="preserve">ay. </w:t>
            </w:r>
          </w:p>
          <w:p w14:paraId="2A64ED6C" w14:textId="77777777" w:rsidR="005E0A22" w:rsidRDefault="005E0A22" w:rsidP="005E0A22">
            <w:r>
              <w:t>OHA offers these resources for providers:</w:t>
            </w:r>
          </w:p>
          <w:p w14:paraId="7CF5072C" w14:textId="77777777" w:rsidR="005E0A22" w:rsidRDefault="005E0A22" w:rsidP="0011799A">
            <w:pPr>
              <w:pStyle w:val="ListParagraph"/>
              <w:numPr>
                <w:ilvl w:val="0"/>
                <w:numId w:val="46"/>
              </w:numPr>
            </w:pPr>
            <w:r>
              <w:t xml:space="preserve">Immunization website and listserv, office hours, OIP RISE campaign, vaccine safety training, and toolkits. </w:t>
            </w:r>
          </w:p>
          <w:p w14:paraId="2B86660D" w14:textId="09270F25" w:rsidR="0011799A" w:rsidRDefault="005E0A22" w:rsidP="005E0A22">
            <w:r>
              <w:t xml:space="preserve">The </w:t>
            </w:r>
            <w:r w:rsidR="0011799A">
              <w:t xml:space="preserve">CDC </w:t>
            </w:r>
            <w:r>
              <w:t>Let’s RISE campaign provides resources for</w:t>
            </w:r>
            <w:r w:rsidR="0011799A">
              <w:t>:</w:t>
            </w:r>
          </w:p>
          <w:p w14:paraId="5F211300" w14:textId="5E05C488" w:rsidR="005E0A22" w:rsidRDefault="005E0A22" w:rsidP="0011799A">
            <w:pPr>
              <w:pStyle w:val="ListParagraph"/>
              <w:numPr>
                <w:ilvl w:val="0"/>
                <w:numId w:val="46"/>
              </w:numPr>
            </w:pPr>
            <w:r>
              <w:t>communications, health and human services, and promoting routine immunizations.</w:t>
            </w:r>
          </w:p>
          <w:p w14:paraId="41CCF881" w14:textId="77777777" w:rsidR="000940F3" w:rsidRDefault="005E0A22" w:rsidP="0011799A">
            <w:pPr>
              <w:pStyle w:val="ListParagraph"/>
              <w:numPr>
                <w:ilvl w:val="0"/>
                <w:numId w:val="46"/>
              </w:numPr>
            </w:pPr>
            <w:r>
              <w:t>There are many communication resources available (</w:t>
            </w:r>
            <w:r w:rsidR="0011799A">
              <w:t>i.e.,</w:t>
            </w:r>
            <w:r>
              <w:t xml:space="preserve"> vaccines flyer, social media content)  and everything on the CDC website is public domain so anyone can use and share that information.</w:t>
            </w:r>
          </w:p>
          <w:p w14:paraId="12E2D61F" w14:textId="2BB109AD" w:rsidR="005E0A22" w:rsidRDefault="005E0A22" w:rsidP="000940F3">
            <w:pPr>
              <w:pStyle w:val="ListParagraph"/>
            </w:pPr>
            <w:r>
              <w:t xml:space="preserve"> </w:t>
            </w:r>
          </w:p>
          <w:p w14:paraId="480F601E" w14:textId="666E2C94" w:rsidR="000940F3" w:rsidRPr="000940F3" w:rsidRDefault="000940F3" w:rsidP="000940F3">
            <w:pPr>
              <w:rPr>
                <w:b/>
                <w:bCs/>
              </w:rPr>
            </w:pPr>
            <w:r w:rsidRPr="000940F3">
              <w:rPr>
                <w:b/>
                <w:bCs/>
              </w:rPr>
              <w:t>3) Partners can engage</w:t>
            </w:r>
          </w:p>
          <w:p w14:paraId="1E0DA1A8" w14:textId="77777777" w:rsidR="0011799A" w:rsidRDefault="005E0A22" w:rsidP="005E0A22">
            <w:r>
              <w:t>Healthcare workers and partners can take action by</w:t>
            </w:r>
            <w:r w:rsidR="0011799A">
              <w:t>:</w:t>
            </w:r>
          </w:p>
          <w:p w14:paraId="233D250D" w14:textId="0BFF79FC" w:rsidR="005E0A22" w:rsidRDefault="005E0A22" w:rsidP="0011799A">
            <w:pPr>
              <w:pStyle w:val="ListParagraph"/>
              <w:numPr>
                <w:ilvl w:val="0"/>
                <w:numId w:val="47"/>
              </w:numPr>
            </w:pPr>
            <w:r>
              <w:t xml:space="preserve">prioritizing vaccine catch-up, identifying individuals not UTD, encouraging vaccination, making vaccine recommendations, making vaccines easy to find and affordable. </w:t>
            </w:r>
          </w:p>
          <w:p w14:paraId="7BC329A1" w14:textId="610556DB" w:rsidR="005E0A22" w:rsidRDefault="005E0A22" w:rsidP="000940F3">
            <w:pPr>
              <w:pStyle w:val="ListParagraph"/>
              <w:numPr>
                <w:ilvl w:val="0"/>
                <w:numId w:val="47"/>
              </w:numPr>
            </w:pPr>
            <w:r>
              <w:t>P</w:t>
            </w:r>
            <w:r w:rsidRPr="009E12D9">
              <w:t xml:space="preserve">ositive </w:t>
            </w:r>
            <w:r w:rsidR="0011799A">
              <w:t xml:space="preserve">vaccine </w:t>
            </w:r>
            <w:r w:rsidRPr="009E12D9">
              <w:t xml:space="preserve">stories are </w:t>
            </w:r>
            <w:r>
              <w:t xml:space="preserve">also </w:t>
            </w:r>
            <w:r w:rsidRPr="009E12D9">
              <w:t>important</w:t>
            </w:r>
            <w:r>
              <w:t xml:space="preserve"> </w:t>
            </w:r>
            <w:r w:rsidRPr="009E12D9">
              <w:t xml:space="preserve">to </w:t>
            </w:r>
            <w:r>
              <w:t xml:space="preserve">communicate, so keep sharing. </w:t>
            </w:r>
          </w:p>
          <w:p w14:paraId="0D69C041" w14:textId="510F5198" w:rsidR="006835F3" w:rsidRPr="001D51A3" w:rsidRDefault="006835F3" w:rsidP="00FE36EC">
            <w:pPr>
              <w:rPr>
                <w:szCs w:val="40"/>
              </w:rPr>
            </w:pPr>
          </w:p>
        </w:tc>
        <w:tc>
          <w:tcPr>
            <w:tcW w:w="2700" w:type="dxa"/>
          </w:tcPr>
          <w:p w14:paraId="103943C9" w14:textId="7A78F7AB" w:rsidR="000A1530" w:rsidRDefault="000A1530" w:rsidP="000A1530"/>
        </w:tc>
      </w:tr>
      <w:tr w:rsidR="000A1530" w14:paraId="51B0D5BB" w14:textId="77777777" w:rsidTr="00877FA0">
        <w:trPr>
          <w:trHeight w:val="432"/>
          <w:jc w:val="center"/>
        </w:trPr>
        <w:tc>
          <w:tcPr>
            <w:tcW w:w="1885" w:type="dxa"/>
          </w:tcPr>
          <w:p w14:paraId="298CD6FB" w14:textId="293A69F3" w:rsidR="000A1530" w:rsidRDefault="00450C2F" w:rsidP="000A1530">
            <w:r>
              <w:t>CD Indicators and Metrics</w:t>
            </w:r>
          </w:p>
        </w:tc>
        <w:tc>
          <w:tcPr>
            <w:tcW w:w="1800" w:type="dxa"/>
          </w:tcPr>
          <w:p w14:paraId="70F52674" w14:textId="332B8FDA" w:rsidR="000A1530" w:rsidRDefault="00450C2F" w:rsidP="000A1530">
            <w:r>
              <w:t>Kathleen Rees</w:t>
            </w:r>
          </w:p>
        </w:tc>
        <w:tc>
          <w:tcPr>
            <w:tcW w:w="8280" w:type="dxa"/>
          </w:tcPr>
          <w:p w14:paraId="6C10DF0A" w14:textId="4310FC92" w:rsidR="00450C2F" w:rsidRDefault="00450C2F" w:rsidP="00450C2F">
            <w:pPr>
              <w:rPr>
                <w:b/>
                <w:bCs/>
              </w:rPr>
            </w:pPr>
            <w:r w:rsidRPr="000230C4">
              <w:rPr>
                <w:b/>
                <w:bCs/>
              </w:rPr>
              <w:t>Update on the CD Indicator</w:t>
            </w:r>
            <w:r>
              <w:rPr>
                <w:b/>
                <w:bCs/>
              </w:rPr>
              <w:t>s</w:t>
            </w:r>
            <w:r w:rsidRPr="000230C4">
              <w:rPr>
                <w:b/>
                <w:bCs/>
              </w:rPr>
              <w:t>/Metrics process and timeline</w:t>
            </w:r>
          </w:p>
          <w:p w14:paraId="5E497678" w14:textId="77777777" w:rsidR="00450C2F" w:rsidRDefault="00450C2F" w:rsidP="00450C2F">
            <w:pPr>
              <w:pStyle w:val="ListParagraph"/>
              <w:numPr>
                <w:ilvl w:val="0"/>
                <w:numId w:val="48"/>
              </w:numPr>
            </w:pPr>
            <w:r>
              <w:t>The process and timeline are similar to what we had before but trying to make the responsibilities clearer.</w:t>
            </w:r>
          </w:p>
          <w:p w14:paraId="44AA09EE" w14:textId="4AB01CD6" w:rsidR="00450C2F" w:rsidRDefault="00450C2F" w:rsidP="00A303E7">
            <w:pPr>
              <w:pStyle w:val="ListParagraph"/>
              <w:numPr>
                <w:ilvl w:val="0"/>
                <w:numId w:val="48"/>
              </w:numPr>
            </w:pPr>
            <w:r>
              <w:t xml:space="preserve">PHAB will review the new timeline Tuesday, 3/14. After the indicators are selected, discussion can begin </w:t>
            </w:r>
            <w:r w:rsidR="003D4E01">
              <w:t xml:space="preserve">on </w:t>
            </w:r>
            <w:r>
              <w:t>the policy pieces. Some indicators will be highlighted next week, such as COVID and respiratory pathogens.</w:t>
            </w:r>
            <w:r>
              <w:t xml:space="preserve"> </w:t>
            </w:r>
            <w:r>
              <w:t>There is discussion about what data is available to help up decide next steps for indicators.</w:t>
            </w:r>
          </w:p>
          <w:p w14:paraId="4A4BCC4C" w14:textId="77777777" w:rsidR="00450C2F" w:rsidRDefault="00450C2F" w:rsidP="00450C2F">
            <w:pPr>
              <w:pStyle w:val="ListParagraph"/>
              <w:numPr>
                <w:ilvl w:val="0"/>
                <w:numId w:val="48"/>
              </w:numPr>
            </w:pPr>
            <w:r>
              <w:t>The PHAB meeting 3/14 will also address PE-10 STD Client services, specifically syphilis.</w:t>
            </w:r>
          </w:p>
          <w:p w14:paraId="0B66FEF6" w14:textId="5D690D16" w:rsidR="00450C2F" w:rsidRDefault="00450C2F" w:rsidP="00A33AA7">
            <w:pPr>
              <w:pStyle w:val="ListParagraph"/>
              <w:numPr>
                <w:ilvl w:val="0"/>
                <w:numId w:val="48"/>
              </w:numPr>
            </w:pPr>
            <w:r>
              <w:t>Then selected program elements will move forward to the Big CLHO meeting 3/16.</w:t>
            </w:r>
            <w:r>
              <w:t xml:space="preserve"> </w:t>
            </w:r>
            <w:r>
              <w:t xml:space="preserve">There will be more opportunities for discussion. </w:t>
            </w:r>
          </w:p>
          <w:p w14:paraId="57734852" w14:textId="77777777" w:rsidR="00450C2F" w:rsidRDefault="00450C2F" w:rsidP="00450C2F"/>
          <w:p w14:paraId="7CAA518B" w14:textId="77777777" w:rsidR="00450C2F" w:rsidRDefault="00450C2F" w:rsidP="00450C2F">
            <w:r>
              <w:t>Concerns? None</w:t>
            </w:r>
          </w:p>
          <w:p w14:paraId="2D0746F2" w14:textId="7014F21B" w:rsidR="00450C2F" w:rsidRDefault="00450C2F" w:rsidP="00450C2F">
            <w:r>
              <w:t xml:space="preserve">Any additional questions or changes?  </w:t>
            </w:r>
            <w:r>
              <w:t>N</w:t>
            </w:r>
            <w:r>
              <w:t>one</w:t>
            </w:r>
          </w:p>
          <w:p w14:paraId="0B3978BA" w14:textId="4FDF63BE" w:rsidR="00450C2F" w:rsidRDefault="00450C2F" w:rsidP="00450C2F">
            <w:r>
              <w:lastRenderedPageBreak/>
              <w:t xml:space="preserve">Moton to approve:  Bob Dannenhoffer, </w:t>
            </w:r>
            <w:r w:rsidR="00910181">
              <w:t xml:space="preserve">Douglas Co. </w:t>
            </w:r>
          </w:p>
          <w:p w14:paraId="36D91DA3" w14:textId="0007CC8F" w:rsidR="00450C2F" w:rsidRDefault="00450C2F" w:rsidP="00450C2F">
            <w:r>
              <w:t xml:space="preserve">Seconded: </w:t>
            </w:r>
            <w:r w:rsidR="00910181">
              <w:t xml:space="preserve">Anna summer, </w:t>
            </w:r>
            <w:r>
              <w:t xml:space="preserve">Clackamas </w:t>
            </w:r>
            <w:r w:rsidR="00910181">
              <w:t>Co.</w:t>
            </w:r>
          </w:p>
          <w:p w14:paraId="1B2031CE" w14:textId="3D37E5F6" w:rsidR="00417203" w:rsidRPr="00F31CBF" w:rsidRDefault="00417203" w:rsidP="00450C2F">
            <w:pPr>
              <w:rPr>
                <w:rFonts w:eastAsia="Times New Roman"/>
                <w:szCs w:val="40"/>
              </w:rPr>
            </w:pPr>
          </w:p>
        </w:tc>
        <w:tc>
          <w:tcPr>
            <w:tcW w:w="2700" w:type="dxa"/>
          </w:tcPr>
          <w:p w14:paraId="090934E2" w14:textId="3C74FDC4" w:rsidR="00450C2F" w:rsidRDefault="00450C2F" w:rsidP="00450C2F">
            <w:r>
              <w:lastRenderedPageBreak/>
              <w:t xml:space="preserve">Kathleen - </w:t>
            </w:r>
            <w:r w:rsidR="003D4E01">
              <w:t>M</w:t>
            </w:r>
            <w:r>
              <w:t xml:space="preserve">ove </w:t>
            </w:r>
            <w:r w:rsidR="003D4E01">
              <w:t xml:space="preserve">topics </w:t>
            </w:r>
            <w:r>
              <w:t>to CLHO next week and report back.</w:t>
            </w:r>
          </w:p>
          <w:p w14:paraId="755B7BFF" w14:textId="413E6492" w:rsidR="003E128E" w:rsidRDefault="003E128E" w:rsidP="003E128E"/>
        </w:tc>
      </w:tr>
      <w:tr w:rsidR="002B4EC6" w14:paraId="738E2770" w14:textId="77777777" w:rsidTr="00877FA0">
        <w:trPr>
          <w:trHeight w:val="432"/>
          <w:jc w:val="center"/>
        </w:trPr>
        <w:tc>
          <w:tcPr>
            <w:tcW w:w="1885" w:type="dxa"/>
          </w:tcPr>
          <w:p w14:paraId="2EA11853" w14:textId="43703A07" w:rsidR="002B4EC6" w:rsidRDefault="00B341AD" w:rsidP="000A1530">
            <w:r>
              <w:t>Closing</w:t>
            </w:r>
          </w:p>
        </w:tc>
        <w:tc>
          <w:tcPr>
            <w:tcW w:w="1800" w:type="dxa"/>
          </w:tcPr>
          <w:p w14:paraId="752EE537" w14:textId="5A00A998" w:rsidR="002B4EC6" w:rsidRDefault="002B4EC6" w:rsidP="000A1530">
            <w:pPr>
              <w:rPr>
                <w:rFonts w:eastAsia="Times New Roman"/>
              </w:rPr>
            </w:pPr>
            <w:r>
              <w:rPr>
                <w:rFonts w:eastAsia="Times New Roman"/>
              </w:rPr>
              <w:t>Kathleen</w:t>
            </w:r>
            <w:r w:rsidR="00B341AD">
              <w:rPr>
                <w:rFonts w:eastAsia="Times New Roman"/>
              </w:rPr>
              <w:t xml:space="preserve"> Rees</w:t>
            </w:r>
          </w:p>
        </w:tc>
        <w:tc>
          <w:tcPr>
            <w:tcW w:w="8280" w:type="dxa"/>
          </w:tcPr>
          <w:p w14:paraId="231C709C" w14:textId="497FD361" w:rsidR="002B4EC6" w:rsidRPr="00F31CBF" w:rsidRDefault="002B4EC6" w:rsidP="00F31CBF">
            <w:pPr>
              <w:rPr>
                <w:rFonts w:eastAsia="Times New Roman"/>
              </w:rPr>
            </w:pPr>
          </w:p>
        </w:tc>
        <w:tc>
          <w:tcPr>
            <w:tcW w:w="2700" w:type="dxa"/>
          </w:tcPr>
          <w:p w14:paraId="1518CD71" w14:textId="6ED13F66" w:rsidR="002B4EC6" w:rsidRDefault="002B4EC6" w:rsidP="00487666"/>
        </w:tc>
      </w:tr>
      <w:tr w:rsidR="002B4EC6" w14:paraId="33419A49" w14:textId="77777777" w:rsidTr="00877FA0">
        <w:trPr>
          <w:trHeight w:val="432"/>
          <w:jc w:val="center"/>
        </w:trPr>
        <w:tc>
          <w:tcPr>
            <w:tcW w:w="1885" w:type="dxa"/>
          </w:tcPr>
          <w:p w14:paraId="2FD208D4" w14:textId="77777777" w:rsidR="002B4EC6" w:rsidRDefault="002B4EC6" w:rsidP="000A1530"/>
        </w:tc>
        <w:tc>
          <w:tcPr>
            <w:tcW w:w="1800" w:type="dxa"/>
          </w:tcPr>
          <w:p w14:paraId="27A976BF" w14:textId="77777777" w:rsidR="002B4EC6" w:rsidRDefault="002B4EC6" w:rsidP="000A1530">
            <w:pPr>
              <w:rPr>
                <w:rFonts w:eastAsia="Times New Roman"/>
              </w:rPr>
            </w:pPr>
          </w:p>
        </w:tc>
        <w:tc>
          <w:tcPr>
            <w:tcW w:w="8280" w:type="dxa"/>
          </w:tcPr>
          <w:p w14:paraId="2B3D4D09" w14:textId="19E19D12" w:rsidR="002B4EC6" w:rsidRDefault="002B4EC6" w:rsidP="002B4EC6">
            <w:pPr>
              <w:tabs>
                <w:tab w:val="left" w:pos="1227"/>
              </w:tabs>
              <w:rPr>
                <w:rFonts w:eastAsia="Times New Roman"/>
              </w:rPr>
            </w:pPr>
            <w:r>
              <w:rPr>
                <w:rFonts w:eastAsia="Times New Roman"/>
              </w:rPr>
              <w:tab/>
            </w:r>
          </w:p>
        </w:tc>
        <w:tc>
          <w:tcPr>
            <w:tcW w:w="2700" w:type="dxa"/>
          </w:tcPr>
          <w:p w14:paraId="69C12F54" w14:textId="77777777" w:rsidR="002B4EC6" w:rsidRDefault="002B4EC6" w:rsidP="009925CE">
            <w:pPr>
              <w:ind w:left="968" w:hanging="968"/>
            </w:pPr>
          </w:p>
        </w:tc>
      </w:tr>
    </w:tbl>
    <w:p w14:paraId="0B54BE15" w14:textId="6F382C74" w:rsidR="00E27A2A" w:rsidRPr="007D364B" w:rsidRDefault="000A1530" w:rsidP="00F83709">
      <w:pPr>
        <w:spacing w:after="0" w:line="240" w:lineRule="auto"/>
        <w:rPr>
          <w:b/>
          <w:sz w:val="24"/>
        </w:rPr>
      </w:pPr>
      <w:r w:rsidRPr="007D364B">
        <w:rPr>
          <w:b/>
          <w:sz w:val="24"/>
        </w:rPr>
        <w:t>Facilitator: Kathleen Rees</w:t>
      </w:r>
      <w:r w:rsidR="007D364B">
        <w:rPr>
          <w:b/>
          <w:sz w:val="24"/>
        </w:rPr>
        <w:tab/>
      </w:r>
      <w:r w:rsidR="007D364B">
        <w:rPr>
          <w:b/>
          <w:sz w:val="24"/>
        </w:rPr>
        <w:tab/>
      </w:r>
      <w:r w:rsidR="007D364B">
        <w:rPr>
          <w:b/>
          <w:sz w:val="24"/>
        </w:rPr>
        <w:tab/>
      </w:r>
      <w:r w:rsidRPr="007D364B">
        <w:rPr>
          <w:b/>
          <w:sz w:val="24"/>
        </w:rPr>
        <w:t xml:space="preserve">Note Taker: </w:t>
      </w:r>
      <w:r w:rsidR="00431253">
        <w:rPr>
          <w:b/>
          <w:sz w:val="24"/>
        </w:rPr>
        <w:t>Jennifer L Brown</w:t>
      </w:r>
      <w:r w:rsidR="007D364B">
        <w:rPr>
          <w:b/>
          <w:sz w:val="24"/>
        </w:rPr>
        <w:tab/>
      </w:r>
      <w:r w:rsidR="003D4E01">
        <w:rPr>
          <w:b/>
          <w:sz w:val="24"/>
        </w:rPr>
        <w:tab/>
      </w:r>
      <w:r w:rsidR="007D364B">
        <w:rPr>
          <w:b/>
          <w:sz w:val="24"/>
        </w:rPr>
        <w:tab/>
      </w:r>
      <w:r w:rsidRPr="007D364B">
        <w:rPr>
          <w:b/>
          <w:sz w:val="24"/>
        </w:rPr>
        <w:t>Next Meeting:</w:t>
      </w:r>
      <w:r w:rsidR="00C26212" w:rsidRPr="007D364B">
        <w:rPr>
          <w:b/>
          <w:sz w:val="24"/>
        </w:rPr>
        <w:t xml:space="preserve"> F</w:t>
      </w:r>
      <w:r w:rsidR="007D364B" w:rsidRPr="007D364B">
        <w:rPr>
          <w:b/>
          <w:sz w:val="24"/>
        </w:rPr>
        <w:t xml:space="preserve">riday, </w:t>
      </w:r>
      <w:r w:rsidR="000940F3">
        <w:rPr>
          <w:b/>
          <w:sz w:val="24"/>
        </w:rPr>
        <w:t>April 14</w:t>
      </w:r>
      <w:r w:rsidR="007D364B" w:rsidRPr="007D364B">
        <w:rPr>
          <w:b/>
          <w:sz w:val="24"/>
        </w:rPr>
        <w:t xml:space="preserve"> 10-11</w:t>
      </w:r>
      <w:r w:rsidR="00431253">
        <w:rPr>
          <w:b/>
          <w:sz w:val="24"/>
        </w:rPr>
        <w:t xml:space="preserve"> am</w:t>
      </w:r>
    </w:p>
    <w:sectPr w:rsidR="00E27A2A" w:rsidRPr="007D364B" w:rsidSect="000A1530">
      <w:footnotePr>
        <w:numFmt w:val="chicago"/>
      </w:footnotePr>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6DA37" w14:textId="77777777" w:rsidR="00AC1372" w:rsidRDefault="00AC1372" w:rsidP="00BE3D69">
      <w:pPr>
        <w:spacing w:after="0" w:line="240" w:lineRule="auto"/>
      </w:pPr>
      <w:r>
        <w:separator/>
      </w:r>
    </w:p>
  </w:endnote>
  <w:endnote w:type="continuationSeparator" w:id="0">
    <w:p w14:paraId="38F06B78" w14:textId="77777777" w:rsidR="00AC1372" w:rsidRDefault="00AC1372" w:rsidP="00BE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C961D" w14:textId="77777777" w:rsidR="00AC1372" w:rsidRDefault="00AC1372" w:rsidP="00BE3D69">
      <w:pPr>
        <w:spacing w:after="0" w:line="240" w:lineRule="auto"/>
      </w:pPr>
      <w:r>
        <w:separator/>
      </w:r>
    </w:p>
  </w:footnote>
  <w:footnote w:type="continuationSeparator" w:id="0">
    <w:p w14:paraId="6B6B724F" w14:textId="77777777" w:rsidR="00AC1372" w:rsidRDefault="00AC1372" w:rsidP="00BE3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E0F"/>
    <w:multiLevelType w:val="hybridMultilevel"/>
    <w:tmpl w:val="81F62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12E80"/>
    <w:multiLevelType w:val="multilevel"/>
    <w:tmpl w:val="D3446390"/>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ascii="Calibri" w:eastAsiaTheme="minorHAnsi" w:hAnsi="Calibri"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991725"/>
    <w:multiLevelType w:val="hybridMultilevel"/>
    <w:tmpl w:val="0E726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E326B"/>
    <w:multiLevelType w:val="hybridMultilevel"/>
    <w:tmpl w:val="F36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D762F"/>
    <w:multiLevelType w:val="hybridMultilevel"/>
    <w:tmpl w:val="2BFC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F22FD"/>
    <w:multiLevelType w:val="hybridMultilevel"/>
    <w:tmpl w:val="7A769832"/>
    <w:lvl w:ilvl="0" w:tplc="04090005">
      <w:start w:val="1"/>
      <w:numFmt w:val="bullet"/>
      <w:lvlText w:val=""/>
      <w:lvlJc w:val="left"/>
      <w:pPr>
        <w:ind w:left="720" w:hanging="360"/>
      </w:pPr>
      <w:rPr>
        <w:rFonts w:ascii="Wingdings" w:hAnsi="Wingdings" w:hint="default"/>
      </w:rPr>
    </w:lvl>
    <w:lvl w:ilvl="1" w:tplc="DF3209B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11236"/>
    <w:multiLevelType w:val="hybridMultilevel"/>
    <w:tmpl w:val="B33C8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282853"/>
    <w:multiLevelType w:val="hybridMultilevel"/>
    <w:tmpl w:val="6FDCE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00777"/>
    <w:multiLevelType w:val="hybridMultilevel"/>
    <w:tmpl w:val="31225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1189A"/>
    <w:multiLevelType w:val="hybridMultilevel"/>
    <w:tmpl w:val="6F7C4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150E4"/>
    <w:multiLevelType w:val="hybridMultilevel"/>
    <w:tmpl w:val="747A0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072A8"/>
    <w:multiLevelType w:val="multilevel"/>
    <w:tmpl w:val="E77293EA"/>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1433160"/>
    <w:multiLevelType w:val="hybridMultilevel"/>
    <w:tmpl w:val="31C8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F00E2"/>
    <w:multiLevelType w:val="hybridMultilevel"/>
    <w:tmpl w:val="FB6AA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217F19"/>
    <w:multiLevelType w:val="hybridMultilevel"/>
    <w:tmpl w:val="6AAA5B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4D1DEB"/>
    <w:multiLevelType w:val="hybridMultilevel"/>
    <w:tmpl w:val="F622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EC7FE5"/>
    <w:multiLevelType w:val="hybridMultilevel"/>
    <w:tmpl w:val="7806E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146C9"/>
    <w:multiLevelType w:val="multilevel"/>
    <w:tmpl w:val="92847198"/>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8A12F49"/>
    <w:multiLevelType w:val="hybridMultilevel"/>
    <w:tmpl w:val="5D365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336B0C"/>
    <w:multiLevelType w:val="hybridMultilevel"/>
    <w:tmpl w:val="005E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B07C4"/>
    <w:multiLevelType w:val="multilevel"/>
    <w:tmpl w:val="4994FF44"/>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ECE1E8D"/>
    <w:multiLevelType w:val="hybridMultilevel"/>
    <w:tmpl w:val="829CFF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E5265F"/>
    <w:multiLevelType w:val="hybridMultilevel"/>
    <w:tmpl w:val="8AB0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BB4B2E"/>
    <w:multiLevelType w:val="multilevel"/>
    <w:tmpl w:val="EC3AEB1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E87627B"/>
    <w:multiLevelType w:val="hybridMultilevel"/>
    <w:tmpl w:val="868C0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3A5914"/>
    <w:multiLevelType w:val="hybridMultilevel"/>
    <w:tmpl w:val="5F54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736A9C"/>
    <w:multiLevelType w:val="hybridMultilevel"/>
    <w:tmpl w:val="48FC4E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7A3CE6"/>
    <w:multiLevelType w:val="hybridMultilevel"/>
    <w:tmpl w:val="05829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8D1A60"/>
    <w:multiLevelType w:val="hybridMultilevel"/>
    <w:tmpl w:val="8898C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DF5B4B"/>
    <w:multiLevelType w:val="hybridMultilevel"/>
    <w:tmpl w:val="2AFA04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9C5C57"/>
    <w:multiLevelType w:val="multilevel"/>
    <w:tmpl w:val="7BA877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7712998"/>
    <w:multiLevelType w:val="hybridMultilevel"/>
    <w:tmpl w:val="B0321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F604FF"/>
    <w:multiLevelType w:val="hybridMultilevel"/>
    <w:tmpl w:val="01D81B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7C3A83"/>
    <w:multiLevelType w:val="hybridMultilevel"/>
    <w:tmpl w:val="4ACA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DB3ABC"/>
    <w:multiLevelType w:val="hybridMultilevel"/>
    <w:tmpl w:val="2B0CD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A0765FE"/>
    <w:multiLevelType w:val="hybridMultilevel"/>
    <w:tmpl w:val="D17E8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B40527B"/>
    <w:multiLevelType w:val="hybridMultilevel"/>
    <w:tmpl w:val="CE18F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F24DF3"/>
    <w:multiLevelType w:val="hybridMultilevel"/>
    <w:tmpl w:val="4F1C4F68"/>
    <w:lvl w:ilvl="0" w:tplc="2A4055E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1924EEE"/>
    <w:multiLevelType w:val="hybridMultilevel"/>
    <w:tmpl w:val="A3DEF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2684D20"/>
    <w:multiLevelType w:val="hybridMultilevel"/>
    <w:tmpl w:val="F50A2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64808F5"/>
    <w:multiLevelType w:val="hybridMultilevel"/>
    <w:tmpl w:val="8DBCE422"/>
    <w:lvl w:ilvl="0" w:tplc="94FC350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DB4E05"/>
    <w:multiLevelType w:val="hybridMultilevel"/>
    <w:tmpl w:val="00448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8E37B0A"/>
    <w:multiLevelType w:val="hybridMultilevel"/>
    <w:tmpl w:val="7BF61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AD75DE8"/>
    <w:multiLevelType w:val="hybridMultilevel"/>
    <w:tmpl w:val="7BFE2C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D57786"/>
    <w:multiLevelType w:val="hybridMultilevel"/>
    <w:tmpl w:val="C7C8C5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5" w15:restartNumberingAfterBreak="0">
    <w:nsid w:val="7F5B0EA2"/>
    <w:multiLevelType w:val="hybridMultilevel"/>
    <w:tmpl w:val="43FE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504486">
    <w:abstractNumId w:val="36"/>
  </w:num>
  <w:num w:numId="2" w16cid:durableId="1791900121">
    <w:abstractNumId w:val="8"/>
  </w:num>
  <w:num w:numId="3" w16cid:durableId="131334539">
    <w:abstractNumId w:val="9"/>
  </w:num>
  <w:num w:numId="4" w16cid:durableId="623351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3510338">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2299147">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872108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1199537">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2996825">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1034019">
    <w:abstractNumId w:val="38"/>
  </w:num>
  <w:num w:numId="11" w16cid:durableId="1084909650">
    <w:abstractNumId w:val="40"/>
  </w:num>
  <w:num w:numId="12" w16cid:durableId="1028602240">
    <w:abstractNumId w:val="13"/>
  </w:num>
  <w:num w:numId="13" w16cid:durableId="807094789">
    <w:abstractNumId w:val="44"/>
  </w:num>
  <w:num w:numId="14" w16cid:durableId="1404446610">
    <w:abstractNumId w:val="13"/>
  </w:num>
  <w:num w:numId="15" w16cid:durableId="117573266">
    <w:abstractNumId w:val="44"/>
  </w:num>
  <w:num w:numId="16" w16cid:durableId="1695887878">
    <w:abstractNumId w:val="21"/>
  </w:num>
  <w:num w:numId="17" w16cid:durableId="1330212090">
    <w:abstractNumId w:val="37"/>
  </w:num>
  <w:num w:numId="18" w16cid:durableId="1780444705">
    <w:abstractNumId w:val="32"/>
  </w:num>
  <w:num w:numId="19" w16cid:durableId="1783188586">
    <w:abstractNumId w:val="34"/>
  </w:num>
  <w:num w:numId="20" w16cid:durableId="1760787143">
    <w:abstractNumId w:val="19"/>
  </w:num>
  <w:num w:numId="21" w16cid:durableId="13308356">
    <w:abstractNumId w:val="3"/>
  </w:num>
  <w:num w:numId="22" w16cid:durableId="2087721595">
    <w:abstractNumId w:val="26"/>
  </w:num>
  <w:num w:numId="23" w16cid:durableId="1762682048">
    <w:abstractNumId w:val="43"/>
  </w:num>
  <w:num w:numId="24" w16cid:durableId="1563566631">
    <w:abstractNumId w:val="14"/>
  </w:num>
  <w:num w:numId="25" w16cid:durableId="1167280342">
    <w:abstractNumId w:val="5"/>
  </w:num>
  <w:num w:numId="26" w16cid:durableId="1557738123">
    <w:abstractNumId w:val="2"/>
  </w:num>
  <w:num w:numId="27" w16cid:durableId="816730835">
    <w:abstractNumId w:val="45"/>
  </w:num>
  <w:num w:numId="28" w16cid:durableId="1977102843">
    <w:abstractNumId w:val="10"/>
  </w:num>
  <w:num w:numId="29" w16cid:durableId="491607850">
    <w:abstractNumId w:val="6"/>
  </w:num>
  <w:num w:numId="30" w16cid:durableId="1415319537">
    <w:abstractNumId w:val="24"/>
  </w:num>
  <w:num w:numId="31" w16cid:durableId="70275380">
    <w:abstractNumId w:val="35"/>
  </w:num>
  <w:num w:numId="32" w16cid:durableId="829902662">
    <w:abstractNumId w:val="42"/>
  </w:num>
  <w:num w:numId="33" w16cid:durableId="100033954">
    <w:abstractNumId w:val="22"/>
  </w:num>
  <w:num w:numId="34" w16cid:durableId="1632902289">
    <w:abstractNumId w:val="15"/>
  </w:num>
  <w:num w:numId="35" w16cid:durableId="1059090057">
    <w:abstractNumId w:val="25"/>
  </w:num>
  <w:num w:numId="36" w16cid:durableId="1438057629">
    <w:abstractNumId w:val="7"/>
  </w:num>
  <w:num w:numId="37" w16cid:durableId="695929113">
    <w:abstractNumId w:val="18"/>
  </w:num>
  <w:num w:numId="38" w16cid:durableId="655303000">
    <w:abstractNumId w:val="39"/>
  </w:num>
  <w:num w:numId="39" w16cid:durableId="352847954">
    <w:abstractNumId w:val="33"/>
  </w:num>
  <w:num w:numId="40" w16cid:durableId="2118596515">
    <w:abstractNumId w:val="16"/>
  </w:num>
  <w:num w:numId="41" w16cid:durableId="239490543">
    <w:abstractNumId w:val="41"/>
  </w:num>
  <w:num w:numId="42" w16cid:durableId="818426718">
    <w:abstractNumId w:val="31"/>
  </w:num>
  <w:num w:numId="43" w16cid:durableId="684602380">
    <w:abstractNumId w:val="29"/>
  </w:num>
  <w:num w:numId="44" w16cid:durableId="1996061766">
    <w:abstractNumId w:val="27"/>
  </w:num>
  <w:num w:numId="45" w16cid:durableId="659965519">
    <w:abstractNumId w:val="0"/>
  </w:num>
  <w:num w:numId="46" w16cid:durableId="1043675340">
    <w:abstractNumId w:val="12"/>
  </w:num>
  <w:num w:numId="47" w16cid:durableId="1036269731">
    <w:abstractNumId w:val="4"/>
  </w:num>
  <w:num w:numId="48" w16cid:durableId="17701538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69"/>
    <w:rsid w:val="000048AB"/>
    <w:rsid w:val="00004BC4"/>
    <w:rsid w:val="000140FA"/>
    <w:rsid w:val="00023506"/>
    <w:rsid w:val="0002654A"/>
    <w:rsid w:val="00031194"/>
    <w:rsid w:val="000346F4"/>
    <w:rsid w:val="00036C77"/>
    <w:rsid w:val="00041939"/>
    <w:rsid w:val="0004294B"/>
    <w:rsid w:val="0004295C"/>
    <w:rsid w:val="00050046"/>
    <w:rsid w:val="0005519E"/>
    <w:rsid w:val="00061E6D"/>
    <w:rsid w:val="00065993"/>
    <w:rsid w:val="0007644E"/>
    <w:rsid w:val="000838EE"/>
    <w:rsid w:val="00083B5E"/>
    <w:rsid w:val="00083C62"/>
    <w:rsid w:val="000940F3"/>
    <w:rsid w:val="0009476F"/>
    <w:rsid w:val="00097738"/>
    <w:rsid w:val="000A1530"/>
    <w:rsid w:val="000A58AE"/>
    <w:rsid w:val="000A5DD5"/>
    <w:rsid w:val="000B5446"/>
    <w:rsid w:val="000C2F3D"/>
    <w:rsid w:val="000E601E"/>
    <w:rsid w:val="000F13B2"/>
    <w:rsid w:val="00100C80"/>
    <w:rsid w:val="00101F89"/>
    <w:rsid w:val="0010237F"/>
    <w:rsid w:val="001036B5"/>
    <w:rsid w:val="00110A6F"/>
    <w:rsid w:val="0011442B"/>
    <w:rsid w:val="00114CBA"/>
    <w:rsid w:val="0011799A"/>
    <w:rsid w:val="00117DAE"/>
    <w:rsid w:val="001261BD"/>
    <w:rsid w:val="00130625"/>
    <w:rsid w:val="001364CC"/>
    <w:rsid w:val="0013683E"/>
    <w:rsid w:val="00143666"/>
    <w:rsid w:val="00143D68"/>
    <w:rsid w:val="0014495D"/>
    <w:rsid w:val="0015523F"/>
    <w:rsid w:val="0016030F"/>
    <w:rsid w:val="00163BD4"/>
    <w:rsid w:val="00166AFA"/>
    <w:rsid w:val="00167F83"/>
    <w:rsid w:val="00175C0A"/>
    <w:rsid w:val="00176CA8"/>
    <w:rsid w:val="00177C76"/>
    <w:rsid w:val="00181256"/>
    <w:rsid w:val="00181A94"/>
    <w:rsid w:val="001824F5"/>
    <w:rsid w:val="00182744"/>
    <w:rsid w:val="00184F07"/>
    <w:rsid w:val="00185255"/>
    <w:rsid w:val="00187143"/>
    <w:rsid w:val="00187450"/>
    <w:rsid w:val="001928B1"/>
    <w:rsid w:val="00193CF1"/>
    <w:rsid w:val="00196580"/>
    <w:rsid w:val="0019744A"/>
    <w:rsid w:val="001A16D1"/>
    <w:rsid w:val="001A3D67"/>
    <w:rsid w:val="001A6260"/>
    <w:rsid w:val="001A6E1D"/>
    <w:rsid w:val="001B0D82"/>
    <w:rsid w:val="001B15A3"/>
    <w:rsid w:val="001C135F"/>
    <w:rsid w:val="001C62CF"/>
    <w:rsid w:val="001D51A3"/>
    <w:rsid w:val="001D59AD"/>
    <w:rsid w:val="001E76F7"/>
    <w:rsid w:val="001F3168"/>
    <w:rsid w:val="001F37D8"/>
    <w:rsid w:val="001F6E4C"/>
    <w:rsid w:val="00200737"/>
    <w:rsid w:val="00212518"/>
    <w:rsid w:val="00213508"/>
    <w:rsid w:val="00220300"/>
    <w:rsid w:val="00222EBA"/>
    <w:rsid w:val="00223054"/>
    <w:rsid w:val="0024137A"/>
    <w:rsid w:val="00252581"/>
    <w:rsid w:val="002550B9"/>
    <w:rsid w:val="0026748A"/>
    <w:rsid w:val="002678B0"/>
    <w:rsid w:val="00267F26"/>
    <w:rsid w:val="00277976"/>
    <w:rsid w:val="002817D5"/>
    <w:rsid w:val="0028347F"/>
    <w:rsid w:val="002851B1"/>
    <w:rsid w:val="00290BA4"/>
    <w:rsid w:val="002919C9"/>
    <w:rsid w:val="002952B6"/>
    <w:rsid w:val="00295E74"/>
    <w:rsid w:val="002A5BC1"/>
    <w:rsid w:val="002A6A9F"/>
    <w:rsid w:val="002B245A"/>
    <w:rsid w:val="002B2E33"/>
    <w:rsid w:val="002B4EC6"/>
    <w:rsid w:val="002B638B"/>
    <w:rsid w:val="002C2AF4"/>
    <w:rsid w:val="002E3373"/>
    <w:rsid w:val="002E3973"/>
    <w:rsid w:val="002E63EA"/>
    <w:rsid w:val="002F6FC4"/>
    <w:rsid w:val="00300127"/>
    <w:rsid w:val="00301FB4"/>
    <w:rsid w:val="003028F4"/>
    <w:rsid w:val="00303881"/>
    <w:rsid w:val="00305AAC"/>
    <w:rsid w:val="00307D8B"/>
    <w:rsid w:val="00311978"/>
    <w:rsid w:val="00323747"/>
    <w:rsid w:val="00323E3F"/>
    <w:rsid w:val="003301E7"/>
    <w:rsid w:val="00332B95"/>
    <w:rsid w:val="003347A2"/>
    <w:rsid w:val="00340409"/>
    <w:rsid w:val="00340D38"/>
    <w:rsid w:val="003429CC"/>
    <w:rsid w:val="0034624B"/>
    <w:rsid w:val="00353A3C"/>
    <w:rsid w:val="0036484A"/>
    <w:rsid w:val="0037042B"/>
    <w:rsid w:val="00371136"/>
    <w:rsid w:val="00386503"/>
    <w:rsid w:val="0039267F"/>
    <w:rsid w:val="003B12FD"/>
    <w:rsid w:val="003B4209"/>
    <w:rsid w:val="003B4E49"/>
    <w:rsid w:val="003C3892"/>
    <w:rsid w:val="003C6691"/>
    <w:rsid w:val="003D4E01"/>
    <w:rsid w:val="003D4E0E"/>
    <w:rsid w:val="003E128E"/>
    <w:rsid w:val="003E3B48"/>
    <w:rsid w:val="003F29F3"/>
    <w:rsid w:val="003F4240"/>
    <w:rsid w:val="00402641"/>
    <w:rsid w:val="004035F7"/>
    <w:rsid w:val="00411333"/>
    <w:rsid w:val="00417203"/>
    <w:rsid w:val="00423A9C"/>
    <w:rsid w:val="00426712"/>
    <w:rsid w:val="00431253"/>
    <w:rsid w:val="00444BB4"/>
    <w:rsid w:val="004472C2"/>
    <w:rsid w:val="00450C2F"/>
    <w:rsid w:val="004603EB"/>
    <w:rsid w:val="0046279D"/>
    <w:rsid w:val="0046390C"/>
    <w:rsid w:val="00466384"/>
    <w:rsid w:val="004706F1"/>
    <w:rsid w:val="00472EC3"/>
    <w:rsid w:val="00474906"/>
    <w:rsid w:val="00476EFD"/>
    <w:rsid w:val="004843B0"/>
    <w:rsid w:val="00485DB0"/>
    <w:rsid w:val="00487666"/>
    <w:rsid w:val="004944C0"/>
    <w:rsid w:val="004A13C4"/>
    <w:rsid w:val="004A60C8"/>
    <w:rsid w:val="004A64EB"/>
    <w:rsid w:val="004B4130"/>
    <w:rsid w:val="004B43B5"/>
    <w:rsid w:val="004B50F8"/>
    <w:rsid w:val="004C3C9A"/>
    <w:rsid w:val="004D26E0"/>
    <w:rsid w:val="004D7EA0"/>
    <w:rsid w:val="004F1455"/>
    <w:rsid w:val="00501343"/>
    <w:rsid w:val="00507015"/>
    <w:rsid w:val="005179B3"/>
    <w:rsid w:val="00523962"/>
    <w:rsid w:val="0052506B"/>
    <w:rsid w:val="00525CAE"/>
    <w:rsid w:val="0053796F"/>
    <w:rsid w:val="00544692"/>
    <w:rsid w:val="00552491"/>
    <w:rsid w:val="00552D82"/>
    <w:rsid w:val="0055799F"/>
    <w:rsid w:val="005668AE"/>
    <w:rsid w:val="00577F2C"/>
    <w:rsid w:val="00580537"/>
    <w:rsid w:val="00591E75"/>
    <w:rsid w:val="00597A19"/>
    <w:rsid w:val="005A1107"/>
    <w:rsid w:val="005A225E"/>
    <w:rsid w:val="005B2EA4"/>
    <w:rsid w:val="005B37E3"/>
    <w:rsid w:val="005B4044"/>
    <w:rsid w:val="005B4812"/>
    <w:rsid w:val="005C13D5"/>
    <w:rsid w:val="005D1DF0"/>
    <w:rsid w:val="005D4A0C"/>
    <w:rsid w:val="005D596D"/>
    <w:rsid w:val="005E061D"/>
    <w:rsid w:val="005E0A22"/>
    <w:rsid w:val="005F0EAA"/>
    <w:rsid w:val="005F43F1"/>
    <w:rsid w:val="0060392A"/>
    <w:rsid w:val="00607DA3"/>
    <w:rsid w:val="00610AB3"/>
    <w:rsid w:val="00613A92"/>
    <w:rsid w:val="0061577E"/>
    <w:rsid w:val="0061581D"/>
    <w:rsid w:val="00615955"/>
    <w:rsid w:val="0062484D"/>
    <w:rsid w:val="00624C2D"/>
    <w:rsid w:val="00637B71"/>
    <w:rsid w:val="00642AEC"/>
    <w:rsid w:val="0064714C"/>
    <w:rsid w:val="00647936"/>
    <w:rsid w:val="0066616B"/>
    <w:rsid w:val="00672E23"/>
    <w:rsid w:val="0067551B"/>
    <w:rsid w:val="00682BC7"/>
    <w:rsid w:val="006835F3"/>
    <w:rsid w:val="006978B6"/>
    <w:rsid w:val="006A084E"/>
    <w:rsid w:val="006A3D2B"/>
    <w:rsid w:val="006A3F11"/>
    <w:rsid w:val="006B1EDB"/>
    <w:rsid w:val="006B392A"/>
    <w:rsid w:val="006C30A5"/>
    <w:rsid w:val="006D7393"/>
    <w:rsid w:val="006E5142"/>
    <w:rsid w:val="006F38B8"/>
    <w:rsid w:val="006F7DE8"/>
    <w:rsid w:val="0070774F"/>
    <w:rsid w:val="007139F9"/>
    <w:rsid w:val="007164C8"/>
    <w:rsid w:val="00723C34"/>
    <w:rsid w:val="00724BB6"/>
    <w:rsid w:val="007351F8"/>
    <w:rsid w:val="0074055A"/>
    <w:rsid w:val="0074055F"/>
    <w:rsid w:val="0074690D"/>
    <w:rsid w:val="00763473"/>
    <w:rsid w:val="007638B4"/>
    <w:rsid w:val="007676EA"/>
    <w:rsid w:val="007721EF"/>
    <w:rsid w:val="00772331"/>
    <w:rsid w:val="007746AF"/>
    <w:rsid w:val="007841EF"/>
    <w:rsid w:val="00793F0A"/>
    <w:rsid w:val="00794401"/>
    <w:rsid w:val="00794D6D"/>
    <w:rsid w:val="00796F3D"/>
    <w:rsid w:val="007A0358"/>
    <w:rsid w:val="007A0D2C"/>
    <w:rsid w:val="007A1000"/>
    <w:rsid w:val="007A26FD"/>
    <w:rsid w:val="007A76DE"/>
    <w:rsid w:val="007B2DA2"/>
    <w:rsid w:val="007B504F"/>
    <w:rsid w:val="007B580D"/>
    <w:rsid w:val="007D2536"/>
    <w:rsid w:val="007D364B"/>
    <w:rsid w:val="007D5E9B"/>
    <w:rsid w:val="007E0156"/>
    <w:rsid w:val="007F5703"/>
    <w:rsid w:val="007F794C"/>
    <w:rsid w:val="0080442C"/>
    <w:rsid w:val="00814378"/>
    <w:rsid w:val="00815D65"/>
    <w:rsid w:val="0082010F"/>
    <w:rsid w:val="00822C23"/>
    <w:rsid w:val="00830CFE"/>
    <w:rsid w:val="00832AB1"/>
    <w:rsid w:val="008343D7"/>
    <w:rsid w:val="0084359D"/>
    <w:rsid w:val="008444F2"/>
    <w:rsid w:val="00862C24"/>
    <w:rsid w:val="008644BB"/>
    <w:rsid w:val="00864E75"/>
    <w:rsid w:val="00873DEF"/>
    <w:rsid w:val="00875853"/>
    <w:rsid w:val="00877FA0"/>
    <w:rsid w:val="00881EC2"/>
    <w:rsid w:val="0088391F"/>
    <w:rsid w:val="0088538C"/>
    <w:rsid w:val="008918E3"/>
    <w:rsid w:val="00892AED"/>
    <w:rsid w:val="008932F4"/>
    <w:rsid w:val="008A0E51"/>
    <w:rsid w:val="008A19B5"/>
    <w:rsid w:val="008A39D4"/>
    <w:rsid w:val="008A51A0"/>
    <w:rsid w:val="008C4CF2"/>
    <w:rsid w:val="008C6701"/>
    <w:rsid w:val="008D260B"/>
    <w:rsid w:val="008D5A9A"/>
    <w:rsid w:val="008D5B85"/>
    <w:rsid w:val="008D7D71"/>
    <w:rsid w:val="008E0095"/>
    <w:rsid w:val="008E5C01"/>
    <w:rsid w:val="008E7557"/>
    <w:rsid w:val="00906B39"/>
    <w:rsid w:val="00907DA7"/>
    <w:rsid w:val="00910181"/>
    <w:rsid w:val="00917296"/>
    <w:rsid w:val="009228BA"/>
    <w:rsid w:val="00924807"/>
    <w:rsid w:val="00925AB8"/>
    <w:rsid w:val="009265AC"/>
    <w:rsid w:val="00934D0B"/>
    <w:rsid w:val="009404A1"/>
    <w:rsid w:val="00942B08"/>
    <w:rsid w:val="00943AE2"/>
    <w:rsid w:val="00944768"/>
    <w:rsid w:val="00946CE8"/>
    <w:rsid w:val="0095187D"/>
    <w:rsid w:val="00956F0E"/>
    <w:rsid w:val="00960271"/>
    <w:rsid w:val="00967D3E"/>
    <w:rsid w:val="0097142B"/>
    <w:rsid w:val="0097723D"/>
    <w:rsid w:val="00980129"/>
    <w:rsid w:val="00980CE7"/>
    <w:rsid w:val="009810CE"/>
    <w:rsid w:val="009817EA"/>
    <w:rsid w:val="009925CE"/>
    <w:rsid w:val="00993105"/>
    <w:rsid w:val="009972FB"/>
    <w:rsid w:val="009A0720"/>
    <w:rsid w:val="009A4625"/>
    <w:rsid w:val="009A467E"/>
    <w:rsid w:val="009B102B"/>
    <w:rsid w:val="009B350A"/>
    <w:rsid w:val="009B4CAE"/>
    <w:rsid w:val="009C0642"/>
    <w:rsid w:val="009C0888"/>
    <w:rsid w:val="009C3C37"/>
    <w:rsid w:val="009C4DB7"/>
    <w:rsid w:val="009C5B7E"/>
    <w:rsid w:val="009C640F"/>
    <w:rsid w:val="009D2499"/>
    <w:rsid w:val="009D4B35"/>
    <w:rsid w:val="009D7DCB"/>
    <w:rsid w:val="009E0817"/>
    <w:rsid w:val="009E5586"/>
    <w:rsid w:val="009E780A"/>
    <w:rsid w:val="009F0AF5"/>
    <w:rsid w:val="009F1E63"/>
    <w:rsid w:val="00A03A04"/>
    <w:rsid w:val="00A06DED"/>
    <w:rsid w:val="00A26411"/>
    <w:rsid w:val="00A279E2"/>
    <w:rsid w:val="00A37A3F"/>
    <w:rsid w:val="00A46222"/>
    <w:rsid w:val="00A53181"/>
    <w:rsid w:val="00A6117B"/>
    <w:rsid w:val="00A65255"/>
    <w:rsid w:val="00A731E2"/>
    <w:rsid w:val="00A75336"/>
    <w:rsid w:val="00A84BC0"/>
    <w:rsid w:val="00A86EEB"/>
    <w:rsid w:val="00A94501"/>
    <w:rsid w:val="00A965EA"/>
    <w:rsid w:val="00A97176"/>
    <w:rsid w:val="00AA1A67"/>
    <w:rsid w:val="00AB3490"/>
    <w:rsid w:val="00AC1372"/>
    <w:rsid w:val="00AD0BFE"/>
    <w:rsid w:val="00AD5027"/>
    <w:rsid w:val="00AD724F"/>
    <w:rsid w:val="00AD7828"/>
    <w:rsid w:val="00AD7B83"/>
    <w:rsid w:val="00AE235D"/>
    <w:rsid w:val="00AE4CAC"/>
    <w:rsid w:val="00AE5EA7"/>
    <w:rsid w:val="00AF565F"/>
    <w:rsid w:val="00AF6FDE"/>
    <w:rsid w:val="00AF7D5B"/>
    <w:rsid w:val="00B019E7"/>
    <w:rsid w:val="00B069E7"/>
    <w:rsid w:val="00B07284"/>
    <w:rsid w:val="00B1157D"/>
    <w:rsid w:val="00B158CD"/>
    <w:rsid w:val="00B15AC1"/>
    <w:rsid w:val="00B1726C"/>
    <w:rsid w:val="00B219C6"/>
    <w:rsid w:val="00B31CBF"/>
    <w:rsid w:val="00B33BB2"/>
    <w:rsid w:val="00B341AD"/>
    <w:rsid w:val="00B35FC6"/>
    <w:rsid w:val="00B37570"/>
    <w:rsid w:val="00B407AF"/>
    <w:rsid w:val="00B52A7D"/>
    <w:rsid w:val="00B5324F"/>
    <w:rsid w:val="00B563D5"/>
    <w:rsid w:val="00B6557C"/>
    <w:rsid w:val="00B70ED3"/>
    <w:rsid w:val="00B710D6"/>
    <w:rsid w:val="00B71D94"/>
    <w:rsid w:val="00B80A94"/>
    <w:rsid w:val="00B81FCD"/>
    <w:rsid w:val="00B82451"/>
    <w:rsid w:val="00B84E2A"/>
    <w:rsid w:val="00B86843"/>
    <w:rsid w:val="00B87E4E"/>
    <w:rsid w:val="00B93490"/>
    <w:rsid w:val="00B93D31"/>
    <w:rsid w:val="00B9632E"/>
    <w:rsid w:val="00B9638B"/>
    <w:rsid w:val="00BA07DF"/>
    <w:rsid w:val="00BD64DE"/>
    <w:rsid w:val="00BD778A"/>
    <w:rsid w:val="00BE2944"/>
    <w:rsid w:val="00BE3D69"/>
    <w:rsid w:val="00BF571C"/>
    <w:rsid w:val="00BF5FB6"/>
    <w:rsid w:val="00C016E2"/>
    <w:rsid w:val="00C04D04"/>
    <w:rsid w:val="00C10CC2"/>
    <w:rsid w:val="00C14C07"/>
    <w:rsid w:val="00C178F3"/>
    <w:rsid w:val="00C26212"/>
    <w:rsid w:val="00C42B18"/>
    <w:rsid w:val="00C56189"/>
    <w:rsid w:val="00C627EF"/>
    <w:rsid w:val="00C65189"/>
    <w:rsid w:val="00C65AFD"/>
    <w:rsid w:val="00C8260C"/>
    <w:rsid w:val="00C85453"/>
    <w:rsid w:val="00C90D30"/>
    <w:rsid w:val="00CA45EE"/>
    <w:rsid w:val="00CA6223"/>
    <w:rsid w:val="00CB73FB"/>
    <w:rsid w:val="00CB75BB"/>
    <w:rsid w:val="00CC2376"/>
    <w:rsid w:val="00CC377F"/>
    <w:rsid w:val="00CC3F19"/>
    <w:rsid w:val="00CD314D"/>
    <w:rsid w:val="00CE0029"/>
    <w:rsid w:val="00CE367B"/>
    <w:rsid w:val="00CF0B3E"/>
    <w:rsid w:val="00D0046C"/>
    <w:rsid w:val="00D0739C"/>
    <w:rsid w:val="00D213E3"/>
    <w:rsid w:val="00D24C5A"/>
    <w:rsid w:val="00D24D87"/>
    <w:rsid w:val="00D36F34"/>
    <w:rsid w:val="00D422E5"/>
    <w:rsid w:val="00D43F02"/>
    <w:rsid w:val="00D449B6"/>
    <w:rsid w:val="00D55226"/>
    <w:rsid w:val="00D575A5"/>
    <w:rsid w:val="00D6751D"/>
    <w:rsid w:val="00D8577C"/>
    <w:rsid w:val="00D922CE"/>
    <w:rsid w:val="00D94FD2"/>
    <w:rsid w:val="00DA4CAA"/>
    <w:rsid w:val="00DB4CB2"/>
    <w:rsid w:val="00DB52A2"/>
    <w:rsid w:val="00DC2C0B"/>
    <w:rsid w:val="00DC4B45"/>
    <w:rsid w:val="00DD55F6"/>
    <w:rsid w:val="00DD6E79"/>
    <w:rsid w:val="00DE37BF"/>
    <w:rsid w:val="00DE515B"/>
    <w:rsid w:val="00DE5C9F"/>
    <w:rsid w:val="00DE5D67"/>
    <w:rsid w:val="00DF547D"/>
    <w:rsid w:val="00E01677"/>
    <w:rsid w:val="00E03AF5"/>
    <w:rsid w:val="00E03DB6"/>
    <w:rsid w:val="00E065D8"/>
    <w:rsid w:val="00E169F3"/>
    <w:rsid w:val="00E20415"/>
    <w:rsid w:val="00E23BCD"/>
    <w:rsid w:val="00E24217"/>
    <w:rsid w:val="00E27A2A"/>
    <w:rsid w:val="00E30D3E"/>
    <w:rsid w:val="00E30F1C"/>
    <w:rsid w:val="00E30FF0"/>
    <w:rsid w:val="00E3144B"/>
    <w:rsid w:val="00E34559"/>
    <w:rsid w:val="00E34950"/>
    <w:rsid w:val="00E40B6A"/>
    <w:rsid w:val="00E446A5"/>
    <w:rsid w:val="00E44C07"/>
    <w:rsid w:val="00E51957"/>
    <w:rsid w:val="00E5277F"/>
    <w:rsid w:val="00E52FBA"/>
    <w:rsid w:val="00E545FF"/>
    <w:rsid w:val="00E56A9B"/>
    <w:rsid w:val="00E571EA"/>
    <w:rsid w:val="00E60D3C"/>
    <w:rsid w:val="00E61127"/>
    <w:rsid w:val="00E65D83"/>
    <w:rsid w:val="00E6685A"/>
    <w:rsid w:val="00E668C8"/>
    <w:rsid w:val="00E700C1"/>
    <w:rsid w:val="00E8016C"/>
    <w:rsid w:val="00E8187C"/>
    <w:rsid w:val="00E85102"/>
    <w:rsid w:val="00E876E4"/>
    <w:rsid w:val="00E94F1F"/>
    <w:rsid w:val="00EA1029"/>
    <w:rsid w:val="00EA386A"/>
    <w:rsid w:val="00EA7A9D"/>
    <w:rsid w:val="00EA7ED5"/>
    <w:rsid w:val="00EB039E"/>
    <w:rsid w:val="00EB7142"/>
    <w:rsid w:val="00EC6BDC"/>
    <w:rsid w:val="00ED07C4"/>
    <w:rsid w:val="00ED1865"/>
    <w:rsid w:val="00EE27DD"/>
    <w:rsid w:val="00EE3F13"/>
    <w:rsid w:val="00EE4291"/>
    <w:rsid w:val="00EE61AA"/>
    <w:rsid w:val="00EF60DC"/>
    <w:rsid w:val="00F00A9A"/>
    <w:rsid w:val="00F02687"/>
    <w:rsid w:val="00F05060"/>
    <w:rsid w:val="00F059D7"/>
    <w:rsid w:val="00F06748"/>
    <w:rsid w:val="00F1021A"/>
    <w:rsid w:val="00F1024B"/>
    <w:rsid w:val="00F137DA"/>
    <w:rsid w:val="00F210EC"/>
    <w:rsid w:val="00F2333F"/>
    <w:rsid w:val="00F245AC"/>
    <w:rsid w:val="00F262A5"/>
    <w:rsid w:val="00F31CBF"/>
    <w:rsid w:val="00F31DAF"/>
    <w:rsid w:val="00F32694"/>
    <w:rsid w:val="00F44163"/>
    <w:rsid w:val="00F45225"/>
    <w:rsid w:val="00F460A4"/>
    <w:rsid w:val="00F518C1"/>
    <w:rsid w:val="00F52648"/>
    <w:rsid w:val="00F53AB3"/>
    <w:rsid w:val="00F540D4"/>
    <w:rsid w:val="00F55CA7"/>
    <w:rsid w:val="00F61950"/>
    <w:rsid w:val="00F674EA"/>
    <w:rsid w:val="00F7110F"/>
    <w:rsid w:val="00F7415C"/>
    <w:rsid w:val="00F74C41"/>
    <w:rsid w:val="00F75778"/>
    <w:rsid w:val="00F759FD"/>
    <w:rsid w:val="00F81DA8"/>
    <w:rsid w:val="00F83709"/>
    <w:rsid w:val="00F86766"/>
    <w:rsid w:val="00F92004"/>
    <w:rsid w:val="00F95E90"/>
    <w:rsid w:val="00FB4DA2"/>
    <w:rsid w:val="00FB7CBE"/>
    <w:rsid w:val="00FC2944"/>
    <w:rsid w:val="00FC6141"/>
    <w:rsid w:val="00FD3E7B"/>
    <w:rsid w:val="00FD49D1"/>
    <w:rsid w:val="00FD6B12"/>
    <w:rsid w:val="00FE1154"/>
    <w:rsid w:val="00FE36EC"/>
    <w:rsid w:val="00FE4C37"/>
    <w:rsid w:val="00FE54A3"/>
    <w:rsid w:val="00FF6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3251B7"/>
  <w15:docId w15:val="{E5F66FE3-5A16-4DFA-86C3-D8477027E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69"/>
  </w:style>
  <w:style w:type="paragraph" w:styleId="Footer">
    <w:name w:val="footer"/>
    <w:basedOn w:val="Normal"/>
    <w:link w:val="FooterChar"/>
    <w:uiPriority w:val="99"/>
    <w:unhideWhenUsed/>
    <w:rsid w:val="00BE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69"/>
  </w:style>
  <w:style w:type="table" w:styleId="TableGrid">
    <w:name w:val="Table Grid"/>
    <w:basedOn w:val="TableNormal"/>
    <w:rsid w:val="00B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217"/>
    <w:rPr>
      <w:color w:val="0563C1" w:themeColor="hyperlink"/>
      <w:u w:val="single"/>
    </w:rPr>
  </w:style>
  <w:style w:type="paragraph" w:styleId="FootnoteText">
    <w:name w:val="footnote text"/>
    <w:basedOn w:val="Normal"/>
    <w:link w:val="FootnoteTextChar"/>
    <w:uiPriority w:val="99"/>
    <w:unhideWhenUsed/>
    <w:rsid w:val="009228BA"/>
    <w:pPr>
      <w:spacing w:after="0" w:line="240" w:lineRule="auto"/>
    </w:pPr>
    <w:rPr>
      <w:sz w:val="24"/>
      <w:szCs w:val="24"/>
    </w:rPr>
  </w:style>
  <w:style w:type="character" w:customStyle="1" w:styleId="FootnoteTextChar">
    <w:name w:val="Footnote Text Char"/>
    <w:basedOn w:val="DefaultParagraphFont"/>
    <w:link w:val="FootnoteText"/>
    <w:uiPriority w:val="99"/>
    <w:rsid w:val="009228BA"/>
    <w:rPr>
      <w:sz w:val="24"/>
      <w:szCs w:val="24"/>
    </w:rPr>
  </w:style>
  <w:style w:type="character" w:styleId="FootnoteReference">
    <w:name w:val="footnote reference"/>
    <w:basedOn w:val="DefaultParagraphFont"/>
    <w:uiPriority w:val="99"/>
    <w:unhideWhenUsed/>
    <w:rsid w:val="009228BA"/>
    <w:rPr>
      <w:vertAlign w:val="superscript"/>
    </w:rPr>
  </w:style>
  <w:style w:type="character" w:styleId="FollowedHyperlink">
    <w:name w:val="FollowedHyperlink"/>
    <w:basedOn w:val="DefaultParagraphFont"/>
    <w:uiPriority w:val="99"/>
    <w:semiHidden/>
    <w:unhideWhenUsed/>
    <w:rsid w:val="001A3D67"/>
    <w:rPr>
      <w:color w:val="954F72" w:themeColor="followedHyperlink"/>
      <w:u w:val="single"/>
    </w:rPr>
  </w:style>
  <w:style w:type="paragraph" w:styleId="BalloonText">
    <w:name w:val="Balloon Text"/>
    <w:basedOn w:val="Normal"/>
    <w:link w:val="BalloonTextChar"/>
    <w:uiPriority w:val="99"/>
    <w:semiHidden/>
    <w:unhideWhenUsed/>
    <w:rsid w:val="001C13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35F"/>
    <w:rPr>
      <w:rFonts w:ascii="Segoe UI" w:hAnsi="Segoe UI" w:cs="Segoe UI"/>
      <w:sz w:val="18"/>
      <w:szCs w:val="18"/>
    </w:rPr>
  </w:style>
  <w:style w:type="paragraph" w:styleId="ListParagraph">
    <w:name w:val="List Paragraph"/>
    <w:basedOn w:val="Normal"/>
    <w:uiPriority w:val="34"/>
    <w:qFormat/>
    <w:rsid w:val="0039267F"/>
    <w:pPr>
      <w:ind w:left="720"/>
      <w:contextualSpacing/>
    </w:pPr>
  </w:style>
  <w:style w:type="character" w:styleId="UnresolvedMention">
    <w:name w:val="Unresolved Mention"/>
    <w:basedOn w:val="DefaultParagraphFont"/>
    <w:uiPriority w:val="99"/>
    <w:semiHidden/>
    <w:unhideWhenUsed/>
    <w:rsid w:val="00647936"/>
    <w:rPr>
      <w:color w:val="605E5C"/>
      <w:shd w:val="clear" w:color="auto" w:fill="E1DFDD"/>
    </w:rPr>
  </w:style>
  <w:style w:type="character" w:customStyle="1" w:styleId="ui-provider">
    <w:name w:val="ui-provider"/>
    <w:basedOn w:val="DefaultParagraphFont"/>
    <w:rsid w:val="00255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6358">
      <w:bodyDiv w:val="1"/>
      <w:marLeft w:val="0"/>
      <w:marRight w:val="0"/>
      <w:marTop w:val="0"/>
      <w:marBottom w:val="0"/>
      <w:divBdr>
        <w:top w:val="none" w:sz="0" w:space="0" w:color="auto"/>
        <w:left w:val="none" w:sz="0" w:space="0" w:color="auto"/>
        <w:bottom w:val="none" w:sz="0" w:space="0" w:color="auto"/>
        <w:right w:val="none" w:sz="0" w:space="0" w:color="auto"/>
      </w:divBdr>
    </w:div>
    <w:div w:id="41247159">
      <w:bodyDiv w:val="1"/>
      <w:marLeft w:val="0"/>
      <w:marRight w:val="0"/>
      <w:marTop w:val="0"/>
      <w:marBottom w:val="0"/>
      <w:divBdr>
        <w:top w:val="none" w:sz="0" w:space="0" w:color="auto"/>
        <w:left w:val="none" w:sz="0" w:space="0" w:color="auto"/>
        <w:bottom w:val="none" w:sz="0" w:space="0" w:color="auto"/>
        <w:right w:val="none" w:sz="0" w:space="0" w:color="auto"/>
      </w:divBdr>
    </w:div>
    <w:div w:id="156960527">
      <w:bodyDiv w:val="1"/>
      <w:marLeft w:val="0"/>
      <w:marRight w:val="0"/>
      <w:marTop w:val="0"/>
      <w:marBottom w:val="0"/>
      <w:divBdr>
        <w:top w:val="none" w:sz="0" w:space="0" w:color="auto"/>
        <w:left w:val="none" w:sz="0" w:space="0" w:color="auto"/>
        <w:bottom w:val="none" w:sz="0" w:space="0" w:color="auto"/>
        <w:right w:val="none" w:sz="0" w:space="0" w:color="auto"/>
      </w:divBdr>
    </w:div>
    <w:div w:id="212815616">
      <w:bodyDiv w:val="1"/>
      <w:marLeft w:val="0"/>
      <w:marRight w:val="0"/>
      <w:marTop w:val="0"/>
      <w:marBottom w:val="0"/>
      <w:divBdr>
        <w:top w:val="none" w:sz="0" w:space="0" w:color="auto"/>
        <w:left w:val="none" w:sz="0" w:space="0" w:color="auto"/>
        <w:bottom w:val="none" w:sz="0" w:space="0" w:color="auto"/>
        <w:right w:val="none" w:sz="0" w:space="0" w:color="auto"/>
      </w:divBdr>
      <w:divsChild>
        <w:div w:id="815488218">
          <w:marLeft w:val="0"/>
          <w:marRight w:val="0"/>
          <w:marTop w:val="0"/>
          <w:marBottom w:val="0"/>
          <w:divBdr>
            <w:top w:val="none" w:sz="0" w:space="0" w:color="auto"/>
            <w:left w:val="none" w:sz="0" w:space="0" w:color="auto"/>
            <w:bottom w:val="none" w:sz="0" w:space="0" w:color="auto"/>
            <w:right w:val="none" w:sz="0" w:space="0" w:color="auto"/>
          </w:divBdr>
        </w:div>
        <w:div w:id="948662410">
          <w:marLeft w:val="0"/>
          <w:marRight w:val="0"/>
          <w:marTop w:val="0"/>
          <w:marBottom w:val="0"/>
          <w:divBdr>
            <w:top w:val="none" w:sz="0" w:space="0" w:color="auto"/>
            <w:left w:val="none" w:sz="0" w:space="0" w:color="auto"/>
            <w:bottom w:val="none" w:sz="0" w:space="0" w:color="auto"/>
            <w:right w:val="none" w:sz="0" w:space="0" w:color="auto"/>
          </w:divBdr>
        </w:div>
        <w:div w:id="184295655">
          <w:marLeft w:val="0"/>
          <w:marRight w:val="0"/>
          <w:marTop w:val="0"/>
          <w:marBottom w:val="0"/>
          <w:divBdr>
            <w:top w:val="none" w:sz="0" w:space="0" w:color="auto"/>
            <w:left w:val="none" w:sz="0" w:space="0" w:color="auto"/>
            <w:bottom w:val="none" w:sz="0" w:space="0" w:color="auto"/>
            <w:right w:val="none" w:sz="0" w:space="0" w:color="auto"/>
          </w:divBdr>
        </w:div>
        <w:div w:id="1202472408">
          <w:marLeft w:val="0"/>
          <w:marRight w:val="0"/>
          <w:marTop w:val="0"/>
          <w:marBottom w:val="0"/>
          <w:divBdr>
            <w:top w:val="none" w:sz="0" w:space="0" w:color="auto"/>
            <w:left w:val="none" w:sz="0" w:space="0" w:color="auto"/>
            <w:bottom w:val="none" w:sz="0" w:space="0" w:color="auto"/>
            <w:right w:val="none" w:sz="0" w:space="0" w:color="auto"/>
          </w:divBdr>
        </w:div>
      </w:divsChild>
    </w:div>
    <w:div w:id="326860745">
      <w:bodyDiv w:val="1"/>
      <w:marLeft w:val="0"/>
      <w:marRight w:val="0"/>
      <w:marTop w:val="0"/>
      <w:marBottom w:val="0"/>
      <w:divBdr>
        <w:top w:val="none" w:sz="0" w:space="0" w:color="auto"/>
        <w:left w:val="none" w:sz="0" w:space="0" w:color="auto"/>
        <w:bottom w:val="none" w:sz="0" w:space="0" w:color="auto"/>
        <w:right w:val="none" w:sz="0" w:space="0" w:color="auto"/>
      </w:divBdr>
    </w:div>
    <w:div w:id="427821621">
      <w:bodyDiv w:val="1"/>
      <w:marLeft w:val="0"/>
      <w:marRight w:val="0"/>
      <w:marTop w:val="0"/>
      <w:marBottom w:val="0"/>
      <w:divBdr>
        <w:top w:val="none" w:sz="0" w:space="0" w:color="auto"/>
        <w:left w:val="none" w:sz="0" w:space="0" w:color="auto"/>
        <w:bottom w:val="none" w:sz="0" w:space="0" w:color="auto"/>
        <w:right w:val="none" w:sz="0" w:space="0" w:color="auto"/>
      </w:divBdr>
    </w:div>
    <w:div w:id="496962295">
      <w:bodyDiv w:val="1"/>
      <w:marLeft w:val="0"/>
      <w:marRight w:val="0"/>
      <w:marTop w:val="0"/>
      <w:marBottom w:val="0"/>
      <w:divBdr>
        <w:top w:val="none" w:sz="0" w:space="0" w:color="auto"/>
        <w:left w:val="none" w:sz="0" w:space="0" w:color="auto"/>
        <w:bottom w:val="none" w:sz="0" w:space="0" w:color="auto"/>
        <w:right w:val="none" w:sz="0" w:space="0" w:color="auto"/>
      </w:divBdr>
    </w:div>
    <w:div w:id="588078455">
      <w:bodyDiv w:val="1"/>
      <w:marLeft w:val="0"/>
      <w:marRight w:val="0"/>
      <w:marTop w:val="0"/>
      <w:marBottom w:val="0"/>
      <w:divBdr>
        <w:top w:val="none" w:sz="0" w:space="0" w:color="auto"/>
        <w:left w:val="none" w:sz="0" w:space="0" w:color="auto"/>
        <w:bottom w:val="none" w:sz="0" w:space="0" w:color="auto"/>
        <w:right w:val="none" w:sz="0" w:space="0" w:color="auto"/>
      </w:divBdr>
    </w:div>
    <w:div w:id="589241358">
      <w:bodyDiv w:val="1"/>
      <w:marLeft w:val="0"/>
      <w:marRight w:val="0"/>
      <w:marTop w:val="0"/>
      <w:marBottom w:val="0"/>
      <w:divBdr>
        <w:top w:val="none" w:sz="0" w:space="0" w:color="auto"/>
        <w:left w:val="none" w:sz="0" w:space="0" w:color="auto"/>
        <w:bottom w:val="none" w:sz="0" w:space="0" w:color="auto"/>
        <w:right w:val="none" w:sz="0" w:space="0" w:color="auto"/>
      </w:divBdr>
    </w:div>
    <w:div w:id="712382900">
      <w:bodyDiv w:val="1"/>
      <w:marLeft w:val="0"/>
      <w:marRight w:val="0"/>
      <w:marTop w:val="0"/>
      <w:marBottom w:val="0"/>
      <w:divBdr>
        <w:top w:val="none" w:sz="0" w:space="0" w:color="auto"/>
        <w:left w:val="none" w:sz="0" w:space="0" w:color="auto"/>
        <w:bottom w:val="none" w:sz="0" w:space="0" w:color="auto"/>
        <w:right w:val="none" w:sz="0" w:space="0" w:color="auto"/>
      </w:divBdr>
    </w:div>
    <w:div w:id="741104372">
      <w:bodyDiv w:val="1"/>
      <w:marLeft w:val="0"/>
      <w:marRight w:val="0"/>
      <w:marTop w:val="0"/>
      <w:marBottom w:val="0"/>
      <w:divBdr>
        <w:top w:val="none" w:sz="0" w:space="0" w:color="auto"/>
        <w:left w:val="none" w:sz="0" w:space="0" w:color="auto"/>
        <w:bottom w:val="none" w:sz="0" w:space="0" w:color="auto"/>
        <w:right w:val="none" w:sz="0" w:space="0" w:color="auto"/>
      </w:divBdr>
    </w:div>
    <w:div w:id="848450655">
      <w:bodyDiv w:val="1"/>
      <w:marLeft w:val="0"/>
      <w:marRight w:val="0"/>
      <w:marTop w:val="0"/>
      <w:marBottom w:val="0"/>
      <w:divBdr>
        <w:top w:val="none" w:sz="0" w:space="0" w:color="auto"/>
        <w:left w:val="none" w:sz="0" w:space="0" w:color="auto"/>
        <w:bottom w:val="none" w:sz="0" w:space="0" w:color="auto"/>
        <w:right w:val="none" w:sz="0" w:space="0" w:color="auto"/>
      </w:divBdr>
    </w:div>
    <w:div w:id="1003119078">
      <w:bodyDiv w:val="1"/>
      <w:marLeft w:val="0"/>
      <w:marRight w:val="0"/>
      <w:marTop w:val="0"/>
      <w:marBottom w:val="0"/>
      <w:divBdr>
        <w:top w:val="none" w:sz="0" w:space="0" w:color="auto"/>
        <w:left w:val="none" w:sz="0" w:space="0" w:color="auto"/>
        <w:bottom w:val="none" w:sz="0" w:space="0" w:color="auto"/>
        <w:right w:val="none" w:sz="0" w:space="0" w:color="auto"/>
      </w:divBdr>
    </w:div>
    <w:div w:id="1037897814">
      <w:bodyDiv w:val="1"/>
      <w:marLeft w:val="0"/>
      <w:marRight w:val="0"/>
      <w:marTop w:val="0"/>
      <w:marBottom w:val="0"/>
      <w:divBdr>
        <w:top w:val="none" w:sz="0" w:space="0" w:color="auto"/>
        <w:left w:val="none" w:sz="0" w:space="0" w:color="auto"/>
        <w:bottom w:val="none" w:sz="0" w:space="0" w:color="auto"/>
        <w:right w:val="none" w:sz="0" w:space="0" w:color="auto"/>
      </w:divBdr>
    </w:div>
    <w:div w:id="1137727314">
      <w:bodyDiv w:val="1"/>
      <w:marLeft w:val="0"/>
      <w:marRight w:val="0"/>
      <w:marTop w:val="0"/>
      <w:marBottom w:val="0"/>
      <w:divBdr>
        <w:top w:val="none" w:sz="0" w:space="0" w:color="auto"/>
        <w:left w:val="none" w:sz="0" w:space="0" w:color="auto"/>
        <w:bottom w:val="none" w:sz="0" w:space="0" w:color="auto"/>
        <w:right w:val="none" w:sz="0" w:space="0" w:color="auto"/>
      </w:divBdr>
    </w:div>
    <w:div w:id="1147476419">
      <w:bodyDiv w:val="1"/>
      <w:marLeft w:val="0"/>
      <w:marRight w:val="0"/>
      <w:marTop w:val="0"/>
      <w:marBottom w:val="0"/>
      <w:divBdr>
        <w:top w:val="none" w:sz="0" w:space="0" w:color="auto"/>
        <w:left w:val="none" w:sz="0" w:space="0" w:color="auto"/>
        <w:bottom w:val="none" w:sz="0" w:space="0" w:color="auto"/>
        <w:right w:val="none" w:sz="0" w:space="0" w:color="auto"/>
      </w:divBdr>
    </w:div>
    <w:div w:id="1368680675">
      <w:bodyDiv w:val="1"/>
      <w:marLeft w:val="0"/>
      <w:marRight w:val="0"/>
      <w:marTop w:val="0"/>
      <w:marBottom w:val="0"/>
      <w:divBdr>
        <w:top w:val="none" w:sz="0" w:space="0" w:color="auto"/>
        <w:left w:val="none" w:sz="0" w:space="0" w:color="auto"/>
        <w:bottom w:val="none" w:sz="0" w:space="0" w:color="auto"/>
        <w:right w:val="none" w:sz="0" w:space="0" w:color="auto"/>
      </w:divBdr>
    </w:div>
    <w:div w:id="1386611377">
      <w:bodyDiv w:val="1"/>
      <w:marLeft w:val="0"/>
      <w:marRight w:val="0"/>
      <w:marTop w:val="0"/>
      <w:marBottom w:val="0"/>
      <w:divBdr>
        <w:top w:val="none" w:sz="0" w:space="0" w:color="auto"/>
        <w:left w:val="none" w:sz="0" w:space="0" w:color="auto"/>
        <w:bottom w:val="none" w:sz="0" w:space="0" w:color="auto"/>
        <w:right w:val="none" w:sz="0" w:space="0" w:color="auto"/>
      </w:divBdr>
    </w:div>
    <w:div w:id="1490291277">
      <w:bodyDiv w:val="1"/>
      <w:marLeft w:val="0"/>
      <w:marRight w:val="0"/>
      <w:marTop w:val="0"/>
      <w:marBottom w:val="0"/>
      <w:divBdr>
        <w:top w:val="none" w:sz="0" w:space="0" w:color="auto"/>
        <w:left w:val="none" w:sz="0" w:space="0" w:color="auto"/>
        <w:bottom w:val="none" w:sz="0" w:space="0" w:color="auto"/>
        <w:right w:val="none" w:sz="0" w:space="0" w:color="auto"/>
      </w:divBdr>
    </w:div>
    <w:div w:id="1936817970">
      <w:bodyDiv w:val="1"/>
      <w:marLeft w:val="0"/>
      <w:marRight w:val="0"/>
      <w:marTop w:val="0"/>
      <w:marBottom w:val="0"/>
      <w:divBdr>
        <w:top w:val="none" w:sz="0" w:space="0" w:color="auto"/>
        <w:left w:val="none" w:sz="0" w:space="0" w:color="auto"/>
        <w:bottom w:val="none" w:sz="0" w:space="0" w:color="auto"/>
        <w:right w:val="none" w:sz="0" w:space="0" w:color="auto"/>
      </w:divBdr>
    </w:div>
    <w:div w:id="1941572268">
      <w:bodyDiv w:val="1"/>
      <w:marLeft w:val="0"/>
      <w:marRight w:val="0"/>
      <w:marTop w:val="0"/>
      <w:marBottom w:val="0"/>
      <w:divBdr>
        <w:top w:val="none" w:sz="0" w:space="0" w:color="auto"/>
        <w:left w:val="none" w:sz="0" w:space="0" w:color="auto"/>
        <w:bottom w:val="none" w:sz="0" w:space="0" w:color="auto"/>
        <w:right w:val="none" w:sz="0" w:space="0" w:color="auto"/>
      </w:divBdr>
    </w:div>
    <w:div w:id="1993485066">
      <w:bodyDiv w:val="1"/>
      <w:marLeft w:val="0"/>
      <w:marRight w:val="0"/>
      <w:marTop w:val="0"/>
      <w:marBottom w:val="0"/>
      <w:divBdr>
        <w:top w:val="none" w:sz="0" w:space="0" w:color="auto"/>
        <w:left w:val="none" w:sz="0" w:space="0" w:color="auto"/>
        <w:bottom w:val="none" w:sz="0" w:space="0" w:color="auto"/>
        <w:right w:val="none" w:sz="0" w:space="0" w:color="auto"/>
      </w:divBdr>
    </w:div>
    <w:div w:id="2024748337">
      <w:bodyDiv w:val="1"/>
      <w:marLeft w:val="0"/>
      <w:marRight w:val="0"/>
      <w:marTop w:val="0"/>
      <w:marBottom w:val="0"/>
      <w:divBdr>
        <w:top w:val="none" w:sz="0" w:space="0" w:color="auto"/>
        <w:left w:val="none" w:sz="0" w:space="0" w:color="auto"/>
        <w:bottom w:val="none" w:sz="0" w:space="0" w:color="auto"/>
        <w:right w:val="none" w:sz="0" w:space="0" w:color="auto"/>
      </w:divBdr>
    </w:div>
    <w:div w:id="2095467738">
      <w:bodyDiv w:val="1"/>
      <w:marLeft w:val="0"/>
      <w:marRight w:val="0"/>
      <w:marTop w:val="0"/>
      <w:marBottom w:val="0"/>
      <w:divBdr>
        <w:top w:val="none" w:sz="0" w:space="0" w:color="auto"/>
        <w:left w:val="none" w:sz="0" w:space="0" w:color="auto"/>
        <w:bottom w:val="none" w:sz="0" w:space="0" w:color="auto"/>
        <w:right w:val="none" w:sz="0" w:space="0" w:color="auto"/>
      </w:divBdr>
    </w:div>
    <w:div w:id="213891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3" Type="http://schemas.openxmlformats.org/officeDocument/2006/relationships/settings" Target="settings.xml"/>
	<Relationship Id="rId7" Type="http://schemas.openxmlformats.org/officeDocument/2006/relationships/hyperlink" Target="http://?"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5</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Florence Pourtal-Stevens</dc:creator>
  <cp:lastModifiedBy>Brown Jennifer  L</cp:lastModifiedBy>
  <cp:revision>16</cp:revision>
  <cp:lastPrinted>2019-11-01T22:07:00Z</cp:lastPrinted>
  <dcterms:created xsi:type="dcterms:W3CDTF">2023-03-12T23:36:00Z</dcterms:created>
  <dcterms:modified xsi:type="dcterms:W3CDTF">2023-03-14T20:20:00Z</dcterms:modified>
</cp:coreProperties>
</file>