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38C" w:rsidRDefault="0088538C" w:rsidP="005F0EAA">
      <w:pPr>
        <w:spacing w:after="0" w:line="240" w:lineRule="auto"/>
        <w:rPr>
          <w:b/>
          <w:sz w:val="28"/>
          <w:szCs w:val="28"/>
        </w:rPr>
      </w:pPr>
    </w:p>
    <w:p w:rsidR="006B1EDB" w:rsidRDefault="002919C9" w:rsidP="00DA4CA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CLHO</w:t>
      </w:r>
      <w:r w:rsidR="007746AF">
        <w:rPr>
          <w:b/>
          <w:sz w:val="28"/>
          <w:szCs w:val="28"/>
        </w:rPr>
        <w:t xml:space="preserve"> Communicable Diseases</w:t>
      </w:r>
      <w:r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Committee</w:t>
      </w:r>
      <w:r w:rsidR="00065993">
        <w:rPr>
          <w:b/>
          <w:sz w:val="28"/>
          <w:szCs w:val="28"/>
        </w:rPr>
        <w:t xml:space="preserve"> </w:t>
      </w:r>
      <w:r w:rsidR="005F164F">
        <w:rPr>
          <w:b/>
          <w:sz w:val="28"/>
          <w:szCs w:val="28"/>
        </w:rPr>
        <w:t>Minutes</w:t>
      </w:r>
    </w:p>
    <w:p w:rsidR="00BE3D69" w:rsidRPr="006B1EDB" w:rsidRDefault="00200737" w:rsidP="00DA4CA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1A3D67" w:rsidRPr="006B1EDB">
        <w:rPr>
          <w:b/>
          <w:sz w:val="28"/>
          <w:szCs w:val="28"/>
        </w:rPr>
        <w:t xml:space="preserve">Friday, </w:t>
      </w:r>
      <w:r>
        <w:rPr>
          <w:b/>
          <w:sz w:val="28"/>
          <w:szCs w:val="28"/>
        </w:rPr>
        <w:t>May 10</w:t>
      </w:r>
      <w:r w:rsidR="00065993" w:rsidRPr="006B1EDB">
        <w:rPr>
          <w:b/>
          <w:sz w:val="28"/>
          <w:szCs w:val="28"/>
          <w:vertAlign w:val="superscript"/>
        </w:rPr>
        <w:t>th</w:t>
      </w:r>
    </w:p>
    <w:p w:rsidR="001A3D67" w:rsidRPr="006B1EDB" w:rsidRDefault="001A3D67" w:rsidP="005F0EAA">
      <w:pPr>
        <w:spacing w:after="0" w:line="240" w:lineRule="auto"/>
        <w:jc w:val="center"/>
        <w:rPr>
          <w:sz w:val="24"/>
          <w:szCs w:val="24"/>
        </w:rPr>
      </w:pPr>
      <w:r w:rsidRPr="006B1EDB">
        <w:rPr>
          <w:sz w:val="24"/>
          <w:szCs w:val="24"/>
        </w:rPr>
        <w:t>10:00 a.m. – 12:00 p.m.</w:t>
      </w:r>
    </w:p>
    <w:p w:rsidR="00BE3D69" w:rsidRPr="0055799F" w:rsidRDefault="00BE3D69" w:rsidP="005F0EAA">
      <w:pPr>
        <w:spacing w:after="0" w:line="240" w:lineRule="auto"/>
        <w:jc w:val="center"/>
        <w:rPr>
          <w:sz w:val="24"/>
          <w:szCs w:val="24"/>
        </w:rPr>
      </w:pPr>
      <w:r w:rsidRPr="0055799F">
        <w:rPr>
          <w:sz w:val="24"/>
          <w:szCs w:val="24"/>
        </w:rPr>
        <w:t xml:space="preserve">PSOB </w:t>
      </w:r>
      <w:r w:rsidR="001A3D67" w:rsidRPr="0055799F">
        <w:rPr>
          <w:sz w:val="24"/>
          <w:szCs w:val="24"/>
        </w:rPr>
        <w:t>Room 710-20</w:t>
      </w:r>
    </w:p>
    <w:p w:rsidR="00C016E2" w:rsidRPr="0055799F" w:rsidRDefault="00C869C4" w:rsidP="005F0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hyperlink r:id="rId7" w:history="1">
        <w:r w:rsidR="001A3D67" w:rsidRPr="0055799F">
          <w:rPr>
            <w:rStyle w:val="Hyperlink"/>
            <w:rFonts w:asciiTheme="minorHAnsi" w:hAnsiTheme="minorHAnsi" w:cs="Calibri"/>
            <w:sz w:val="24"/>
            <w:szCs w:val="24"/>
          </w:rPr>
          <w:t>Join Skype Meeting</w:t>
        </w:r>
      </w:hyperlink>
      <w:bookmarkStart w:id="0" w:name="OutSharedNoteLink"/>
      <w:bookmarkStart w:id="1" w:name="OutSharedNoteBorder"/>
      <w:bookmarkEnd w:id="0"/>
      <w:bookmarkEnd w:id="1"/>
      <w:r w:rsidR="00814378" w:rsidRPr="0055799F">
        <w:rPr>
          <w:rFonts w:asciiTheme="minorHAnsi" w:hAnsiTheme="minorHAnsi"/>
          <w:sz w:val="24"/>
          <w:szCs w:val="24"/>
        </w:rPr>
        <w:t xml:space="preserve"> (</w:t>
      </w:r>
      <w:r w:rsidR="001A3D67" w:rsidRPr="0055799F">
        <w:rPr>
          <w:rFonts w:asciiTheme="minorHAnsi" w:hAnsiTheme="minorHAnsi" w:cs="Calibri"/>
          <w:sz w:val="24"/>
          <w:szCs w:val="24"/>
        </w:rPr>
        <w:t xml:space="preserve">Trouble Joining? </w:t>
      </w:r>
      <w:hyperlink r:id="rId8" w:history="1">
        <w:r w:rsidR="001A3D67" w:rsidRPr="0055799F">
          <w:rPr>
            <w:rStyle w:val="Hyperlink"/>
            <w:rFonts w:asciiTheme="minorHAnsi" w:hAnsiTheme="minorHAnsi" w:cs="Calibri"/>
            <w:color w:val="0066CC"/>
            <w:sz w:val="24"/>
            <w:szCs w:val="24"/>
          </w:rPr>
          <w:t>Try Skype Web App</w:t>
        </w:r>
      </w:hyperlink>
      <w:r w:rsidR="00814378" w:rsidRPr="0055799F">
        <w:rPr>
          <w:rStyle w:val="Hyperlink"/>
          <w:rFonts w:asciiTheme="minorHAnsi" w:hAnsiTheme="minorHAnsi" w:cs="Calibri"/>
          <w:color w:val="auto"/>
          <w:sz w:val="24"/>
          <w:szCs w:val="24"/>
          <w:u w:val="none"/>
        </w:rPr>
        <w:t>)</w:t>
      </w:r>
    </w:p>
    <w:p w:rsidR="001A3D67" w:rsidRPr="0055799F" w:rsidRDefault="001A3D67" w:rsidP="005F0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55799F">
        <w:rPr>
          <w:rFonts w:asciiTheme="minorHAnsi" w:hAnsiTheme="minorHAnsi" w:cs="Calibri"/>
          <w:sz w:val="24"/>
          <w:szCs w:val="24"/>
        </w:rPr>
        <w:t xml:space="preserve">Join by phone:  </w:t>
      </w:r>
      <w:r w:rsidR="00F74C41" w:rsidRPr="0055799F">
        <w:rPr>
          <w:rFonts w:asciiTheme="minorHAnsi" w:hAnsiTheme="minorHAnsi" w:cs="Calibri"/>
          <w:sz w:val="24"/>
          <w:szCs w:val="24"/>
        </w:rPr>
        <w:t xml:space="preserve">+1 </w:t>
      </w:r>
      <w:r w:rsidRPr="0055799F">
        <w:rPr>
          <w:rFonts w:asciiTheme="minorHAnsi" w:hAnsiTheme="minorHAnsi" w:cs="Calibri"/>
          <w:sz w:val="24"/>
          <w:szCs w:val="24"/>
        </w:rPr>
        <w:t xml:space="preserve">(503) 934-1400, access code: </w:t>
      </w:r>
      <w:r w:rsidR="00184F07">
        <w:rPr>
          <w:rFonts w:asciiTheme="minorHAnsi" w:hAnsiTheme="minorHAnsi" w:cs="Calibri"/>
          <w:sz w:val="24"/>
          <w:szCs w:val="24"/>
        </w:rPr>
        <w:t>4829061</w:t>
      </w:r>
    </w:p>
    <w:p w:rsidR="00BE3D69" w:rsidRPr="00D8577C" w:rsidRDefault="001A3D67" w:rsidP="005F0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  <w:r w:rsidRPr="0055799F">
        <w:rPr>
          <w:rFonts w:asciiTheme="minorHAnsi" w:hAnsiTheme="minorHAnsi" w:cs="Calibri"/>
          <w:sz w:val="24"/>
          <w:szCs w:val="24"/>
        </w:rPr>
        <w:t xml:space="preserve">Conference ID: </w:t>
      </w:r>
      <w:r w:rsidR="00822C23">
        <w:rPr>
          <w:rFonts w:asciiTheme="minorHAnsi" w:hAnsiTheme="minorHAnsi" w:cs="Calibri"/>
          <w:sz w:val="24"/>
          <w:szCs w:val="24"/>
        </w:rPr>
        <w:t>4829061</w:t>
      </w:r>
      <w:r w:rsidRPr="0055799F">
        <w:rPr>
          <w:rFonts w:asciiTheme="minorHAnsi" w:hAnsiTheme="minorHAnsi" w:cs="Calibri"/>
          <w:sz w:val="24"/>
          <w:szCs w:val="24"/>
        </w:rPr>
        <w:t xml:space="preserve"> (same as access code above)</w:t>
      </w:r>
    </w:p>
    <w:p w:rsidR="00114CBA" w:rsidRPr="00D8577C" w:rsidRDefault="00114CBA" w:rsidP="005F0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</w:p>
    <w:p w:rsidR="00BE3D69" w:rsidRDefault="00BE3D69" w:rsidP="00BE3D69">
      <w:pPr>
        <w:spacing w:after="0" w:line="240" w:lineRule="auto"/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280"/>
        <w:gridCol w:w="2229"/>
        <w:gridCol w:w="1641"/>
        <w:gridCol w:w="1625"/>
        <w:gridCol w:w="1515"/>
        <w:gridCol w:w="669"/>
      </w:tblGrid>
      <w:tr w:rsidR="00D84B0D" w:rsidRPr="00BE3D69" w:rsidTr="006C30A5">
        <w:trPr>
          <w:trHeight w:val="432"/>
          <w:jc w:val="center"/>
        </w:trPr>
        <w:tc>
          <w:tcPr>
            <w:tcW w:w="2280" w:type="dxa"/>
            <w:shd w:val="clear" w:color="auto" w:fill="D9D9D9" w:themeFill="background1" w:themeFillShade="D9"/>
          </w:tcPr>
          <w:p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870" w:type="dxa"/>
            <w:gridSpan w:val="2"/>
            <w:shd w:val="clear" w:color="auto" w:fill="D9D9D9" w:themeFill="background1" w:themeFillShade="D9"/>
          </w:tcPr>
          <w:p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625" w:type="dxa"/>
            <w:shd w:val="clear" w:color="auto" w:fill="D9D9D9" w:themeFill="background1" w:themeFillShade="D9"/>
          </w:tcPr>
          <w:p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669" w:type="dxa"/>
            <w:shd w:val="clear" w:color="auto" w:fill="D9D9D9" w:themeFill="background1" w:themeFillShade="D9"/>
          </w:tcPr>
          <w:p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D84B0D" w:rsidTr="006C30A5">
        <w:trPr>
          <w:jc w:val="center"/>
        </w:trPr>
        <w:tc>
          <w:tcPr>
            <w:tcW w:w="2280" w:type="dxa"/>
            <w:vAlign w:val="center"/>
          </w:tcPr>
          <w:p w:rsidR="00BE3D69" w:rsidRDefault="0088538C" w:rsidP="0088538C">
            <w:r>
              <w:t xml:space="preserve">Welcome and </w:t>
            </w:r>
            <w:r w:rsidR="009C4DB7">
              <w:t>roll call</w:t>
            </w:r>
            <w:r w:rsidR="00BA07DF">
              <w:t xml:space="preserve"> </w:t>
            </w:r>
          </w:p>
        </w:tc>
        <w:tc>
          <w:tcPr>
            <w:tcW w:w="3870" w:type="dxa"/>
            <w:gridSpan w:val="2"/>
            <w:vAlign w:val="center"/>
          </w:tcPr>
          <w:p w:rsidR="00BE3D69" w:rsidRDefault="0005519E" w:rsidP="00061E6D">
            <w:r>
              <w:t>Quorum is 50% +1 of committee membership</w:t>
            </w:r>
            <w:r w:rsidR="00061E6D">
              <w:t>, ask for any additional items</w:t>
            </w:r>
          </w:p>
        </w:tc>
        <w:tc>
          <w:tcPr>
            <w:tcW w:w="1625" w:type="dxa"/>
            <w:vAlign w:val="center"/>
          </w:tcPr>
          <w:p w:rsidR="00BE3D69" w:rsidRDefault="00E24217" w:rsidP="00065993">
            <w:r>
              <w:t>Ensure quorum</w:t>
            </w:r>
          </w:p>
        </w:tc>
        <w:tc>
          <w:tcPr>
            <w:tcW w:w="1515" w:type="dxa"/>
            <w:vAlign w:val="center"/>
          </w:tcPr>
          <w:p w:rsidR="00BE3D69" w:rsidRDefault="00BE3D69" w:rsidP="001C135F">
            <w:r>
              <w:t>Co-chairs</w:t>
            </w:r>
          </w:p>
        </w:tc>
        <w:tc>
          <w:tcPr>
            <w:tcW w:w="669" w:type="dxa"/>
            <w:vAlign w:val="center"/>
          </w:tcPr>
          <w:p w:rsidR="00BE3D69" w:rsidRDefault="00DA4CAA" w:rsidP="006F38B8">
            <w:r>
              <w:t>5</w:t>
            </w:r>
            <w:r w:rsidR="00D24C5A">
              <w:t>’</w:t>
            </w:r>
          </w:p>
        </w:tc>
      </w:tr>
      <w:tr w:rsidR="00D84B0D" w:rsidTr="00717685">
        <w:trPr>
          <w:jc w:val="center"/>
        </w:trPr>
        <w:tc>
          <w:tcPr>
            <w:tcW w:w="2280" w:type="dxa"/>
            <w:vAlign w:val="center"/>
          </w:tcPr>
          <w:p w:rsidR="00717685" w:rsidRDefault="00717685" w:rsidP="0088538C"/>
        </w:tc>
        <w:tc>
          <w:tcPr>
            <w:tcW w:w="3870" w:type="dxa"/>
            <w:gridSpan w:val="2"/>
            <w:vAlign w:val="center"/>
          </w:tcPr>
          <w:p w:rsidR="00717685" w:rsidRDefault="00717685" w:rsidP="00061E6D">
            <w:r>
              <w:t>Local:</w:t>
            </w:r>
          </w:p>
          <w:p w:rsidR="00717685" w:rsidRDefault="00717685" w:rsidP="00717685">
            <w:pPr>
              <w:pStyle w:val="ListParagraph"/>
              <w:numPr>
                <w:ilvl w:val="0"/>
                <w:numId w:val="11"/>
              </w:numPr>
            </w:pPr>
            <w:r>
              <w:t xml:space="preserve">Nikki Morford </w:t>
            </w:r>
            <w:proofErr w:type="spellStart"/>
            <w:r>
              <w:t>Canwell</w:t>
            </w:r>
            <w:proofErr w:type="spellEnd"/>
            <w:r>
              <w:t>, Columbia</w:t>
            </w:r>
          </w:p>
          <w:p w:rsidR="00717685" w:rsidRDefault="00717685" w:rsidP="00717685">
            <w:pPr>
              <w:pStyle w:val="ListParagraph"/>
              <w:numPr>
                <w:ilvl w:val="0"/>
                <w:numId w:val="11"/>
              </w:numPr>
            </w:pPr>
            <w:r>
              <w:t>Anna Summer</w:t>
            </w:r>
            <w:r w:rsidR="00631347">
              <w:t>s</w:t>
            </w:r>
            <w:r>
              <w:t>, Clackamas</w:t>
            </w:r>
          </w:p>
          <w:p w:rsidR="00717685" w:rsidRDefault="00717685" w:rsidP="00717685">
            <w:pPr>
              <w:pStyle w:val="ListParagraph"/>
              <w:numPr>
                <w:ilvl w:val="0"/>
                <w:numId w:val="11"/>
              </w:numPr>
            </w:pPr>
            <w:r>
              <w:t xml:space="preserve">Florence </w:t>
            </w:r>
            <w:proofErr w:type="spellStart"/>
            <w:r>
              <w:t>Pourtal</w:t>
            </w:r>
            <w:proofErr w:type="spellEnd"/>
            <w:r>
              <w:t>-Stevens, Coos</w:t>
            </w:r>
          </w:p>
          <w:p w:rsidR="00717685" w:rsidRDefault="00717685" w:rsidP="00717685">
            <w:pPr>
              <w:pStyle w:val="ListParagraph"/>
              <w:numPr>
                <w:ilvl w:val="0"/>
                <w:numId w:val="11"/>
              </w:numPr>
            </w:pPr>
            <w:r>
              <w:t xml:space="preserve">Karen </w:t>
            </w:r>
            <w:proofErr w:type="spellStart"/>
            <w:r>
              <w:t>Yeargain</w:t>
            </w:r>
            <w:proofErr w:type="spellEnd"/>
            <w:r>
              <w:t>, Crook</w:t>
            </w:r>
          </w:p>
          <w:p w:rsidR="00717685" w:rsidRDefault="00717685" w:rsidP="00717685">
            <w:pPr>
              <w:pStyle w:val="ListParagraph"/>
              <w:numPr>
                <w:ilvl w:val="0"/>
                <w:numId w:val="11"/>
              </w:numPr>
            </w:pPr>
            <w:r>
              <w:t>Kathy Christensen, Deschutes</w:t>
            </w:r>
          </w:p>
          <w:p w:rsidR="00717685" w:rsidRDefault="00717685" w:rsidP="00717685">
            <w:pPr>
              <w:pStyle w:val="ListParagraph"/>
              <w:numPr>
                <w:ilvl w:val="0"/>
                <w:numId w:val="11"/>
              </w:numPr>
            </w:pPr>
            <w:r>
              <w:t xml:space="preserve">Lauren </w:t>
            </w:r>
            <w:proofErr w:type="spellStart"/>
            <w:r>
              <w:t>Taurpin</w:t>
            </w:r>
            <w:proofErr w:type="spellEnd"/>
            <w:r>
              <w:t xml:space="preserve"> for Dr. </w:t>
            </w:r>
            <w:proofErr w:type="spellStart"/>
            <w:r>
              <w:t>Dannenhoffer</w:t>
            </w:r>
            <w:proofErr w:type="spellEnd"/>
            <w:r>
              <w:t>, Douglas</w:t>
            </w:r>
          </w:p>
          <w:p w:rsidR="00717685" w:rsidRDefault="00717685" w:rsidP="00717685">
            <w:pPr>
              <w:pStyle w:val="ListParagraph"/>
              <w:numPr>
                <w:ilvl w:val="0"/>
                <w:numId w:val="11"/>
              </w:numPr>
            </w:pPr>
            <w:r>
              <w:t>Stacy Gregg for Andrea Krause, Jackson</w:t>
            </w:r>
          </w:p>
          <w:p w:rsidR="00717685" w:rsidRDefault="00717685" w:rsidP="00717685">
            <w:pPr>
              <w:pStyle w:val="ListParagraph"/>
              <w:numPr>
                <w:ilvl w:val="0"/>
                <w:numId w:val="11"/>
              </w:numPr>
            </w:pPr>
            <w:r>
              <w:t>Cindy Morgan, Lane</w:t>
            </w:r>
          </w:p>
          <w:p w:rsidR="00717685" w:rsidRDefault="00717685" w:rsidP="00717685">
            <w:pPr>
              <w:pStyle w:val="ListParagraph"/>
              <w:numPr>
                <w:ilvl w:val="0"/>
                <w:numId w:val="11"/>
              </w:numPr>
            </w:pPr>
            <w:r>
              <w:t>Jeremy Hawkins, North Central Public Health District</w:t>
            </w:r>
          </w:p>
          <w:p w:rsidR="00631347" w:rsidRDefault="00631347" w:rsidP="00717685">
            <w:pPr>
              <w:pStyle w:val="ListParagraph"/>
              <w:numPr>
                <w:ilvl w:val="0"/>
                <w:numId w:val="11"/>
              </w:numPr>
            </w:pPr>
            <w:r>
              <w:t xml:space="preserve">Wendy </w:t>
            </w:r>
            <w:proofErr w:type="spellStart"/>
            <w:r>
              <w:t>Zieker</w:t>
            </w:r>
            <w:proofErr w:type="spellEnd"/>
            <w:r>
              <w:t>, Marion</w:t>
            </w:r>
          </w:p>
          <w:p w:rsidR="00631347" w:rsidRDefault="00631347" w:rsidP="00717685">
            <w:pPr>
              <w:pStyle w:val="ListParagraph"/>
              <w:numPr>
                <w:ilvl w:val="0"/>
                <w:numId w:val="11"/>
              </w:numPr>
            </w:pPr>
            <w:r>
              <w:t>Lisa Ferguson, Multnomah</w:t>
            </w:r>
          </w:p>
          <w:p w:rsidR="00631347" w:rsidRDefault="00631347" w:rsidP="00717685">
            <w:pPr>
              <w:pStyle w:val="ListParagraph"/>
              <w:numPr>
                <w:ilvl w:val="0"/>
                <w:numId w:val="11"/>
              </w:numPr>
            </w:pPr>
            <w:r>
              <w:t>Kathleen Rees, Washington</w:t>
            </w:r>
            <w:bookmarkStart w:id="2" w:name="_GoBack"/>
            <w:bookmarkEnd w:id="2"/>
          </w:p>
          <w:p w:rsidR="00717685" w:rsidRDefault="00717685" w:rsidP="00717685">
            <w:r>
              <w:t>State:</w:t>
            </w:r>
          </w:p>
          <w:p w:rsidR="00717685" w:rsidRDefault="00717685" w:rsidP="00717685">
            <w:pPr>
              <w:pStyle w:val="ListParagraph"/>
              <w:numPr>
                <w:ilvl w:val="0"/>
                <w:numId w:val="12"/>
              </w:numPr>
            </w:pPr>
            <w:r>
              <w:t>Paul Cieslak</w:t>
            </w:r>
          </w:p>
          <w:p w:rsidR="00717685" w:rsidRDefault="00717685" w:rsidP="00717685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Zints</w:t>
            </w:r>
            <w:proofErr w:type="spellEnd"/>
            <w:r>
              <w:t xml:space="preserve"> </w:t>
            </w:r>
            <w:proofErr w:type="spellStart"/>
            <w:r>
              <w:t>Beldavs</w:t>
            </w:r>
            <w:proofErr w:type="spellEnd"/>
          </w:p>
          <w:p w:rsidR="00717685" w:rsidRDefault="00717685" w:rsidP="00717685">
            <w:pPr>
              <w:pStyle w:val="ListParagraph"/>
              <w:numPr>
                <w:ilvl w:val="0"/>
                <w:numId w:val="12"/>
              </w:numPr>
            </w:pPr>
            <w:r>
              <w:t>Josh Ferrer</w:t>
            </w:r>
          </w:p>
          <w:p w:rsidR="00717685" w:rsidRDefault="00717685" w:rsidP="00717685">
            <w:pPr>
              <w:pStyle w:val="ListParagraph"/>
              <w:numPr>
                <w:ilvl w:val="0"/>
                <w:numId w:val="12"/>
              </w:numPr>
            </w:pPr>
            <w:r>
              <w:t>Andrew Epstein</w:t>
            </w:r>
          </w:p>
          <w:p w:rsidR="00717685" w:rsidRDefault="00717685" w:rsidP="00717685">
            <w:pPr>
              <w:pStyle w:val="ListParagraph"/>
              <w:numPr>
                <w:ilvl w:val="0"/>
                <w:numId w:val="12"/>
              </w:numPr>
            </w:pPr>
            <w:r>
              <w:t>Jillian Garai</w:t>
            </w:r>
          </w:p>
          <w:p w:rsidR="00717685" w:rsidRDefault="00717685" w:rsidP="00717685">
            <w:pPr>
              <w:pStyle w:val="ListParagraph"/>
              <w:numPr>
                <w:ilvl w:val="0"/>
                <w:numId w:val="12"/>
              </w:numPr>
            </w:pPr>
            <w:r>
              <w:t>Shannon Allain (notes)</w:t>
            </w:r>
          </w:p>
        </w:tc>
        <w:tc>
          <w:tcPr>
            <w:tcW w:w="1625" w:type="dxa"/>
            <w:vAlign w:val="center"/>
          </w:tcPr>
          <w:p w:rsidR="00717685" w:rsidRDefault="00717685" w:rsidP="000A50EE"/>
          <w:p w:rsidR="00717685" w:rsidRDefault="00717685" w:rsidP="00061E6D">
            <w:r>
              <w:t>Quorum not met, but no voting scheduled for today.</w:t>
            </w:r>
          </w:p>
          <w:p w:rsidR="00717685" w:rsidRDefault="00717685" w:rsidP="00065993"/>
        </w:tc>
        <w:tc>
          <w:tcPr>
            <w:tcW w:w="1515" w:type="dxa"/>
            <w:vAlign w:val="center"/>
          </w:tcPr>
          <w:p w:rsidR="00717685" w:rsidRDefault="00717685" w:rsidP="001C135F"/>
        </w:tc>
        <w:tc>
          <w:tcPr>
            <w:tcW w:w="669" w:type="dxa"/>
            <w:vAlign w:val="center"/>
          </w:tcPr>
          <w:p w:rsidR="00717685" w:rsidRDefault="00717685" w:rsidP="006F38B8"/>
        </w:tc>
      </w:tr>
      <w:tr w:rsidR="00D84B0D" w:rsidTr="006C30A5">
        <w:trPr>
          <w:jc w:val="center"/>
        </w:trPr>
        <w:tc>
          <w:tcPr>
            <w:tcW w:w="2280" w:type="dxa"/>
            <w:vAlign w:val="center"/>
          </w:tcPr>
          <w:p w:rsidR="00BE3D69" w:rsidRDefault="00BE3D69" w:rsidP="0005519E">
            <w:r>
              <w:t>Review of minutes</w:t>
            </w:r>
          </w:p>
        </w:tc>
        <w:tc>
          <w:tcPr>
            <w:tcW w:w="3870" w:type="dxa"/>
            <w:gridSpan w:val="2"/>
            <w:vAlign w:val="center"/>
          </w:tcPr>
          <w:p w:rsidR="00BE3D69" w:rsidRDefault="00E24217" w:rsidP="0005519E">
            <w:r>
              <w:t>Review minutes from last meeting, make</w:t>
            </w:r>
            <w:r w:rsidR="0005519E">
              <w:t xml:space="preserve"> any</w:t>
            </w:r>
            <w:r>
              <w:t xml:space="preserve"> corrections </w:t>
            </w:r>
          </w:p>
        </w:tc>
        <w:tc>
          <w:tcPr>
            <w:tcW w:w="1625" w:type="dxa"/>
            <w:vAlign w:val="center"/>
          </w:tcPr>
          <w:p w:rsidR="00BE3D69" w:rsidRDefault="00E24217" w:rsidP="001C135F">
            <w:r>
              <w:t>A</w:t>
            </w:r>
            <w:r w:rsidR="00BE3D69">
              <w:t>pprove</w:t>
            </w:r>
          </w:p>
        </w:tc>
        <w:tc>
          <w:tcPr>
            <w:tcW w:w="1515" w:type="dxa"/>
            <w:vAlign w:val="center"/>
          </w:tcPr>
          <w:p w:rsidR="00BE3D69" w:rsidRDefault="00BE3D69" w:rsidP="001C135F">
            <w:r>
              <w:t>Co-chairs</w:t>
            </w:r>
          </w:p>
        </w:tc>
        <w:tc>
          <w:tcPr>
            <w:tcW w:w="669" w:type="dxa"/>
            <w:vAlign w:val="center"/>
          </w:tcPr>
          <w:p w:rsidR="00BE3D69" w:rsidRDefault="00BE3D69" w:rsidP="001C135F">
            <w:r>
              <w:t>5’</w:t>
            </w:r>
          </w:p>
        </w:tc>
      </w:tr>
      <w:tr w:rsidR="00D84B0D" w:rsidTr="006C30A5">
        <w:trPr>
          <w:jc w:val="center"/>
        </w:trPr>
        <w:tc>
          <w:tcPr>
            <w:tcW w:w="2280" w:type="dxa"/>
            <w:vAlign w:val="center"/>
          </w:tcPr>
          <w:p w:rsidR="00A40E53" w:rsidRDefault="00A40E53" w:rsidP="0005519E"/>
        </w:tc>
        <w:tc>
          <w:tcPr>
            <w:tcW w:w="3870" w:type="dxa"/>
            <w:gridSpan w:val="2"/>
            <w:vAlign w:val="center"/>
          </w:tcPr>
          <w:p w:rsidR="00A40E53" w:rsidRDefault="00A40E53" w:rsidP="0005519E"/>
          <w:p w:rsidR="00822218" w:rsidRDefault="00822218" w:rsidP="00822218">
            <w:pPr>
              <w:pStyle w:val="ListParagraph"/>
              <w:numPr>
                <w:ilvl w:val="0"/>
                <w:numId w:val="10"/>
              </w:numPr>
            </w:pPr>
            <w:r>
              <w:t>One change</w:t>
            </w:r>
            <w:r w:rsidR="00E22820">
              <w:t xml:space="preserve"> noted</w:t>
            </w:r>
            <w:r>
              <w:t>: March 9</w:t>
            </w:r>
            <w:r w:rsidRPr="00822218">
              <w:rPr>
                <w:vertAlign w:val="superscript"/>
              </w:rPr>
              <w:t>th</w:t>
            </w:r>
            <w:r>
              <w:t xml:space="preserve"> was a Saturday</w:t>
            </w:r>
            <w:r w:rsidR="00E22820">
              <w:t>.</w:t>
            </w:r>
          </w:p>
        </w:tc>
        <w:tc>
          <w:tcPr>
            <w:tcW w:w="1625" w:type="dxa"/>
            <w:vAlign w:val="center"/>
          </w:tcPr>
          <w:p w:rsidR="00A40E53" w:rsidRDefault="00717685" w:rsidP="001C135F">
            <w:r>
              <w:t xml:space="preserve">Approval of last meeting’s minutes is deferred to the next meeting when attendance is higher. Let Kathleen know </w:t>
            </w:r>
            <w:r>
              <w:lastRenderedPageBreak/>
              <w:t>if you have any concerns.</w:t>
            </w:r>
          </w:p>
        </w:tc>
        <w:tc>
          <w:tcPr>
            <w:tcW w:w="1515" w:type="dxa"/>
            <w:vAlign w:val="center"/>
          </w:tcPr>
          <w:p w:rsidR="00A40E53" w:rsidRDefault="00A40E53" w:rsidP="001C135F"/>
        </w:tc>
        <w:tc>
          <w:tcPr>
            <w:tcW w:w="669" w:type="dxa"/>
            <w:vAlign w:val="center"/>
          </w:tcPr>
          <w:p w:rsidR="00A40E53" w:rsidRDefault="00A40E53" w:rsidP="001C135F"/>
        </w:tc>
      </w:tr>
      <w:tr w:rsidR="00D84B0D" w:rsidTr="006C30A5">
        <w:trPr>
          <w:jc w:val="center"/>
        </w:trPr>
        <w:tc>
          <w:tcPr>
            <w:tcW w:w="2280" w:type="dxa"/>
            <w:vAlign w:val="center"/>
          </w:tcPr>
          <w:p w:rsidR="00DA4CAA" w:rsidRDefault="002A5BC1" w:rsidP="0005519E">
            <w:r>
              <w:t>Coastal</w:t>
            </w:r>
            <w:r w:rsidR="00980129">
              <w:t xml:space="preserve"> Region </w:t>
            </w:r>
            <w:r w:rsidR="00DA4CAA">
              <w:t>County Updates</w:t>
            </w:r>
          </w:p>
        </w:tc>
        <w:tc>
          <w:tcPr>
            <w:tcW w:w="3870" w:type="dxa"/>
            <w:gridSpan w:val="2"/>
            <w:vAlign w:val="center"/>
          </w:tcPr>
          <w:p w:rsidR="00DA4CAA" w:rsidRDefault="00DA4CAA" w:rsidP="0005519E">
            <w:r>
              <w:t>Any county changes, updates or news</w:t>
            </w:r>
          </w:p>
        </w:tc>
        <w:tc>
          <w:tcPr>
            <w:tcW w:w="1625" w:type="dxa"/>
            <w:vAlign w:val="center"/>
          </w:tcPr>
          <w:p w:rsidR="00DA4CAA" w:rsidRDefault="00DA4CAA" w:rsidP="001C135F">
            <w:r>
              <w:t>Provide updates</w:t>
            </w:r>
          </w:p>
        </w:tc>
        <w:tc>
          <w:tcPr>
            <w:tcW w:w="1515" w:type="dxa"/>
            <w:vAlign w:val="center"/>
          </w:tcPr>
          <w:p w:rsidR="00DA4CAA" w:rsidRPr="002A5BC1" w:rsidRDefault="002A5BC1" w:rsidP="00980129">
            <w:r w:rsidRPr="002A5BC1">
              <w:t>Clatsop, Columbia and Coos</w:t>
            </w:r>
          </w:p>
        </w:tc>
        <w:tc>
          <w:tcPr>
            <w:tcW w:w="669" w:type="dxa"/>
            <w:vAlign w:val="center"/>
          </w:tcPr>
          <w:p w:rsidR="00DA4CAA" w:rsidRPr="002A5BC1" w:rsidRDefault="002A5BC1" w:rsidP="001C135F">
            <w:r w:rsidRPr="002A5BC1">
              <w:t>15</w:t>
            </w:r>
            <w:r w:rsidR="00DA4CAA" w:rsidRPr="002A5BC1">
              <w:t>’</w:t>
            </w:r>
          </w:p>
        </w:tc>
      </w:tr>
      <w:tr w:rsidR="00D84B0D" w:rsidTr="006C30A5">
        <w:trPr>
          <w:jc w:val="center"/>
        </w:trPr>
        <w:tc>
          <w:tcPr>
            <w:tcW w:w="2280" w:type="dxa"/>
            <w:vAlign w:val="center"/>
          </w:tcPr>
          <w:p w:rsidR="00A40E53" w:rsidRDefault="00A40E53" w:rsidP="0005519E"/>
        </w:tc>
        <w:tc>
          <w:tcPr>
            <w:tcW w:w="3870" w:type="dxa"/>
            <w:gridSpan w:val="2"/>
            <w:vAlign w:val="center"/>
          </w:tcPr>
          <w:p w:rsidR="00717685" w:rsidRDefault="00717685" w:rsidP="00717685">
            <w:r>
              <w:t xml:space="preserve">Florence </w:t>
            </w:r>
            <w:proofErr w:type="spellStart"/>
            <w:r>
              <w:t>Pourtal</w:t>
            </w:r>
            <w:proofErr w:type="spellEnd"/>
            <w:r>
              <w:t>-Stevens for Coos:</w:t>
            </w:r>
          </w:p>
          <w:p w:rsidR="00717685" w:rsidRDefault="00717685" w:rsidP="0005519E"/>
          <w:p w:rsidR="00717685" w:rsidRDefault="00717685" w:rsidP="0005519E">
            <w:pPr>
              <w:pStyle w:val="ListParagraph"/>
              <w:numPr>
                <w:ilvl w:val="0"/>
                <w:numId w:val="10"/>
              </w:numPr>
            </w:pPr>
            <w:r>
              <w:t xml:space="preserve">Looking to </w:t>
            </w:r>
            <w:r w:rsidR="00B27293">
              <w:t xml:space="preserve">fund </w:t>
            </w:r>
            <w:r>
              <w:t>a</w:t>
            </w:r>
            <w:r w:rsidR="00B27293">
              <w:t xml:space="preserve"> part</w:t>
            </w:r>
            <w:r w:rsidR="00145872">
              <w:t>-</w:t>
            </w:r>
            <w:r w:rsidR="00B27293">
              <w:t>time epi/data analyst</w:t>
            </w:r>
            <w:r>
              <w:t xml:space="preserve"> to enable Coos to dig into the data.</w:t>
            </w:r>
          </w:p>
          <w:p w:rsidR="00717685" w:rsidRDefault="00717685" w:rsidP="0005519E">
            <w:pPr>
              <w:pStyle w:val="ListParagraph"/>
              <w:numPr>
                <w:ilvl w:val="0"/>
                <w:numId w:val="10"/>
              </w:numPr>
            </w:pPr>
            <w:r>
              <w:t xml:space="preserve">Conducting surveys on </w:t>
            </w:r>
            <w:r w:rsidR="006253F0">
              <w:t xml:space="preserve">how </w:t>
            </w:r>
            <w:r>
              <w:t xml:space="preserve">Coos </w:t>
            </w:r>
            <w:r w:rsidR="006253F0">
              <w:t>can make CD reporting easier for providers and labs</w:t>
            </w:r>
            <w:r>
              <w:t xml:space="preserve">; providing </w:t>
            </w:r>
            <w:r w:rsidR="006253F0">
              <w:t>educat</w:t>
            </w:r>
            <w:r>
              <w:t>ion</w:t>
            </w:r>
            <w:r w:rsidR="006253F0">
              <w:t xml:space="preserve"> on </w:t>
            </w:r>
            <w:r>
              <w:t xml:space="preserve">reporting </w:t>
            </w:r>
            <w:r w:rsidR="006253F0">
              <w:t>requirements</w:t>
            </w:r>
            <w:r w:rsidR="006637C6">
              <w:t>.</w:t>
            </w:r>
          </w:p>
          <w:p w:rsidR="006637C6" w:rsidRDefault="006637C6" w:rsidP="0005519E">
            <w:pPr>
              <w:pStyle w:val="ListParagraph"/>
              <w:numPr>
                <w:ilvl w:val="0"/>
                <w:numId w:val="10"/>
              </w:numPr>
            </w:pPr>
            <w:r>
              <w:t>Established an A</w:t>
            </w:r>
            <w:r w:rsidR="006253F0">
              <w:t xml:space="preserve">FIX </w:t>
            </w:r>
            <w:r>
              <w:t>c</w:t>
            </w:r>
            <w:r w:rsidR="006253F0">
              <w:t>ollaborative</w:t>
            </w:r>
            <w:r>
              <w:t xml:space="preserve"> of </w:t>
            </w:r>
            <w:r w:rsidR="006253F0">
              <w:t xml:space="preserve">all VFC clinics in </w:t>
            </w:r>
            <w:r>
              <w:t xml:space="preserve">Coos to discuss </w:t>
            </w:r>
            <w:r w:rsidR="006253F0">
              <w:t xml:space="preserve">how </w:t>
            </w:r>
            <w:r>
              <w:t xml:space="preserve">to </w:t>
            </w:r>
            <w:r w:rsidR="006253F0">
              <w:t>work together, share best practices</w:t>
            </w:r>
            <w:r>
              <w:t>.</w:t>
            </w:r>
          </w:p>
          <w:p w:rsidR="006637C6" w:rsidRDefault="006637C6" w:rsidP="0005519E">
            <w:pPr>
              <w:pStyle w:val="ListParagraph"/>
              <w:numPr>
                <w:ilvl w:val="0"/>
                <w:numId w:val="10"/>
              </w:numPr>
            </w:pPr>
            <w:r>
              <w:t>Using s</w:t>
            </w:r>
            <w:r w:rsidR="006253F0">
              <w:t>tandardize</w:t>
            </w:r>
            <w:r>
              <w:t>d</w:t>
            </w:r>
            <w:r w:rsidR="006253F0">
              <w:t xml:space="preserve"> booklets of </w:t>
            </w:r>
            <w:r>
              <w:t xml:space="preserve">vaccination </w:t>
            </w:r>
            <w:r w:rsidR="006253F0">
              <w:t xml:space="preserve">educational messages for parents. Videos shot in </w:t>
            </w:r>
            <w:r>
              <w:t xml:space="preserve">the </w:t>
            </w:r>
            <w:r w:rsidR="006253F0">
              <w:t>community</w:t>
            </w:r>
            <w:r>
              <w:t xml:space="preserve"> will discuss</w:t>
            </w:r>
            <w:r w:rsidR="006253F0">
              <w:t xml:space="preserve"> HPV, meningitis, and herd immunity</w:t>
            </w:r>
            <w:r>
              <w:t>; v</w:t>
            </w:r>
            <w:r w:rsidR="006253F0">
              <w:t>ideos will be played in pediatrician lobbies</w:t>
            </w:r>
            <w:r>
              <w:t>.</w:t>
            </w:r>
          </w:p>
          <w:p w:rsidR="006253F0" w:rsidRDefault="006253F0" w:rsidP="0005519E">
            <w:pPr>
              <w:pStyle w:val="ListParagraph"/>
              <w:numPr>
                <w:ilvl w:val="0"/>
                <w:numId w:val="10"/>
              </w:numPr>
            </w:pPr>
            <w:r>
              <w:t xml:space="preserve">STD rates </w:t>
            </w:r>
            <w:r w:rsidR="006637C6">
              <w:t xml:space="preserve">and HIV incidence </w:t>
            </w:r>
            <w:r>
              <w:t>are going up</w:t>
            </w:r>
            <w:r w:rsidR="006637C6">
              <w:t>. A CDC Public Health Associate</w:t>
            </w:r>
            <w:r w:rsidR="00145872">
              <w:t xml:space="preserve"> </w:t>
            </w:r>
            <w:r w:rsidR="006637C6">
              <w:t>P</w:t>
            </w:r>
            <w:r w:rsidR="00C55927">
              <w:t>rogram p</w:t>
            </w:r>
            <w:r w:rsidR="00145872">
              <w:t xml:space="preserve">osition </w:t>
            </w:r>
            <w:r w:rsidR="006637C6">
              <w:t xml:space="preserve">will </w:t>
            </w:r>
            <w:r w:rsidR="00145872">
              <w:t xml:space="preserve">dig into </w:t>
            </w:r>
            <w:r w:rsidR="006637C6">
              <w:t xml:space="preserve">the </w:t>
            </w:r>
            <w:r w:rsidR="00145872">
              <w:t>data, identify cluster</w:t>
            </w:r>
            <w:r w:rsidR="006637C6">
              <w:t>s</w:t>
            </w:r>
            <w:r w:rsidR="00145872">
              <w:t xml:space="preserve">, </w:t>
            </w:r>
            <w:r w:rsidR="006637C6">
              <w:t xml:space="preserve">and </w:t>
            </w:r>
            <w:r w:rsidR="00145872">
              <w:t xml:space="preserve">work with partners to build </w:t>
            </w:r>
            <w:r w:rsidR="006637C6">
              <w:t xml:space="preserve">a </w:t>
            </w:r>
            <w:r w:rsidR="00145872">
              <w:t xml:space="preserve">strong response and </w:t>
            </w:r>
            <w:r w:rsidR="006637C6">
              <w:t xml:space="preserve">develop public health </w:t>
            </w:r>
            <w:r w:rsidR="00145872">
              <w:t>education and promotion</w:t>
            </w:r>
            <w:r w:rsidR="006637C6">
              <w:t>.</w:t>
            </w:r>
          </w:p>
        </w:tc>
        <w:tc>
          <w:tcPr>
            <w:tcW w:w="1625" w:type="dxa"/>
            <w:vAlign w:val="center"/>
          </w:tcPr>
          <w:p w:rsidR="00A40E53" w:rsidRDefault="00A40E53" w:rsidP="001C135F"/>
        </w:tc>
        <w:tc>
          <w:tcPr>
            <w:tcW w:w="1515" w:type="dxa"/>
            <w:vAlign w:val="center"/>
          </w:tcPr>
          <w:p w:rsidR="00A40E53" w:rsidRPr="002A5BC1" w:rsidRDefault="00A40E53" w:rsidP="00980129"/>
        </w:tc>
        <w:tc>
          <w:tcPr>
            <w:tcW w:w="669" w:type="dxa"/>
            <w:vAlign w:val="center"/>
          </w:tcPr>
          <w:p w:rsidR="00A40E53" w:rsidRPr="002A5BC1" w:rsidRDefault="00A40E53" w:rsidP="001C135F"/>
        </w:tc>
      </w:tr>
      <w:tr w:rsidR="00D84B0D" w:rsidTr="006C30A5">
        <w:trPr>
          <w:trHeight w:val="432"/>
          <w:jc w:val="center"/>
        </w:trPr>
        <w:tc>
          <w:tcPr>
            <w:tcW w:w="2280" w:type="dxa"/>
            <w:vAlign w:val="center"/>
          </w:tcPr>
          <w:p w:rsidR="00444BB4" w:rsidRPr="00444BB4" w:rsidRDefault="002A5BC1" w:rsidP="00061E6D">
            <w:r>
              <w:t>Gonorrhea</w:t>
            </w:r>
          </w:p>
        </w:tc>
        <w:tc>
          <w:tcPr>
            <w:tcW w:w="3870" w:type="dxa"/>
            <w:gridSpan w:val="2"/>
            <w:vAlign w:val="center"/>
          </w:tcPr>
          <w:p w:rsidR="00444BB4" w:rsidRDefault="00444BB4" w:rsidP="0005519E">
            <w:r>
              <w:t>Provide update, solicit any feedback</w:t>
            </w:r>
          </w:p>
        </w:tc>
        <w:tc>
          <w:tcPr>
            <w:tcW w:w="1625" w:type="dxa"/>
            <w:vAlign w:val="center"/>
          </w:tcPr>
          <w:p w:rsidR="00444BB4" w:rsidRDefault="00444BB4" w:rsidP="00101F89">
            <w:r>
              <w:t>Provide feedback</w:t>
            </w:r>
          </w:p>
        </w:tc>
        <w:tc>
          <w:tcPr>
            <w:tcW w:w="1515" w:type="dxa"/>
            <w:vAlign w:val="center"/>
          </w:tcPr>
          <w:p w:rsidR="00444BB4" w:rsidRDefault="00444BB4" w:rsidP="00101F89">
            <w:r>
              <w:t>Jillian Garai</w:t>
            </w:r>
          </w:p>
        </w:tc>
        <w:tc>
          <w:tcPr>
            <w:tcW w:w="669" w:type="dxa"/>
            <w:vAlign w:val="center"/>
          </w:tcPr>
          <w:p w:rsidR="00444BB4" w:rsidRDefault="002A5BC1" w:rsidP="00AD7828">
            <w:r>
              <w:t>5’</w:t>
            </w:r>
          </w:p>
        </w:tc>
      </w:tr>
      <w:tr w:rsidR="00D84B0D" w:rsidTr="006C30A5">
        <w:trPr>
          <w:trHeight w:val="432"/>
          <w:jc w:val="center"/>
        </w:trPr>
        <w:tc>
          <w:tcPr>
            <w:tcW w:w="2280" w:type="dxa"/>
            <w:vAlign w:val="center"/>
          </w:tcPr>
          <w:p w:rsidR="00A40E53" w:rsidRDefault="00A40E53" w:rsidP="00061E6D"/>
        </w:tc>
        <w:tc>
          <w:tcPr>
            <w:tcW w:w="3870" w:type="dxa"/>
            <w:gridSpan w:val="2"/>
            <w:vAlign w:val="center"/>
          </w:tcPr>
          <w:p w:rsidR="009674F2" w:rsidRDefault="009674F2" w:rsidP="009674F2">
            <w:r>
              <w:t>These draft guidelines have significant revisions and are not for LPHA staff distribution until approved.</w:t>
            </w:r>
          </w:p>
          <w:p w:rsidR="000E0633" w:rsidRDefault="000E0633" w:rsidP="0005519E"/>
          <w:p w:rsidR="00B62F82" w:rsidRDefault="00B62F82" w:rsidP="00B62F82">
            <w:pPr>
              <w:pStyle w:val="ListParagraph"/>
              <w:numPr>
                <w:ilvl w:val="0"/>
                <w:numId w:val="14"/>
              </w:numPr>
            </w:pPr>
            <w:r>
              <w:t>Expanded section on medication allergies</w:t>
            </w:r>
            <w:r w:rsidR="009674F2">
              <w:t>.</w:t>
            </w:r>
          </w:p>
          <w:p w:rsidR="00B62F82" w:rsidRDefault="00B62F82" w:rsidP="00B62F82">
            <w:pPr>
              <w:pStyle w:val="ListParagraph"/>
              <w:numPr>
                <w:ilvl w:val="0"/>
                <w:numId w:val="14"/>
              </w:numPr>
            </w:pPr>
            <w:r>
              <w:t>Included updated EPT protocol (please note that this protocol has not been implemented yet, these guidelines are drafts). We may refer people to the EPT guidelines and policy instead.</w:t>
            </w:r>
          </w:p>
          <w:p w:rsidR="00B62F82" w:rsidRDefault="00B62F82" w:rsidP="00B62F82">
            <w:pPr>
              <w:pStyle w:val="ListParagraph"/>
              <w:numPr>
                <w:ilvl w:val="0"/>
                <w:numId w:val="14"/>
              </w:numPr>
            </w:pPr>
            <w:r>
              <w:lastRenderedPageBreak/>
              <w:t xml:space="preserve">Included </w:t>
            </w:r>
            <w:proofErr w:type="spellStart"/>
            <w:r>
              <w:t>PrEP</w:t>
            </w:r>
            <w:proofErr w:type="spellEnd"/>
            <w:r>
              <w:t xml:space="preserve"> for MSM with rectal GC and women with GC</w:t>
            </w:r>
            <w:r w:rsidR="009674F2">
              <w:t>.</w:t>
            </w:r>
          </w:p>
          <w:p w:rsidR="00B62F82" w:rsidRDefault="00B62F82" w:rsidP="00B62F82">
            <w:pPr>
              <w:pStyle w:val="ListParagraph"/>
              <w:numPr>
                <w:ilvl w:val="0"/>
                <w:numId w:val="14"/>
              </w:numPr>
            </w:pPr>
            <w:r>
              <w:t>Expanded section on extragenital testing – will be reviewed by OSPHL.</w:t>
            </w:r>
          </w:p>
          <w:p w:rsidR="00B62F82" w:rsidRDefault="00B62F82" w:rsidP="00B62F82">
            <w:pPr>
              <w:pStyle w:val="ListParagraph"/>
              <w:numPr>
                <w:ilvl w:val="0"/>
                <w:numId w:val="14"/>
              </w:numPr>
            </w:pPr>
            <w:r>
              <w:t>Updated section on antibiotic susceptibility testing and the SOP in the appendix.</w:t>
            </w:r>
          </w:p>
          <w:p w:rsidR="00B62F82" w:rsidRDefault="00B62F82" w:rsidP="00B62F82">
            <w:pPr>
              <w:pStyle w:val="ListParagraph"/>
              <w:numPr>
                <w:ilvl w:val="0"/>
                <w:numId w:val="14"/>
              </w:numPr>
            </w:pPr>
            <w:r>
              <w:t>Updated Orpheus information and internet partner services information.</w:t>
            </w:r>
          </w:p>
          <w:p w:rsidR="00B62F82" w:rsidRDefault="00B62F82" w:rsidP="00B62F82">
            <w:pPr>
              <w:pStyle w:val="ListParagraph"/>
              <w:numPr>
                <w:ilvl w:val="0"/>
                <w:numId w:val="14"/>
              </w:numPr>
            </w:pPr>
            <w:r>
              <w:t>Added section in “managing special situation” regarding delays in completing dual therapy treatment, how to proceed when only one medication is given.</w:t>
            </w:r>
          </w:p>
          <w:p w:rsidR="005B1C78" w:rsidRDefault="00EF61BE" w:rsidP="00B62F82">
            <w:pPr>
              <w:pStyle w:val="ListParagraph"/>
              <w:numPr>
                <w:ilvl w:val="0"/>
                <w:numId w:val="14"/>
              </w:numPr>
            </w:pPr>
            <w:r>
              <w:t xml:space="preserve">Included </w:t>
            </w:r>
            <w:r w:rsidR="00B62F82">
              <w:t xml:space="preserve">guidance </w:t>
            </w:r>
            <w:r>
              <w:t xml:space="preserve">in Appendix </w:t>
            </w:r>
            <w:r w:rsidR="00B62F82">
              <w:t>about when to report a lab as a new case/deduplication and contact and disposition codes</w:t>
            </w:r>
            <w:r w:rsidR="00262B52">
              <w:t>.</w:t>
            </w:r>
          </w:p>
        </w:tc>
        <w:tc>
          <w:tcPr>
            <w:tcW w:w="1625" w:type="dxa"/>
            <w:vAlign w:val="center"/>
          </w:tcPr>
          <w:p w:rsidR="00A40E53" w:rsidRDefault="000E0633" w:rsidP="00101F89">
            <w:r>
              <w:lastRenderedPageBreak/>
              <w:t>Please review and provide Jillian with feedback within two weeks.</w:t>
            </w:r>
          </w:p>
        </w:tc>
        <w:tc>
          <w:tcPr>
            <w:tcW w:w="1515" w:type="dxa"/>
            <w:vAlign w:val="center"/>
          </w:tcPr>
          <w:p w:rsidR="00A40E53" w:rsidRDefault="00A40E53" w:rsidP="00101F89"/>
        </w:tc>
        <w:tc>
          <w:tcPr>
            <w:tcW w:w="669" w:type="dxa"/>
            <w:vAlign w:val="center"/>
          </w:tcPr>
          <w:p w:rsidR="00A40E53" w:rsidRDefault="00A40E53" w:rsidP="00AD7828"/>
        </w:tc>
      </w:tr>
      <w:tr w:rsidR="00D84B0D" w:rsidTr="006C30A5">
        <w:trPr>
          <w:trHeight w:val="432"/>
          <w:jc w:val="center"/>
        </w:trPr>
        <w:tc>
          <w:tcPr>
            <w:tcW w:w="2280" w:type="dxa"/>
            <w:vAlign w:val="center"/>
          </w:tcPr>
          <w:p w:rsidR="002A5BC1" w:rsidRPr="00444BB4" w:rsidRDefault="002A5BC1" w:rsidP="002A5BC1">
            <w:r>
              <w:t>Chlamydia</w:t>
            </w:r>
          </w:p>
        </w:tc>
        <w:tc>
          <w:tcPr>
            <w:tcW w:w="3870" w:type="dxa"/>
            <w:gridSpan w:val="2"/>
            <w:vAlign w:val="center"/>
          </w:tcPr>
          <w:p w:rsidR="002A5BC1" w:rsidRDefault="002A5BC1" w:rsidP="002A5BC1">
            <w:r>
              <w:t>Provide update, solicit any feedback</w:t>
            </w:r>
          </w:p>
        </w:tc>
        <w:tc>
          <w:tcPr>
            <w:tcW w:w="1625" w:type="dxa"/>
            <w:vAlign w:val="center"/>
          </w:tcPr>
          <w:p w:rsidR="002A5BC1" w:rsidRDefault="002A5BC1" w:rsidP="002A5BC1">
            <w:r>
              <w:t>Provide feedback</w:t>
            </w:r>
          </w:p>
        </w:tc>
        <w:tc>
          <w:tcPr>
            <w:tcW w:w="1515" w:type="dxa"/>
            <w:vAlign w:val="center"/>
          </w:tcPr>
          <w:p w:rsidR="002A5BC1" w:rsidRDefault="002A5BC1" w:rsidP="002A5BC1">
            <w:r>
              <w:t>Jillian Garai</w:t>
            </w:r>
          </w:p>
        </w:tc>
        <w:tc>
          <w:tcPr>
            <w:tcW w:w="669" w:type="dxa"/>
            <w:vAlign w:val="center"/>
          </w:tcPr>
          <w:p w:rsidR="002A5BC1" w:rsidRDefault="002A5BC1" w:rsidP="002A5BC1">
            <w:r>
              <w:t>5’</w:t>
            </w:r>
          </w:p>
        </w:tc>
      </w:tr>
      <w:tr w:rsidR="00D84B0D" w:rsidTr="006C30A5">
        <w:trPr>
          <w:trHeight w:val="432"/>
          <w:jc w:val="center"/>
        </w:trPr>
        <w:tc>
          <w:tcPr>
            <w:tcW w:w="2280" w:type="dxa"/>
            <w:vAlign w:val="center"/>
          </w:tcPr>
          <w:p w:rsidR="00A40E53" w:rsidRDefault="00A40E53" w:rsidP="002A5BC1"/>
        </w:tc>
        <w:tc>
          <w:tcPr>
            <w:tcW w:w="3870" w:type="dxa"/>
            <w:gridSpan w:val="2"/>
            <w:vAlign w:val="center"/>
          </w:tcPr>
          <w:p w:rsidR="009674F2" w:rsidRDefault="009674F2" w:rsidP="009674F2">
            <w:r>
              <w:t>These draft guidelines have significant revisions and are not for LPHA staff distribution until approved.</w:t>
            </w:r>
          </w:p>
          <w:p w:rsidR="00A40E53" w:rsidRDefault="00A40E53" w:rsidP="002A5BC1"/>
          <w:p w:rsidR="002070E4" w:rsidRDefault="002070E4" w:rsidP="002070E4">
            <w:pPr>
              <w:pStyle w:val="ListParagraph"/>
              <w:numPr>
                <w:ilvl w:val="0"/>
                <w:numId w:val="13"/>
              </w:numPr>
            </w:pPr>
            <w:r>
              <w:t>Inclu</w:t>
            </w:r>
            <w:r w:rsidR="004E3F67">
              <w:t>ded</w:t>
            </w:r>
            <w:r>
              <w:t xml:space="preserve"> updated EPT protocol (please note that this protocol has not been implemented yet, these guidelines are drafts). We may refer people to the EPT guidelines and policy instead.</w:t>
            </w:r>
          </w:p>
          <w:p w:rsidR="002070E4" w:rsidRDefault="004E3F67" w:rsidP="002070E4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cstheme="minorHAnsi"/>
              </w:rPr>
              <w:t>R</w:t>
            </w:r>
            <w:r w:rsidR="002070E4" w:rsidRPr="00055ED7">
              <w:rPr>
                <w:rFonts w:cstheme="minorHAnsi"/>
              </w:rPr>
              <w:t xml:space="preserve">emoved the section about random sampling of chlamydia cases. </w:t>
            </w:r>
            <w:r>
              <w:rPr>
                <w:rFonts w:cstheme="minorHAnsi"/>
              </w:rPr>
              <w:t>P</w:t>
            </w:r>
            <w:r w:rsidR="002070E4" w:rsidRPr="00055ED7">
              <w:rPr>
                <w:rFonts w:cstheme="minorHAnsi"/>
              </w:rPr>
              <w:t>atient interviews are still neither required nor expected.</w:t>
            </w:r>
            <w:r w:rsidR="002070E4">
              <w:rPr>
                <w:rFonts w:cstheme="minorHAnsi"/>
              </w:rPr>
              <w:t xml:space="preserve"> </w:t>
            </w:r>
            <w:r w:rsidR="002070E4" w:rsidRPr="00055ED7">
              <w:rPr>
                <w:rFonts w:cstheme="minorHAnsi"/>
              </w:rPr>
              <w:t>LPHAs may choose to pursue case investigations for special subsets of chlamydia cases</w:t>
            </w:r>
            <w:r>
              <w:rPr>
                <w:rFonts w:cstheme="minorHAnsi"/>
              </w:rPr>
              <w:t xml:space="preserve">, </w:t>
            </w:r>
            <w:r w:rsidR="002070E4">
              <w:rPr>
                <w:rFonts w:cstheme="minorHAnsi"/>
              </w:rPr>
              <w:t>but there is no expectation that counties will undertake these investigations</w:t>
            </w:r>
            <w:r w:rsidR="002070E4" w:rsidRPr="00055ED7">
              <w:rPr>
                <w:rFonts w:cstheme="minorHAnsi"/>
              </w:rPr>
              <w:t xml:space="preserve">. </w:t>
            </w:r>
          </w:p>
          <w:p w:rsidR="002070E4" w:rsidRDefault="002070E4" w:rsidP="002070E4">
            <w:pPr>
              <w:pStyle w:val="ListParagraph"/>
              <w:numPr>
                <w:ilvl w:val="0"/>
                <w:numId w:val="13"/>
              </w:numPr>
            </w:pPr>
            <w:r>
              <w:t>Limited inclusion of lymphogranuloma venereum in disease description and treatment section</w:t>
            </w:r>
            <w:r w:rsidR="004E3F67">
              <w:t>.</w:t>
            </w:r>
          </w:p>
          <w:p w:rsidR="002070E4" w:rsidRDefault="002070E4" w:rsidP="002070E4">
            <w:pPr>
              <w:pStyle w:val="ListParagraph"/>
              <w:numPr>
                <w:ilvl w:val="0"/>
                <w:numId w:val="13"/>
              </w:numPr>
            </w:pPr>
            <w:r>
              <w:lastRenderedPageBreak/>
              <w:t>Inclu</w:t>
            </w:r>
            <w:r w:rsidR="004E3F67">
              <w:t>ded</w:t>
            </w:r>
            <w:r>
              <w:t xml:space="preserve"> </w:t>
            </w:r>
            <w:proofErr w:type="spellStart"/>
            <w:r>
              <w:t>PrEP</w:t>
            </w:r>
            <w:proofErr w:type="spellEnd"/>
            <w:r>
              <w:t xml:space="preserve"> for MSM with rectal CT</w:t>
            </w:r>
            <w:r w:rsidR="004E3F67">
              <w:t>.</w:t>
            </w:r>
          </w:p>
          <w:p w:rsidR="002070E4" w:rsidRDefault="002070E4" w:rsidP="002070E4">
            <w:pPr>
              <w:pStyle w:val="ListParagraph"/>
              <w:numPr>
                <w:ilvl w:val="0"/>
                <w:numId w:val="13"/>
              </w:numPr>
            </w:pPr>
            <w:r>
              <w:t>Expanded section on extragenital testing – will be reviewed by OSPHL.</w:t>
            </w:r>
          </w:p>
          <w:p w:rsidR="002070E4" w:rsidRDefault="002070E4" w:rsidP="002070E4">
            <w:pPr>
              <w:pStyle w:val="ListParagraph"/>
              <w:numPr>
                <w:ilvl w:val="0"/>
                <w:numId w:val="13"/>
              </w:numPr>
            </w:pPr>
            <w:r>
              <w:t>Updated Orpheus information and internet partner services information</w:t>
            </w:r>
            <w:r w:rsidR="004E3F67">
              <w:t>.</w:t>
            </w:r>
          </w:p>
          <w:p w:rsidR="002070E4" w:rsidRDefault="002070E4" w:rsidP="002070E4">
            <w:pPr>
              <w:pStyle w:val="ListParagraph"/>
              <w:numPr>
                <w:ilvl w:val="0"/>
                <w:numId w:val="13"/>
              </w:numPr>
            </w:pPr>
            <w:r>
              <w:t>Expanded section on managing out-of-jurisdiction cases and contacts</w:t>
            </w:r>
            <w:r w:rsidR="004E3F67">
              <w:t>.</w:t>
            </w:r>
          </w:p>
          <w:p w:rsidR="005B1C78" w:rsidRDefault="00EF61BE" w:rsidP="002A5BC1">
            <w:pPr>
              <w:pStyle w:val="ListParagraph"/>
              <w:numPr>
                <w:ilvl w:val="0"/>
                <w:numId w:val="13"/>
              </w:numPr>
            </w:pPr>
            <w:r>
              <w:t>In</w:t>
            </w:r>
            <w:r w:rsidR="002070E4">
              <w:t>clude</w:t>
            </w:r>
            <w:r>
              <w:t>d</w:t>
            </w:r>
            <w:r w:rsidR="002070E4">
              <w:t xml:space="preserve"> guidance </w:t>
            </w:r>
            <w:r>
              <w:t xml:space="preserve">in Appendix </w:t>
            </w:r>
            <w:r w:rsidR="002070E4">
              <w:t>about when to report a lab as a new case/deduplication and contact and disposition codes</w:t>
            </w:r>
          </w:p>
        </w:tc>
        <w:tc>
          <w:tcPr>
            <w:tcW w:w="1625" w:type="dxa"/>
            <w:vAlign w:val="center"/>
          </w:tcPr>
          <w:p w:rsidR="00A40E53" w:rsidRDefault="000E0633" w:rsidP="002A5BC1">
            <w:r>
              <w:lastRenderedPageBreak/>
              <w:t>Please review and provide Jillian with feedback within two weeks.</w:t>
            </w:r>
          </w:p>
        </w:tc>
        <w:tc>
          <w:tcPr>
            <w:tcW w:w="1515" w:type="dxa"/>
            <w:vAlign w:val="center"/>
          </w:tcPr>
          <w:p w:rsidR="00A40E53" w:rsidRDefault="00A40E53" w:rsidP="002A5BC1"/>
        </w:tc>
        <w:tc>
          <w:tcPr>
            <w:tcW w:w="669" w:type="dxa"/>
            <w:vAlign w:val="center"/>
          </w:tcPr>
          <w:p w:rsidR="00A40E53" w:rsidRDefault="00A40E53" w:rsidP="002A5BC1"/>
        </w:tc>
      </w:tr>
      <w:tr w:rsidR="00D84B0D" w:rsidTr="006C30A5">
        <w:trPr>
          <w:trHeight w:val="432"/>
          <w:jc w:val="center"/>
        </w:trPr>
        <w:tc>
          <w:tcPr>
            <w:tcW w:w="2280" w:type="dxa"/>
            <w:vAlign w:val="center"/>
          </w:tcPr>
          <w:p w:rsidR="002A5BC1" w:rsidRDefault="002A5BC1" w:rsidP="002A5BC1">
            <w:r>
              <w:t>Syphilis funding</w:t>
            </w:r>
          </w:p>
        </w:tc>
        <w:tc>
          <w:tcPr>
            <w:tcW w:w="3870" w:type="dxa"/>
            <w:gridSpan w:val="2"/>
            <w:vAlign w:val="center"/>
          </w:tcPr>
          <w:p w:rsidR="002A5BC1" w:rsidRDefault="00642AEC" w:rsidP="002A5BC1">
            <w:r>
              <w:t>Discussion among counties about how handling syphilis funding for pregnant women – What systems in place for tracking/reimbursement?</w:t>
            </w:r>
          </w:p>
        </w:tc>
        <w:tc>
          <w:tcPr>
            <w:tcW w:w="1625" w:type="dxa"/>
            <w:vAlign w:val="center"/>
          </w:tcPr>
          <w:p w:rsidR="002A5BC1" w:rsidRDefault="002A5BC1" w:rsidP="002A5BC1">
            <w:r>
              <w:t>Ask questions</w:t>
            </w:r>
            <w:r w:rsidR="00B219C6">
              <w:t xml:space="preserve"> and share</w:t>
            </w:r>
          </w:p>
        </w:tc>
        <w:tc>
          <w:tcPr>
            <w:tcW w:w="1515" w:type="dxa"/>
            <w:vAlign w:val="center"/>
          </w:tcPr>
          <w:p w:rsidR="002A5BC1" w:rsidRDefault="00B219C6" w:rsidP="002A5BC1">
            <w:r>
              <w:t>Co-chairs</w:t>
            </w:r>
          </w:p>
        </w:tc>
        <w:tc>
          <w:tcPr>
            <w:tcW w:w="669" w:type="dxa"/>
            <w:vAlign w:val="center"/>
          </w:tcPr>
          <w:p w:rsidR="002A5BC1" w:rsidRDefault="002A5BC1" w:rsidP="002A5BC1">
            <w:r>
              <w:t>5’</w:t>
            </w:r>
          </w:p>
        </w:tc>
      </w:tr>
      <w:tr w:rsidR="00D84B0D" w:rsidTr="006C30A5">
        <w:trPr>
          <w:trHeight w:val="432"/>
          <w:jc w:val="center"/>
        </w:trPr>
        <w:tc>
          <w:tcPr>
            <w:tcW w:w="2280" w:type="dxa"/>
            <w:vAlign w:val="center"/>
          </w:tcPr>
          <w:p w:rsidR="005B1C78" w:rsidRDefault="005B1C78" w:rsidP="002A5BC1"/>
        </w:tc>
        <w:tc>
          <w:tcPr>
            <w:tcW w:w="3870" w:type="dxa"/>
            <w:gridSpan w:val="2"/>
            <w:vAlign w:val="center"/>
          </w:tcPr>
          <w:p w:rsidR="00830618" w:rsidRDefault="00830618" w:rsidP="00830618">
            <w:r>
              <w:t>Discussion regarding operationalizing the reimbursement opportunity deferred as the funding is not yet in place.</w:t>
            </w:r>
          </w:p>
          <w:p w:rsidR="00830618" w:rsidRDefault="00830618" w:rsidP="002A5BC1"/>
          <w:p w:rsidR="00B27293" w:rsidRDefault="008F451F" w:rsidP="002A5BC1">
            <w:r>
              <w:t>This was d</w:t>
            </w:r>
            <w:r w:rsidR="00B27293">
              <w:t xml:space="preserve">iscussed at </w:t>
            </w:r>
            <w:r>
              <w:t xml:space="preserve">the </w:t>
            </w:r>
            <w:r w:rsidR="00B27293">
              <w:t>larger CLHO meeting</w:t>
            </w:r>
            <w:r>
              <w:t>;</w:t>
            </w:r>
            <w:r w:rsidR="00B27293">
              <w:t xml:space="preserve"> no concerns </w:t>
            </w:r>
            <w:r>
              <w:t xml:space="preserve">were </w:t>
            </w:r>
            <w:r w:rsidR="00830618">
              <w:t>raised,</w:t>
            </w:r>
            <w:r w:rsidR="00B27293">
              <w:t xml:space="preserve"> </w:t>
            </w:r>
            <w:r>
              <w:t>and it was voted on.</w:t>
            </w:r>
          </w:p>
        </w:tc>
        <w:tc>
          <w:tcPr>
            <w:tcW w:w="1625" w:type="dxa"/>
            <w:vAlign w:val="center"/>
          </w:tcPr>
          <w:p w:rsidR="005B1C78" w:rsidRDefault="00830618" w:rsidP="008F451F">
            <w:r>
              <w:t>F</w:t>
            </w:r>
            <w:r w:rsidR="008F451F">
              <w:t xml:space="preserve">unding will </w:t>
            </w:r>
            <w:r>
              <w:t>be i</w:t>
            </w:r>
            <w:r w:rsidR="008F451F">
              <w:t xml:space="preserve">n place on July 1. Please see the </w:t>
            </w:r>
            <w:r w:rsidR="008F451F" w:rsidRPr="00EF61BE">
              <w:t>attached brief and FAQ</w:t>
            </w:r>
            <w:r w:rsidR="008F451F" w:rsidRPr="00830618">
              <w:t xml:space="preserve"> fo</w:t>
            </w:r>
            <w:r w:rsidR="008F451F" w:rsidRPr="008F451F">
              <w:t>r more information.</w:t>
            </w:r>
          </w:p>
        </w:tc>
        <w:tc>
          <w:tcPr>
            <w:tcW w:w="1515" w:type="dxa"/>
            <w:vAlign w:val="center"/>
          </w:tcPr>
          <w:p w:rsidR="005B1C78" w:rsidRDefault="005B1C78" w:rsidP="002A5BC1"/>
        </w:tc>
        <w:tc>
          <w:tcPr>
            <w:tcW w:w="669" w:type="dxa"/>
            <w:vAlign w:val="center"/>
          </w:tcPr>
          <w:p w:rsidR="005B1C78" w:rsidRDefault="005B1C78" w:rsidP="002A5BC1"/>
        </w:tc>
      </w:tr>
      <w:tr w:rsidR="00D84B0D" w:rsidTr="006C30A5">
        <w:trPr>
          <w:trHeight w:val="432"/>
          <w:jc w:val="center"/>
        </w:trPr>
        <w:tc>
          <w:tcPr>
            <w:tcW w:w="2280" w:type="dxa"/>
            <w:vAlign w:val="center"/>
          </w:tcPr>
          <w:p w:rsidR="00B219C6" w:rsidRDefault="00B219C6" w:rsidP="002A5BC1">
            <w:r>
              <w:t>HCV screening</w:t>
            </w:r>
          </w:p>
        </w:tc>
        <w:tc>
          <w:tcPr>
            <w:tcW w:w="3870" w:type="dxa"/>
            <w:gridSpan w:val="2"/>
            <w:vAlign w:val="center"/>
          </w:tcPr>
          <w:p w:rsidR="00B219C6" w:rsidRDefault="009A4625" w:rsidP="002A5BC1">
            <w:r>
              <w:t>CDC supplemental opportunity for HCV screening and linkage to care</w:t>
            </w:r>
          </w:p>
        </w:tc>
        <w:tc>
          <w:tcPr>
            <w:tcW w:w="1625" w:type="dxa"/>
            <w:vAlign w:val="center"/>
          </w:tcPr>
          <w:p w:rsidR="00B219C6" w:rsidRDefault="009A4625" w:rsidP="002A5BC1">
            <w:r>
              <w:t>Provide update</w:t>
            </w:r>
          </w:p>
        </w:tc>
        <w:tc>
          <w:tcPr>
            <w:tcW w:w="1515" w:type="dxa"/>
            <w:vAlign w:val="center"/>
          </w:tcPr>
          <w:p w:rsidR="00B219C6" w:rsidRDefault="00B219C6" w:rsidP="002A5BC1">
            <w:r>
              <w:t>Jude Leahy</w:t>
            </w:r>
          </w:p>
        </w:tc>
        <w:tc>
          <w:tcPr>
            <w:tcW w:w="669" w:type="dxa"/>
            <w:vAlign w:val="center"/>
          </w:tcPr>
          <w:p w:rsidR="00B219C6" w:rsidRDefault="00642AEC" w:rsidP="002A5BC1">
            <w:r>
              <w:t>5’</w:t>
            </w:r>
          </w:p>
        </w:tc>
      </w:tr>
      <w:tr w:rsidR="00D84B0D" w:rsidTr="006C30A5">
        <w:trPr>
          <w:trHeight w:val="432"/>
          <w:jc w:val="center"/>
        </w:trPr>
        <w:tc>
          <w:tcPr>
            <w:tcW w:w="2280" w:type="dxa"/>
            <w:vAlign w:val="center"/>
          </w:tcPr>
          <w:p w:rsidR="005B1C78" w:rsidRDefault="005B1C78" w:rsidP="002A5BC1"/>
        </w:tc>
        <w:tc>
          <w:tcPr>
            <w:tcW w:w="3870" w:type="dxa"/>
            <w:gridSpan w:val="2"/>
            <w:vAlign w:val="center"/>
          </w:tcPr>
          <w:p w:rsidR="00992199" w:rsidRDefault="00992199" w:rsidP="002A5BC1">
            <w:r>
              <w:t>We are applying for a competitive 1</w:t>
            </w:r>
            <w:r w:rsidR="00DC45F4">
              <w:t>-</w:t>
            </w:r>
            <w:r>
              <w:t>year supplement of $500K</w:t>
            </w:r>
            <w:r w:rsidRPr="00992199">
              <w:t xml:space="preserve"> for the current CDC grant “</w:t>
            </w:r>
            <w:r w:rsidRPr="00992199">
              <w:rPr>
                <w:i/>
              </w:rPr>
              <w:t>Improving Hepatitis B and C Care Cascades: Focus on Increased Testing and Diagnosis</w:t>
            </w:r>
            <w:r w:rsidRPr="00992199">
              <w:t>”</w:t>
            </w:r>
            <w:r>
              <w:t>.</w:t>
            </w:r>
            <w:r w:rsidRPr="00992199">
              <w:t xml:space="preserve"> </w:t>
            </w:r>
            <w:r w:rsidR="00DC45F4">
              <w:t xml:space="preserve">This supplement would </w:t>
            </w:r>
            <w:r w:rsidRPr="00992199">
              <w:t>fund screening and linkage to care</w:t>
            </w:r>
            <w:r w:rsidR="00DC45F4">
              <w:t>, especially in</w:t>
            </w:r>
            <w:r w:rsidRPr="00992199">
              <w:t xml:space="preserve"> rural </w:t>
            </w:r>
            <w:r w:rsidR="00DC45F4">
              <w:t>settings</w:t>
            </w:r>
            <w:r w:rsidRPr="00992199">
              <w:t>.</w:t>
            </w:r>
          </w:p>
          <w:p w:rsidR="00992199" w:rsidRDefault="00992199" w:rsidP="002A5BC1"/>
          <w:p w:rsidR="00D84B0D" w:rsidRDefault="00D84B0D" w:rsidP="002A5BC1">
            <w:r>
              <w:t>With an equity and modernization lens, eastern rural and frontier counties were identified as the planned focus area</w:t>
            </w:r>
            <w:r w:rsidR="00DA6723">
              <w:t>;</w:t>
            </w:r>
            <w:r>
              <w:t xml:space="preserve"> OHA has a list of counties to approach.</w:t>
            </w:r>
          </w:p>
          <w:p w:rsidR="00D84B0D" w:rsidRDefault="00D84B0D" w:rsidP="002A5BC1"/>
          <w:p w:rsidR="00D84B0D" w:rsidRDefault="00D84B0D" w:rsidP="00D84B0D">
            <w:r>
              <w:t>This would add a “Hepatitis C Treatment Access Coordinator” position alongside the existing Hospital-based Peer Navigator Programs funded through House Bill 4143.</w:t>
            </w:r>
          </w:p>
          <w:p w:rsidR="00D84B0D" w:rsidRDefault="00D84B0D" w:rsidP="002A5BC1"/>
          <w:p w:rsidR="00145872" w:rsidRDefault="00DC45F4" w:rsidP="002A5BC1">
            <w:r>
              <w:lastRenderedPageBreak/>
              <w:t>Grant activities include:</w:t>
            </w:r>
          </w:p>
          <w:p w:rsidR="00DC45F4" w:rsidRDefault="00DC45F4" w:rsidP="00DC45F4">
            <w:pPr>
              <w:pStyle w:val="ListParagraph"/>
              <w:numPr>
                <w:ilvl w:val="0"/>
                <w:numId w:val="15"/>
              </w:numPr>
            </w:pPr>
            <w:r w:rsidRPr="00DC45F4">
              <w:t>Conduct testing of Hepatitis B (HBV) and C (HCV) among persons who inject drugs in Emergency Departments or hospitals within areas of the state determined to have a high burden of hepatitis C infections or at-risk for HCV outbreaks</w:t>
            </w:r>
            <w:r>
              <w:t>;</w:t>
            </w:r>
          </w:p>
          <w:p w:rsidR="00145872" w:rsidRDefault="00DC45F4" w:rsidP="00DC45F4">
            <w:pPr>
              <w:pStyle w:val="ListParagraph"/>
              <w:numPr>
                <w:ilvl w:val="0"/>
                <w:numId w:val="15"/>
              </w:numPr>
            </w:pPr>
            <w:r w:rsidRPr="00DC45F4">
              <w:t>Link persons who inject drugs with hepatitis B or C infection to appropriate medical care</w:t>
            </w:r>
            <w:r>
              <w:t>;</w:t>
            </w:r>
          </w:p>
          <w:p w:rsidR="00CE32A9" w:rsidRDefault="00DC45F4" w:rsidP="00DA6723">
            <w:pPr>
              <w:pStyle w:val="ListParagraph"/>
              <w:numPr>
                <w:ilvl w:val="0"/>
                <w:numId w:val="15"/>
              </w:numPr>
            </w:pPr>
            <w:r w:rsidRPr="00DC45F4">
              <w:t>Link or refer persons who inject drugs tested to viral hepatitis prevention services recommended for PWID</w:t>
            </w:r>
            <w:r w:rsidR="00DA6723">
              <w:t>.</w:t>
            </w:r>
          </w:p>
        </w:tc>
        <w:tc>
          <w:tcPr>
            <w:tcW w:w="1625" w:type="dxa"/>
            <w:vAlign w:val="center"/>
          </w:tcPr>
          <w:p w:rsidR="00D84B0D" w:rsidRDefault="00D84B0D" w:rsidP="00D84B0D">
            <w:r>
              <w:lastRenderedPageBreak/>
              <w:t>This application is due on June 3</w:t>
            </w:r>
            <w:r w:rsidRPr="00D84B0D">
              <w:rPr>
                <w:vertAlign w:val="superscript"/>
              </w:rPr>
              <w:t>rd</w:t>
            </w:r>
            <w:r>
              <w:t>.</w:t>
            </w:r>
          </w:p>
          <w:p w:rsidR="005B1C78" w:rsidRDefault="005B1C78" w:rsidP="002A5BC1"/>
          <w:p w:rsidR="00D84B0D" w:rsidRDefault="00D84B0D" w:rsidP="002A5BC1">
            <w:r>
              <w:t>If your county is not in the focus area, the activities will be thoroughly documented in an intervention manual to share best practices.</w:t>
            </w:r>
          </w:p>
        </w:tc>
        <w:tc>
          <w:tcPr>
            <w:tcW w:w="1515" w:type="dxa"/>
            <w:vAlign w:val="center"/>
          </w:tcPr>
          <w:p w:rsidR="005B1C78" w:rsidRDefault="005B1C78" w:rsidP="002A5BC1"/>
        </w:tc>
        <w:tc>
          <w:tcPr>
            <w:tcW w:w="669" w:type="dxa"/>
            <w:vAlign w:val="center"/>
          </w:tcPr>
          <w:p w:rsidR="005B1C78" w:rsidRDefault="005B1C78" w:rsidP="002A5BC1"/>
        </w:tc>
      </w:tr>
      <w:tr w:rsidR="00D84B0D" w:rsidTr="006C30A5">
        <w:trPr>
          <w:trHeight w:val="432"/>
          <w:jc w:val="center"/>
        </w:trPr>
        <w:tc>
          <w:tcPr>
            <w:tcW w:w="2280" w:type="dxa"/>
            <w:vAlign w:val="center"/>
          </w:tcPr>
          <w:p w:rsidR="00B219C6" w:rsidRDefault="00B219C6" w:rsidP="002A5BC1">
            <w:r>
              <w:t>Harm Reduction Manual</w:t>
            </w:r>
          </w:p>
        </w:tc>
        <w:tc>
          <w:tcPr>
            <w:tcW w:w="3870" w:type="dxa"/>
            <w:gridSpan w:val="2"/>
            <w:vAlign w:val="center"/>
          </w:tcPr>
          <w:p w:rsidR="00B219C6" w:rsidRDefault="009A4625" w:rsidP="002A5BC1">
            <w:r>
              <w:t>Update on final draft of manual</w:t>
            </w:r>
          </w:p>
        </w:tc>
        <w:tc>
          <w:tcPr>
            <w:tcW w:w="1625" w:type="dxa"/>
            <w:vAlign w:val="center"/>
          </w:tcPr>
          <w:p w:rsidR="00B219C6" w:rsidRDefault="009A4625" w:rsidP="002A5BC1">
            <w:r>
              <w:t>Provide updates</w:t>
            </w:r>
          </w:p>
        </w:tc>
        <w:tc>
          <w:tcPr>
            <w:tcW w:w="1515" w:type="dxa"/>
            <w:vAlign w:val="center"/>
          </w:tcPr>
          <w:p w:rsidR="00B219C6" w:rsidRDefault="00B219C6" w:rsidP="002A5BC1">
            <w:r>
              <w:t>Jude Leahy</w:t>
            </w:r>
          </w:p>
        </w:tc>
        <w:tc>
          <w:tcPr>
            <w:tcW w:w="669" w:type="dxa"/>
            <w:vAlign w:val="center"/>
          </w:tcPr>
          <w:p w:rsidR="00B219C6" w:rsidRDefault="00642AEC" w:rsidP="002A5BC1">
            <w:r>
              <w:t>5’</w:t>
            </w:r>
          </w:p>
        </w:tc>
      </w:tr>
      <w:tr w:rsidR="00D84B0D" w:rsidTr="006C30A5">
        <w:trPr>
          <w:trHeight w:val="432"/>
          <w:jc w:val="center"/>
        </w:trPr>
        <w:tc>
          <w:tcPr>
            <w:tcW w:w="2280" w:type="dxa"/>
            <w:vAlign w:val="center"/>
          </w:tcPr>
          <w:p w:rsidR="00145872" w:rsidRDefault="00145872" w:rsidP="002A5BC1"/>
        </w:tc>
        <w:tc>
          <w:tcPr>
            <w:tcW w:w="3870" w:type="dxa"/>
            <w:gridSpan w:val="2"/>
            <w:vAlign w:val="center"/>
          </w:tcPr>
          <w:p w:rsidR="00145872" w:rsidRDefault="002F76AB" w:rsidP="00145872">
            <w:r>
              <w:t>We are responding to f</w:t>
            </w:r>
            <w:r w:rsidR="00145872">
              <w:t xml:space="preserve">eedback </w:t>
            </w:r>
            <w:r>
              <w:t xml:space="preserve">received from the </w:t>
            </w:r>
            <w:r w:rsidR="00145872">
              <w:t>Health Officer</w:t>
            </w:r>
            <w:r>
              <w:t xml:space="preserve">s </w:t>
            </w:r>
            <w:r w:rsidR="00145872">
              <w:t>at OR Epi</w:t>
            </w:r>
            <w:r>
              <w:t xml:space="preserve"> and the </w:t>
            </w:r>
            <w:r w:rsidR="00145872">
              <w:t>stakeholder group</w:t>
            </w:r>
            <w:r>
              <w:t xml:space="preserve">; the final version will be </w:t>
            </w:r>
            <w:r w:rsidR="00145872">
              <w:t>sent out</w:t>
            </w:r>
            <w:r>
              <w:t xml:space="preserve"> soon. Thank you for all your comments!</w:t>
            </w:r>
          </w:p>
          <w:p w:rsidR="00145872" w:rsidRDefault="00145872" w:rsidP="00145872"/>
          <w:p w:rsidR="00145872" w:rsidRDefault="002F76AB" w:rsidP="00145872">
            <w:r>
              <w:t xml:space="preserve">A </w:t>
            </w:r>
            <w:r w:rsidR="00145872">
              <w:t>website</w:t>
            </w:r>
            <w:r w:rsidR="00CE32A9">
              <w:t xml:space="preserve"> with downloadable resources</w:t>
            </w:r>
            <w:r>
              <w:t xml:space="preserve"> is in progress.</w:t>
            </w:r>
          </w:p>
        </w:tc>
        <w:tc>
          <w:tcPr>
            <w:tcW w:w="1625" w:type="dxa"/>
            <w:vAlign w:val="center"/>
          </w:tcPr>
          <w:p w:rsidR="00145872" w:rsidRDefault="00757997" w:rsidP="002A5BC1">
            <w:r>
              <w:t>Stay tuned for the final version coming soon!</w:t>
            </w:r>
          </w:p>
        </w:tc>
        <w:tc>
          <w:tcPr>
            <w:tcW w:w="1515" w:type="dxa"/>
            <w:vAlign w:val="center"/>
          </w:tcPr>
          <w:p w:rsidR="00145872" w:rsidRDefault="00145872" w:rsidP="002A5BC1"/>
        </w:tc>
        <w:tc>
          <w:tcPr>
            <w:tcW w:w="669" w:type="dxa"/>
            <w:vAlign w:val="center"/>
          </w:tcPr>
          <w:p w:rsidR="00145872" w:rsidRDefault="00145872" w:rsidP="002A5BC1"/>
        </w:tc>
      </w:tr>
      <w:tr w:rsidR="00D84B0D" w:rsidTr="006C30A5">
        <w:trPr>
          <w:trHeight w:val="432"/>
          <w:jc w:val="center"/>
        </w:trPr>
        <w:tc>
          <w:tcPr>
            <w:tcW w:w="2280" w:type="dxa"/>
            <w:vAlign w:val="center"/>
          </w:tcPr>
          <w:p w:rsidR="00E957CA" w:rsidRDefault="00E957CA" w:rsidP="002A5BC1">
            <w:r>
              <w:t>Open Discussion</w:t>
            </w:r>
          </w:p>
        </w:tc>
        <w:tc>
          <w:tcPr>
            <w:tcW w:w="3870" w:type="dxa"/>
            <w:gridSpan w:val="2"/>
            <w:vAlign w:val="center"/>
          </w:tcPr>
          <w:p w:rsidR="00E957CA" w:rsidRDefault="00CB2C4B" w:rsidP="00145872">
            <w:r>
              <w:t>Other questions or concerns</w:t>
            </w:r>
          </w:p>
        </w:tc>
        <w:tc>
          <w:tcPr>
            <w:tcW w:w="1625" w:type="dxa"/>
            <w:vAlign w:val="center"/>
          </w:tcPr>
          <w:p w:rsidR="00E957CA" w:rsidRDefault="00E957CA" w:rsidP="002A5BC1"/>
        </w:tc>
        <w:tc>
          <w:tcPr>
            <w:tcW w:w="1515" w:type="dxa"/>
            <w:vAlign w:val="center"/>
          </w:tcPr>
          <w:p w:rsidR="00E957CA" w:rsidRDefault="00E957CA" w:rsidP="002A5BC1"/>
        </w:tc>
        <w:tc>
          <w:tcPr>
            <w:tcW w:w="669" w:type="dxa"/>
            <w:vAlign w:val="center"/>
          </w:tcPr>
          <w:p w:rsidR="00E957CA" w:rsidRDefault="00E957CA" w:rsidP="002A5BC1"/>
        </w:tc>
      </w:tr>
      <w:tr w:rsidR="00D84B0D" w:rsidTr="00A25303">
        <w:trPr>
          <w:trHeight w:val="432"/>
          <w:jc w:val="center"/>
        </w:trPr>
        <w:tc>
          <w:tcPr>
            <w:tcW w:w="2280" w:type="dxa"/>
            <w:vAlign w:val="center"/>
          </w:tcPr>
          <w:p w:rsidR="00CE32A9" w:rsidRDefault="00CE32A9" w:rsidP="002A5BC1"/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CE32A9" w:rsidRDefault="00A25303" w:rsidP="00145872">
            <w:r w:rsidRPr="00A25303">
              <w:t xml:space="preserve">The Orpheus meeting yesterday discussed changes to </w:t>
            </w:r>
            <w:r w:rsidR="00CE32A9" w:rsidRPr="00A25303">
              <w:t>Orpheus reporting</w:t>
            </w:r>
            <w:r w:rsidRPr="00A25303">
              <w:t>.</w:t>
            </w:r>
          </w:p>
        </w:tc>
        <w:tc>
          <w:tcPr>
            <w:tcW w:w="1625" w:type="dxa"/>
            <w:vAlign w:val="center"/>
          </w:tcPr>
          <w:p w:rsidR="00CE32A9" w:rsidRDefault="006375F3" w:rsidP="0052597E">
            <w:r>
              <w:t xml:space="preserve">Orpheus reports are </w:t>
            </w:r>
            <w:proofErr w:type="gramStart"/>
            <w:r>
              <w:t>staying</w:t>
            </w:r>
            <w:proofErr w:type="gramEnd"/>
            <w:r>
              <w:t xml:space="preserve"> and we will </w:t>
            </w:r>
            <w:r w:rsidR="0052597E">
              <w:t>be addi</w:t>
            </w:r>
            <w:r>
              <w:t>ng new</w:t>
            </w:r>
            <w:r w:rsidR="0052597E">
              <w:t xml:space="preserve"> visualization</w:t>
            </w:r>
            <w:r>
              <w:t>s</w:t>
            </w:r>
            <w:r w:rsidR="0052597E">
              <w:t xml:space="preserve">. </w:t>
            </w:r>
            <w:r>
              <w:t xml:space="preserve">Feedback was requested at the Orpheus meeting for </w:t>
            </w:r>
            <w:r w:rsidR="0052597E">
              <w:t xml:space="preserve">which reports </w:t>
            </w:r>
            <w:r>
              <w:t xml:space="preserve">are routinely run so these visual enhancements are </w:t>
            </w:r>
            <w:r w:rsidR="0052597E">
              <w:t>prioritize</w:t>
            </w:r>
            <w:r>
              <w:t>d.</w:t>
            </w:r>
          </w:p>
        </w:tc>
        <w:tc>
          <w:tcPr>
            <w:tcW w:w="1515" w:type="dxa"/>
            <w:vAlign w:val="center"/>
          </w:tcPr>
          <w:p w:rsidR="00CE32A9" w:rsidRDefault="00CE32A9" w:rsidP="002A5BC1"/>
        </w:tc>
        <w:tc>
          <w:tcPr>
            <w:tcW w:w="669" w:type="dxa"/>
            <w:vAlign w:val="center"/>
          </w:tcPr>
          <w:p w:rsidR="00CE32A9" w:rsidRDefault="00CE32A9" w:rsidP="002A5BC1"/>
        </w:tc>
      </w:tr>
      <w:tr w:rsidR="00D84B0D" w:rsidTr="006C30A5">
        <w:trPr>
          <w:trHeight w:val="432"/>
          <w:jc w:val="center"/>
        </w:trPr>
        <w:tc>
          <w:tcPr>
            <w:tcW w:w="2280" w:type="dxa"/>
            <w:vAlign w:val="center"/>
          </w:tcPr>
          <w:p w:rsidR="00CE32A9" w:rsidRDefault="00CE32A9" w:rsidP="002A5BC1"/>
        </w:tc>
        <w:tc>
          <w:tcPr>
            <w:tcW w:w="3870" w:type="dxa"/>
            <w:gridSpan w:val="2"/>
            <w:vAlign w:val="center"/>
          </w:tcPr>
          <w:p w:rsidR="00CB2C4B" w:rsidRPr="00CE32A9" w:rsidRDefault="00CE32A9" w:rsidP="00CB2C4B">
            <w:r w:rsidRPr="00CB2C4B">
              <w:t>Cindy Morgan attended</w:t>
            </w:r>
            <w:r w:rsidR="00CB2C4B" w:rsidRPr="00CB2C4B">
              <w:t xml:space="preserve"> the</w:t>
            </w:r>
            <w:r w:rsidRPr="00CB2C4B">
              <w:t xml:space="preserve"> </w:t>
            </w:r>
            <w:r w:rsidR="00CB2C4B" w:rsidRPr="00CB2C4B">
              <w:t xml:space="preserve">Oregon State Board of Nursing (OSBN) </w:t>
            </w:r>
            <w:r w:rsidRPr="00CB2C4B">
              <w:t xml:space="preserve">stakeholder meeting in central </w:t>
            </w:r>
            <w:r w:rsidR="00CB2C4B" w:rsidRPr="00CB2C4B">
              <w:t>O</w:t>
            </w:r>
            <w:r w:rsidRPr="00CB2C4B">
              <w:t xml:space="preserve">regon </w:t>
            </w:r>
            <w:r w:rsidR="00CB2C4B" w:rsidRPr="00CB2C4B">
              <w:t>that discussed Standing Orders</w:t>
            </w:r>
            <w:r w:rsidR="00CB2C4B">
              <w:t>.</w:t>
            </w:r>
          </w:p>
          <w:p w:rsidR="00CE32A9" w:rsidRPr="00CE32A9" w:rsidRDefault="00CE32A9" w:rsidP="00145872">
            <w:pPr>
              <w:rPr>
                <w:highlight w:val="yellow"/>
              </w:rPr>
            </w:pPr>
          </w:p>
        </w:tc>
        <w:tc>
          <w:tcPr>
            <w:tcW w:w="1625" w:type="dxa"/>
            <w:vAlign w:val="center"/>
          </w:tcPr>
          <w:p w:rsidR="00CE32A9" w:rsidRDefault="00CB2C4B" w:rsidP="00CB2C4B">
            <w:r>
              <w:lastRenderedPageBreak/>
              <w:t xml:space="preserve">Please consider </w:t>
            </w:r>
            <w:r w:rsidRPr="00CB2C4B">
              <w:t>attend</w:t>
            </w:r>
            <w:r>
              <w:t>ing</w:t>
            </w:r>
            <w:r w:rsidRPr="00CB2C4B">
              <w:t xml:space="preserve"> the next </w:t>
            </w:r>
            <w:r>
              <w:t>OSB</w:t>
            </w:r>
            <w:r w:rsidR="00757997">
              <w:t>N</w:t>
            </w:r>
            <w:r>
              <w:t xml:space="preserve"> </w:t>
            </w:r>
            <w:r w:rsidRPr="00CB2C4B">
              <w:t xml:space="preserve">stakeholder </w:t>
            </w:r>
            <w:r w:rsidRPr="00CB2C4B">
              <w:lastRenderedPageBreak/>
              <w:t>meeting in Pendleton</w:t>
            </w:r>
            <w:r>
              <w:t xml:space="preserve"> to </w:t>
            </w:r>
            <w:r w:rsidRPr="00CB2C4B">
              <w:t xml:space="preserve">share </w:t>
            </w:r>
            <w:r>
              <w:t xml:space="preserve">how </w:t>
            </w:r>
            <w:r w:rsidRPr="00CB2C4B">
              <w:t xml:space="preserve">Standing Orders </w:t>
            </w:r>
            <w:r>
              <w:t xml:space="preserve">affect </w:t>
            </w:r>
            <w:r w:rsidRPr="00CB2C4B">
              <w:t>access to care.</w:t>
            </w:r>
          </w:p>
        </w:tc>
        <w:tc>
          <w:tcPr>
            <w:tcW w:w="1515" w:type="dxa"/>
            <w:vAlign w:val="center"/>
          </w:tcPr>
          <w:p w:rsidR="00CE32A9" w:rsidRDefault="00CE32A9" w:rsidP="002A5BC1"/>
        </w:tc>
        <w:tc>
          <w:tcPr>
            <w:tcW w:w="669" w:type="dxa"/>
            <w:vAlign w:val="center"/>
          </w:tcPr>
          <w:p w:rsidR="00CE32A9" w:rsidRDefault="00CE32A9" w:rsidP="002A5BC1"/>
        </w:tc>
      </w:tr>
      <w:tr w:rsidR="00D84B0D" w:rsidTr="006C30A5">
        <w:trPr>
          <w:trHeight w:val="432"/>
          <w:jc w:val="center"/>
        </w:trPr>
        <w:tc>
          <w:tcPr>
            <w:tcW w:w="2280" w:type="dxa"/>
            <w:vAlign w:val="center"/>
          </w:tcPr>
          <w:p w:rsidR="00E62837" w:rsidRDefault="00E62837" w:rsidP="002A5BC1"/>
        </w:tc>
        <w:tc>
          <w:tcPr>
            <w:tcW w:w="3870" w:type="dxa"/>
            <w:gridSpan w:val="2"/>
            <w:vAlign w:val="center"/>
          </w:tcPr>
          <w:p w:rsidR="00E62837" w:rsidRDefault="00A25303" w:rsidP="00145872">
            <w:pPr>
              <w:rPr>
                <w:highlight w:val="yellow"/>
              </w:rPr>
            </w:pPr>
            <w:r w:rsidRPr="00A25303">
              <w:t xml:space="preserve">Florence </w:t>
            </w:r>
            <w:r>
              <w:t>asked for clarification regarding the changes made to the syphilis Investigative Guidelines, now live.</w:t>
            </w:r>
            <w:r w:rsidR="00E62837">
              <w:rPr>
                <w:highlight w:val="yellow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:rsidR="00E62837" w:rsidRDefault="00A25303" w:rsidP="002A5BC1">
            <w:r w:rsidRPr="00A25303">
              <w:t>Jillian will send Florence a copy highlight</w:t>
            </w:r>
            <w:r>
              <w:t xml:space="preserve">ing the </w:t>
            </w:r>
            <w:r w:rsidRPr="00A25303">
              <w:t>changes.</w:t>
            </w:r>
          </w:p>
        </w:tc>
        <w:tc>
          <w:tcPr>
            <w:tcW w:w="1515" w:type="dxa"/>
            <w:vAlign w:val="center"/>
          </w:tcPr>
          <w:p w:rsidR="00E62837" w:rsidRDefault="00E62837" w:rsidP="002A5BC1"/>
        </w:tc>
        <w:tc>
          <w:tcPr>
            <w:tcW w:w="669" w:type="dxa"/>
            <w:vAlign w:val="center"/>
          </w:tcPr>
          <w:p w:rsidR="00E62837" w:rsidRDefault="00E62837" w:rsidP="002A5BC1"/>
        </w:tc>
      </w:tr>
      <w:tr w:rsidR="006375F3" w:rsidTr="006C30A5">
        <w:trPr>
          <w:trHeight w:val="432"/>
          <w:jc w:val="center"/>
        </w:trPr>
        <w:tc>
          <w:tcPr>
            <w:tcW w:w="2280" w:type="dxa"/>
            <w:vAlign w:val="center"/>
          </w:tcPr>
          <w:p w:rsidR="00A25303" w:rsidRDefault="00A25303" w:rsidP="002A5BC1"/>
        </w:tc>
        <w:tc>
          <w:tcPr>
            <w:tcW w:w="3870" w:type="dxa"/>
            <w:gridSpan w:val="2"/>
            <w:vAlign w:val="center"/>
          </w:tcPr>
          <w:p w:rsidR="00A25303" w:rsidRPr="00A25303" w:rsidRDefault="00A25303" w:rsidP="00145872">
            <w:r>
              <w:t xml:space="preserve">Anna Summer asked for clarification on </w:t>
            </w:r>
            <w:proofErr w:type="spellStart"/>
            <w:r>
              <w:t>B</w:t>
            </w:r>
            <w:r w:rsidRPr="00A25303">
              <w:t>ic</w:t>
            </w:r>
            <w:r>
              <w:t>i</w:t>
            </w:r>
            <w:r w:rsidRPr="00A25303">
              <w:t>llin</w:t>
            </w:r>
            <w:proofErr w:type="spellEnd"/>
            <w:r w:rsidRPr="00A25303">
              <w:t xml:space="preserve"> distribution guidance for LPHAs that don’t provide clinical services</w:t>
            </w:r>
            <w:r>
              <w:t xml:space="preserve">. </w:t>
            </w:r>
          </w:p>
        </w:tc>
        <w:tc>
          <w:tcPr>
            <w:tcW w:w="1625" w:type="dxa"/>
            <w:vAlign w:val="center"/>
          </w:tcPr>
          <w:p w:rsidR="00A25303" w:rsidRPr="00A25303" w:rsidRDefault="00A25303" w:rsidP="002A5BC1">
            <w:r>
              <w:t>Board of Pharmacy provided additional guidance this morning. Jillian will coordinate a separate call to discuss with Clackamas, Jackson, Douglas</w:t>
            </w:r>
            <w:r w:rsidR="00466D05">
              <w:t xml:space="preserve"> </w:t>
            </w:r>
            <w:r>
              <w:t>and Marion.</w:t>
            </w:r>
          </w:p>
        </w:tc>
        <w:tc>
          <w:tcPr>
            <w:tcW w:w="1515" w:type="dxa"/>
            <w:vAlign w:val="center"/>
          </w:tcPr>
          <w:p w:rsidR="00A25303" w:rsidRDefault="00A25303" w:rsidP="002A5BC1"/>
        </w:tc>
        <w:tc>
          <w:tcPr>
            <w:tcW w:w="669" w:type="dxa"/>
            <w:vAlign w:val="center"/>
          </w:tcPr>
          <w:p w:rsidR="00A25303" w:rsidRDefault="00A25303" w:rsidP="002A5BC1"/>
        </w:tc>
      </w:tr>
      <w:tr w:rsidR="002A5BC1" w:rsidTr="00F75778">
        <w:trPr>
          <w:trHeight w:val="368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2A5BC1" w:rsidRPr="00323747" w:rsidRDefault="002A5BC1" w:rsidP="002A5BC1">
            <w:pPr>
              <w:rPr>
                <w:b/>
              </w:rPr>
            </w:pPr>
            <w:r w:rsidRPr="00323747">
              <w:rPr>
                <w:b/>
              </w:rPr>
              <w:t>Next meeting: Friday</w:t>
            </w:r>
            <w:r>
              <w:rPr>
                <w:b/>
              </w:rPr>
              <w:t xml:space="preserve">, </w:t>
            </w:r>
            <w:r w:rsidR="00E62837">
              <w:rPr>
                <w:b/>
              </w:rPr>
              <w:t>July</w:t>
            </w:r>
            <w:r>
              <w:rPr>
                <w:b/>
              </w:rPr>
              <w:t xml:space="preserve"> </w:t>
            </w:r>
            <w:r w:rsidR="006465E3">
              <w:rPr>
                <w:b/>
              </w:rPr>
              <w:t>12</w:t>
            </w:r>
            <w:r w:rsidR="00B80418" w:rsidRPr="00B80418">
              <w:rPr>
                <w:b/>
                <w:vertAlign w:val="superscript"/>
              </w:rPr>
              <w:t>th</w:t>
            </w:r>
            <w:r w:rsidR="00B80418">
              <w:rPr>
                <w:b/>
              </w:rPr>
              <w:t xml:space="preserve"> </w:t>
            </w:r>
            <w:r w:rsidRPr="00D8577C">
              <w:rPr>
                <w:b/>
              </w:rPr>
              <w:t>from 10:00 am – 12:00 pm</w:t>
            </w:r>
          </w:p>
        </w:tc>
      </w:tr>
      <w:tr w:rsidR="00D84B0D" w:rsidTr="004603EB">
        <w:trPr>
          <w:cantSplit/>
          <w:jc w:val="center"/>
        </w:trPr>
        <w:tc>
          <w:tcPr>
            <w:tcW w:w="4509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2A5BC1" w:rsidRPr="00323747" w:rsidRDefault="002A5BC1" w:rsidP="002A5BC1">
            <w:pPr>
              <w:rPr>
                <w:b/>
              </w:rPr>
            </w:pPr>
            <w:r w:rsidRPr="00323747">
              <w:rPr>
                <w:b/>
              </w:rPr>
              <w:t>Co-Chair</w:t>
            </w:r>
          </w:p>
          <w:p w:rsidR="002A5BC1" w:rsidRDefault="002A5BC1" w:rsidP="002A5BC1">
            <w:r>
              <w:t>Kathleen Rees</w:t>
            </w:r>
          </w:p>
          <w:p w:rsidR="002A5BC1" w:rsidRDefault="002A5BC1" w:rsidP="002A5BC1">
            <w:r>
              <w:t>Communicable Disease Epidemiologist</w:t>
            </w:r>
          </w:p>
          <w:p w:rsidR="002A5BC1" w:rsidRPr="00323747" w:rsidRDefault="002A5BC1" w:rsidP="002A5BC1">
            <w:r w:rsidRPr="00943AE2">
              <w:t>Washington County Public Health</w:t>
            </w:r>
          </w:p>
          <w:p w:rsidR="002A5BC1" w:rsidRPr="00323747" w:rsidRDefault="002A5BC1" w:rsidP="002A5BC1">
            <w:r>
              <w:t>503-846-8743</w:t>
            </w:r>
          </w:p>
          <w:p w:rsidR="002A5BC1" w:rsidRPr="00323747" w:rsidRDefault="00C869C4" w:rsidP="002A5BC1">
            <w:hyperlink r:id="rId9" w:history="1">
              <w:r w:rsidR="002A5BC1" w:rsidRPr="00972BBB">
                <w:rPr>
                  <w:rStyle w:val="Hyperlink"/>
                </w:rPr>
                <w:t>Kathleen_Rees@co.washington.or.us</w:t>
              </w:r>
            </w:hyperlink>
            <w:r w:rsidR="002A5BC1">
              <w:t xml:space="preserve"> </w:t>
            </w:r>
          </w:p>
        </w:tc>
        <w:tc>
          <w:tcPr>
            <w:tcW w:w="5450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2A5BC1" w:rsidRPr="00B1726C" w:rsidRDefault="002A5BC1" w:rsidP="002A5BC1">
            <w:pPr>
              <w:rPr>
                <w:rFonts w:asciiTheme="minorHAnsi" w:hAnsiTheme="minorHAnsi"/>
                <w:b/>
              </w:rPr>
            </w:pPr>
            <w:r w:rsidRPr="00B1726C">
              <w:rPr>
                <w:rFonts w:asciiTheme="minorHAnsi" w:hAnsiTheme="minorHAnsi"/>
                <w:b/>
              </w:rPr>
              <w:t>Co-Chair</w:t>
            </w:r>
          </w:p>
          <w:p w:rsidR="002A5BC1" w:rsidRPr="00B1726C" w:rsidRDefault="002A5BC1" w:rsidP="002A5BC1">
            <w:pPr>
              <w:rPr>
                <w:rFonts w:asciiTheme="minorHAnsi" w:hAnsiTheme="minorHAnsi"/>
              </w:rPr>
            </w:pPr>
            <w:r w:rsidRPr="00B1726C">
              <w:rPr>
                <w:rFonts w:asciiTheme="minorHAnsi" w:hAnsiTheme="minorHAnsi"/>
              </w:rPr>
              <w:t>Cindy Morgan</w:t>
            </w:r>
          </w:p>
          <w:p w:rsidR="002A5BC1" w:rsidRPr="00B1726C" w:rsidRDefault="002A5BC1" w:rsidP="002A5BC1">
            <w:pPr>
              <w:rPr>
                <w:rFonts w:asciiTheme="minorHAnsi" w:hAnsiTheme="minorHAnsi"/>
              </w:rPr>
            </w:pPr>
            <w:r w:rsidRPr="00B1726C">
              <w:rPr>
                <w:rFonts w:asciiTheme="minorHAnsi" w:hAnsiTheme="minorHAnsi"/>
              </w:rPr>
              <w:t xml:space="preserve">Communicable Disease Nursing Supervisor </w:t>
            </w:r>
          </w:p>
          <w:p w:rsidR="002A5BC1" w:rsidRPr="00B1726C" w:rsidRDefault="002A5BC1" w:rsidP="002A5BC1">
            <w:pPr>
              <w:rPr>
                <w:rFonts w:asciiTheme="minorHAnsi" w:hAnsiTheme="minorHAnsi"/>
              </w:rPr>
            </w:pPr>
            <w:r w:rsidRPr="00B1726C">
              <w:rPr>
                <w:rFonts w:asciiTheme="minorHAnsi" w:hAnsiTheme="minorHAnsi"/>
              </w:rPr>
              <w:t>Lane County Public Health</w:t>
            </w:r>
          </w:p>
          <w:p w:rsidR="002A5BC1" w:rsidRPr="00B1726C" w:rsidRDefault="002A5BC1" w:rsidP="002A5BC1">
            <w:pPr>
              <w:rPr>
                <w:rFonts w:asciiTheme="minorHAnsi" w:hAnsiTheme="minorHAnsi"/>
              </w:rPr>
            </w:pPr>
            <w:r w:rsidRPr="00B1726C">
              <w:rPr>
                <w:rFonts w:asciiTheme="minorHAnsi" w:hAnsiTheme="minorHAnsi"/>
              </w:rPr>
              <w:t>541-682-3931</w:t>
            </w:r>
          </w:p>
          <w:p w:rsidR="002A5BC1" w:rsidRPr="00B1726C" w:rsidRDefault="00C869C4" w:rsidP="002A5BC1">
            <w:pPr>
              <w:rPr>
                <w:rFonts w:asciiTheme="minorHAnsi" w:hAnsiTheme="minorHAnsi"/>
              </w:rPr>
            </w:pPr>
            <w:hyperlink r:id="rId10" w:history="1">
              <w:r w:rsidR="002A5BC1" w:rsidRPr="00D3304D">
                <w:rPr>
                  <w:rStyle w:val="Hyperlink"/>
                  <w:rFonts w:asciiTheme="minorHAnsi" w:hAnsiTheme="minorHAnsi"/>
                </w:rPr>
                <w:t>Cindy.MORGAN@co.lane.or.us</w:t>
              </w:r>
            </w:hyperlink>
          </w:p>
        </w:tc>
      </w:tr>
      <w:tr w:rsidR="002A5BC1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:rsidR="002A5BC1" w:rsidRPr="00AE4CAC" w:rsidRDefault="002A5BC1" w:rsidP="002A5BC1">
            <w:pPr>
              <w:rPr>
                <w:b/>
              </w:rPr>
            </w:pPr>
            <w:r>
              <w:rPr>
                <w:b/>
              </w:rPr>
              <w:t xml:space="preserve">Public Health Division </w:t>
            </w:r>
            <w:r w:rsidRPr="00AE4CAC">
              <w:rPr>
                <w:b/>
              </w:rPr>
              <w:t>Liaison</w:t>
            </w:r>
          </w:p>
          <w:p w:rsidR="002A5BC1" w:rsidRPr="00AE4CAC" w:rsidRDefault="002A5BC1" w:rsidP="002A5BC1">
            <w:r w:rsidRPr="00AE4CAC">
              <w:t>Paul Cieslak</w:t>
            </w:r>
          </w:p>
          <w:p w:rsidR="002A5BC1" w:rsidRPr="00AE4CAC" w:rsidRDefault="002A5BC1" w:rsidP="002A5BC1">
            <w:r w:rsidRPr="00AE4CAC">
              <w:t>Medical Director, Communicable Diseases &amp; Immunizations</w:t>
            </w:r>
          </w:p>
          <w:p w:rsidR="002A5BC1" w:rsidRPr="006F38B8" w:rsidRDefault="00C869C4" w:rsidP="002A5BC1">
            <w:pPr>
              <w:rPr>
                <w:color w:val="0563C1" w:themeColor="hyperlink"/>
                <w:u w:val="single"/>
              </w:rPr>
            </w:pPr>
            <w:hyperlink r:id="rId11" w:history="1">
              <w:r w:rsidR="002A5BC1" w:rsidRPr="00AE4CAC">
                <w:rPr>
                  <w:rStyle w:val="Hyperlink"/>
                </w:rPr>
                <w:t>PAUL.R.CIESLAK@dhsoha.state.or.us</w:t>
              </w:r>
            </w:hyperlink>
          </w:p>
        </w:tc>
      </w:tr>
    </w:tbl>
    <w:p w:rsidR="00BE3D69" w:rsidRDefault="00BE3D69" w:rsidP="005F43F1">
      <w:pPr>
        <w:spacing w:after="0" w:line="240" w:lineRule="auto"/>
      </w:pPr>
    </w:p>
    <w:sectPr w:rsidR="00BE3D69" w:rsidSect="00F75778">
      <w:headerReference w:type="default" r:id="rId12"/>
      <w:footnotePr>
        <w:numFmt w:val="chicago"/>
      </w:footnotePr>
      <w:pgSz w:w="12240" w:h="15840"/>
      <w:pgMar w:top="1440" w:right="1440" w:bottom="432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9C4" w:rsidRDefault="00C869C4" w:rsidP="00BE3D69">
      <w:pPr>
        <w:spacing w:after="0" w:line="240" w:lineRule="auto"/>
      </w:pPr>
      <w:r>
        <w:separator/>
      </w:r>
    </w:p>
  </w:endnote>
  <w:endnote w:type="continuationSeparator" w:id="0">
    <w:p w:rsidR="00C869C4" w:rsidRDefault="00C869C4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9C4" w:rsidRDefault="00C869C4" w:rsidP="00BE3D69">
      <w:pPr>
        <w:spacing w:after="0" w:line="240" w:lineRule="auto"/>
      </w:pPr>
      <w:r>
        <w:separator/>
      </w:r>
    </w:p>
  </w:footnote>
  <w:footnote w:type="continuationSeparator" w:id="0">
    <w:p w:rsidR="00C869C4" w:rsidRDefault="00C869C4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D69C25" wp14:editId="1C30FCC1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D69C25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1H0cUBAAA3QkAAA4AAABkcnMvZTJvRG9jLnhtbKRW2W7jNhR9L9B/&#10;IPSuaLG8SIgySLwEA6Rt0Jl+AC1RFjESqZJ07EzRf+8hJa8p0EwqIA7Xy3vOPfeSt5/2bUNemNJc&#10;ityLbkKPMFHIkotN7v3xdeXPPKINFSVtpGC598q09+nu559ud13GYlnLpmSKwIjQ2a7LvdqYLgsC&#10;XdSspfpGdkxgspKqpQZdtQlKRXew3jZBHIaTYCdV2SlZMK0xuugnvTtnv6pYYX6rKs0MaXIPvhn3&#10;q9zv2v4Gd7c02yja1bwY3KAf8KKlXODQo6kFNZRsFX9jquWFklpW5qaQbSCrihfMYQCaKLxC86jk&#10;tnNYNtlu0x1pArVXPH3YbPHry7MivMy9xCOCtgiRO5Uklppdt8mw4lF1X7pnNQxs+p5Fu69Ua/8D&#10;B9k7Ul+PpLK9IQUGo1k8m4XgvsBcFE/G+Hraixqxsft8OxpDKVjhR3GUnFYsBytxFCdxHB+sJOEs&#10;TK2V4OBEYH09utbxIsPfwBhabxj7b2Vhl9kq5g1G2nfZaKn6tu18BLejhq95w82rEyrCaJ0SL8+8&#10;eFZ950Q+gPXkY9YeSmILzm6wa/od1CJ6ksU3TYSc11Rs2L3uoHDQ6qi4XB7Y7sVx64Z3K940NmK2&#10;PQBDNlyp6V+46ZW6kMW2ZcL0qadYA4xS6Jp32iMqY+2aQUnqcxkhUEh7Azl1igvTB1yr4nf4C2Q0&#10;00YxU9S2WcGnYRzhPE44ACefLRwNFZL17hdZwjDdGuly7kqFfjSKpxPI+VpNR0VO0ukonA5aCuMk&#10;vdISmFbaPDLZEtsAInjtjqIvT9r6Dz8PSywCIS2vDlcjyC730nE8dhvOZlpuUOoa3uYe8gFfT0rN&#10;aLkUpdtsKG/6Ng5oBM45oB6a6NqsRK3Uh/Ch9yaAP1QOvtS0Y3DWmj0pcnRQ5FdL24Pc95IcFtly&#10;QMwew1Z8Lp7dlTSVkjuLDd718jzb2h/2vmie1YY0HCVjV5hodgjmRWGIo3Ha83qsC6dAfSSWF8Ed&#10;YuLOhgzsnPXClfm/oKHlbDlL/CSeLP0kXCz8+9U88SeraDpejBbz+SL62zIVJVnNy5IJK5khBTH4&#10;vhgOl19/WRwvHS0bXh4yW6vNet4o8kJx5a3c56oDMuu0LLh0wwkaWK4goeaGD3HqryazqZ+skrGf&#10;TsOZH0bpQzoJkzRZrC4hPXHB/j+kiwQ6cxoIzrG5HHJJhMBcLPvBTDtGxLp/ogJWQYkLNC4X7YpP&#10;L1yzX++Rr3ZwLctXpIKSqBK44/ASQqOW6rtHdnhV5J7+c0vtJdJ8FsiENEoS+wxxnWQ8jdFR5zPr&#10;8xkqCpjKPeORvjk3/dNli6K6qXFSn3tC3qMWVtxVppNXgGI7KBWu5d4QDt7w3rGPlPO+W3V6ld39&#10;AwAA//8DAFBLAwQUAAYACAAAACEAjiIJQroAAAAhAQAAGQAAAGRycy9fcmVscy9lMm9Eb2MueG1s&#10;LnJlbHOEj8sKwjAQRfeC/xBmb9O6EJGm3YjQrdQPGJJpG2weJFHs3xtwY0FwOfdyz2Hq9mVm9qQQ&#10;tbMCqqIERlY6pe0o4NZfdkdgMaFVODtLAhaK0DbbTX2lGVMexUn7yDLFRgFTSv7EeZQTGYyF82Rz&#10;M7hgMOUzjNyjvONIfF+WBx6+GdCsmKxTAkKnKmD94rP5P9sNg5Z0dvJhyKYfCq5NdmcghpGSAENK&#10;4yesCjID8Kbmq8eaNwAAAP//AwBQSwMEFAAGAAgAAAAhAAJMaBLgAAAACwEAAA8AAABkcnMvZG93&#10;bnJldi54bWxMj0FLw0AQhe+C/2EZwVu72YhBYzalFPVUBFtBvE2z0yQ0uxuy2yT9905Pepw3j/e+&#10;V6xm24mRhtB6p0EtExDkKm9aV2v42r8tnkCEiM5g5x1puFCAVXl7U2Bu/OQ+adzFWnCICzlqaGLs&#10;cylD1ZDFsPQ9Of4d/WAx8jnU0gw4cbjtZJokmbTYOm5osKdNQ9Vpd7Ya3iec1g/qddyejpvLz/7x&#10;43urSOv7u3n9AiLSHP/McMVndCiZ6eDPzgTRaVioNOMxUUOqMhBXR5aycGAhTZ5BloX8v6H8BQAA&#10;//8DAFBLAwQUAAYACAAAACEAnhPoo1QNAADUGQAAFAAAAGRycy9tZWRpYS9pbWFnZTEuZW1m7Fl7&#10;eFRFlj8JkfAKhITuvrfz6HR3Hp1Hk4Z0wGC/hCoEIZCghTwcFBbwMZCBKAFEMIiLOipoZEHXlXEZ&#10;V5maqKAQIShEBSEShMhDRWHwOYIvkGHkffdXt9NMls/Z+Wb2j935durjx6/qVN1Tj3PqnHs7cUQ0&#10;DZh1BVEF0CWZyJFEpNmI5lmJzg0i8lxJlMXLBxPF0T6daAjGdwDal6YUom80op0Qdo9r30PUpHeg&#10;jo4EggIqArIAqCuMi8RROurJQFxy00cgGhMfhRp7I1ABqLGuSAJ1Q12VTDwXq2e3qzsjiZfkvki8&#10;qTfBfKI2nBChS31KtwdQc1/Dhg7ClJf23zWZKA37V8VcQ2esAVBrKIgQZUOObaLUhk26rN4pQh00&#10;jO8GmHtqOwtj0Gwu+2nc+Ke7OC12crOdoHHRPJuL1hJufAjeVsqN58ETwXvncJHfj8uLd3NxW4DL&#10;w3M5DS43WTxZzo1dczFuRFQ+YCQ3nkL7BLg/+OsKbrjv5HRzJTfG38HFwkouP57JxUi0p88w++V3&#10;VVxsrOBi51QuV6F/8QRO5yu4HDWay4MVHFbm9ATadYO4yKjk4kl/lK8rjj4HVuPEJ56o/GQOl90w&#10;rjAnqifXbTK5nCYLW1a0/Wx6tN+nR/miFpUv626yWHuOKb1y3CGm1k9DXmPmunLBUyGfsInJzBGc&#10;NjQydQ6iZyOjXuVY66tMLhl+ieWqDUz0GIa1ge8ZyuW965l8Dnua/BITiYzLdzcyYQS4OLSWyY5l&#10;nB5dw2RKfy5ef5GJW/ycvnqZic4lONMGRmfVXqH/+iIu+2Je7JnSNzGxKI+LD9F+A3v+4HVGAZzB&#10;gs1MNmRzatnC5KhsLr7dwqjezUVlExNBF5fVTUySk8v4NxltdXB64E0mazKjfCSDS9c2RtPAx7Yx&#10;WZHO5Yi3mShN4/JlcGc7F6feZvIZGxePgYdYuChvZsRSOY15h1FjMhdejHswCft6h4kzXbksaGFk&#10;7cLF9BYm+3bi8gdwqCOnNZAPSMC+m5l47DQTF3Yx6fqRifzdzBh5iolHdjMZ/wecyR4mvj3B6Ik9&#10;WOdRAHz4CBMZrYxu/QC6Wpn42fuMPO8xGrL/EsuO72HcdrMtlzcyuQrjvC8wsRC8X5p6SPstow17&#10;mUhCe+VBJqbUM5EDna56RmM+Y7S6Hjb9gtGMF5h88asorzrGTBv1/Ab2fAln/D2T78F2Ma7+gYny&#10;NcwYf9JkkXSKyZcx79gz5nNqb3IE2t7TjHbgeesZpmwvys8x5QsxlhfPM5qzjhkfGfC/V5m4mrgI&#10;wvfeJk6+JkYNaI/dzkRrHHxlJ5MPxOP+vsuougOnj3GWLyZwdYZiYUcuvsBZeRK5mLWXyQmdoWcf&#10;k37YCm2q6sbFFTi3G3vAV1uZnNYDPowzVrwHNlgJOfTQN8lcNu5idCTFZDmilzmvyLNwWdXMZG0v&#10;Lv8VPjDZavqEOAo+uoPRH2xcDvwTi/wMUy62RFkud3LT9t+5o/pbcuHzal6P6StUUYC4Bb2n86K+&#10;9E1+1Ldu8nJx9U5Gv+zD5RL40se4M8oHu5dy+R7Wk1nKqQi+hVhGOzD/AcixDnGiH+4Yzq2NaXMZ&#10;l89BPrSMi3/eweTyAVw8vZXJBSFODHfgO9zR5m3w6TAnbSsTlRHEpLdwB68270yMVZyimzcw+hKM&#10;uyhahyOWgbeM5MqOMjAU593IKGEMFy9sZOQbC7tsYLLTOPNuU/Z4LlNwx49NMGOGsXQS4hHao6ea&#10;McUouQ3xuAF3dxqXX67HuqrMmGJ0QFzdtp4Zj9yB83qFyd6zYK8GZnwB3vgqM+M8YkaMxUOI46cR&#10;Cx5DfEdMMBbNN9vyxgXmvgx+D6dub8PvwOrcEmuj52mrNc9d+mpNu1MZ2rjTNArtOfCLNhYeyOEv&#10;6nllR9G6wPQn8f78qP+peezvMzOvfPsBM5bO46LsEJPLsI6vPmdG4Tzo+5LJgXchRn7NjAfv5nLl&#10;Sabyi6zD3fkc6379DDMMtO86w+Ri5LWBZ5koAePOiN01XMw9z4xXZnHj9xeYCM/ichJxMXMWJ3uc&#10;mZfkkjguhiEv7cSdmQ/eksBl92pO/iu4cFRz2TGRG8XViK2dcEaQ13fhxkTwnYhnETDujDwATkgy&#10;n5cyCfmiBjq6I49hHQfAx2Zz+gF35yasN6kn7irOfR1Ynf+1KdxcvyvVlItm8CmM8/Yy87G6Wyov&#10;KzZ+B731iLNoq7ul8rKssiEeY7xFM5kW2KPzIpfJ6/FcS5TFXOT7trxPHf5fl0W9IlSbjHcl9T5m&#10;4J8T3AmYBKh3OfWapN6tFIhqQyZdVlfvaXmAev9qe61CDdpQcoCYntR29atQV/MIIF1N3laMtqIU&#10;7Q52y10RutmzO0i5J4Ini04FZ3i/Ct7gLQk96A2F9eKaUEVJTWhKSXVoBXhXyZTQuZLhoTJ/YnC0&#10;f3/gJn9NYJTfHijzN17l9a8tu8X/TP+g//HSUv/FPtn+z3yD/Tnewf69hV6g1N+/YLB/Xv5A/9D8&#10;oH+HJ+i/BkgA8vKC/mG5QX8I+LU76J/lKPXLtNH++21B/yKb5r/dtrhE2KaUXG0bVHLC6jKRanuz&#10;b7xtQt+XrJ6+X1uoz5W2UPEAa6R3svUt7wGL5h1vfaPokPVC4Vlrr0Ju618wyfa7/HG2X+RvtJXn&#10;v2sryj9tS80/bzvq6awt8SRpYU9Y+z5vpPZvwOy8X2tj817TUvN2aC25+7WFuYe03+e0apU5Hn13&#10;9lDdm71Vm+gep19w3aff53pY7+p6Wl/iXKYnOX16T8dm/bPMz/XVmcf1ezLj7IHMnnZvRpLdnu6y&#10;d03LtR+zD7I/byJsP6sNslfaSuzPWortYy1J9omWWfaIZVTaQ5YOaYsst6U/blmTXm/plVFvuS7j&#10;gGVhxknL0QzdqlCe2cl6O/BM5npLgeOAZXXmakuC40eL05FsvdUxwMRKxyPWs46L1h5ZU22+rASt&#10;KOuYdkfWPP3fs97XP8pq1Aucx/VfOa+y73BOt492LbZ3y55ut7t/Zd/vdtkPunsCp/Uv3cf1suwG&#10;vQFIyZmnD8kp0h05o/QVOImNOen6uZxEE0Pz0vUqYLJns37W06Cvzb+g5xY8rdcVcP18/n363IJx&#10;+ujCW/SJRY/qpd6h+kBvmT7Ym63f4LXpd3oT9U3eP2oKVb1T9crePfRne9dpK4uf1wYUb9A+KV6o&#10;pfpmarN9sAzwma+L7bRvo62k5De270oesY7oW24zSv22a/ul2Rb2O2vd3u8T68b+8bZVV160Lis7&#10;YR02YKvVGLDJ2njVS9Zw4FXrp4H51muDe6xzgn+07g5ym8LEUIbmDnXWbgpnaMvDM7U94SbtVNim&#10;x0fK9C6RcbotMk9Pizys50VeMJEaOa6fCl/QXwn3tN8Znm5fHv7UHgqnp30aei5tcvip9ObQrvSl&#10;oTkZznB15pTQ2swrQ/0cC0K9HUeC1zh2Blc6Xg4ucfw8uMkxImjLGh/kWYnBSVmtgbVZhwO9nfcG&#10;hjkXB5qcvwyUuh4P/Ma1IvCRa2nA7l4XCLsPB25z/0vwXveR4Dr3meA5tzU0MFuEfp49MfRY9oLQ&#10;dtRPZAdCXXJOBFNMNARvB6/IKQkdzCkMJeQWhlbmHgmGcvcF+wIZueruBxATVIxQQUfFlvbfwnZ8&#10;C7aPJ7E4g2G17eJVBO22UhuJ1VS8cgEqLqlwo74n04FkQH1PJkSifWia35q9wGod6ptUfV+r8R5A&#10;PRP7Tv1ZR6JVwDsYWNkFHShq3OXPjoJsBmKbWoP7ghENkqir8poSqhIh12iaQtU0mSZSFfC3lZsx&#10;z9d4dA0wBlgW04/6nqo6M1bveyOFPAvraAZYyczyZgo98FCdiaiA6MCCOnoCYx6+u9m3+sM4X8Xh&#10;630jm+J8WdtT6BlAuxX90+toWnWduWeiOnoNetR5HcdzNde1+D6ojepXsvOQqfGrMUbxnJnR9bRg&#10;LclvpZjTHuyz3qf6dkBnAHtp3zfm7jpKvzeqT9ki1h+P+hjonFxjmuxS/lFyK6BsrgFqBlWHWrOt&#10;6nCF+OvBCk/BlhuAetizL+ypxglxf+SGafdHVN+T6ncEyIYD7Utb+jIqIBwEpGDi2LxqXMxPu8NP&#10;1brVvGptgwHVTgdiPrUYc9+SSLQZ81u6ogNFjfuHT/19+tRW2HM+7Lkc9vzxMp9SfRPaZP+dT6m+&#10;vXC8v9WnrsMctZirD+JnsXI+lH/41N9vnHoU9lwBe56CLXsC7eOU6puDuPGX4tQQ+MDU/0GcWod5&#10;lyIe/rYHcnW732j/9+LUW75ibFrtO1ZUjGXIOSon/VTuK5rR7NuHHKfit8p9Ki+qsUqHGq/qLZD9&#10;udwXmyfKKXQjxqui8lQW6t9Pa/apuioJaGtAN+D/Yu47DXv+B+w5FfZUf3NQZxDLfapvcZufDTd3&#10;86f/2ue+kRD/4q/wKT/Ge4A/83t+LboA87d9s+6EAG7/X75T1XomAzVXRP9m0jmZSMf6Y+1luA/v&#10;IP7mk8SoWPnpvxfEei9nFwTY/k++N8ZHon3oJuT3tveg6Hulugv/CQAA//8DAFBLAQItABQABgAI&#10;AAAAIQCm5lH7DAEAABUCAAATAAAAAAAAAAAAAAAAAAAAAABbQ29udGVudF9UeXBlc10ueG1sUEsB&#10;Ai0AFAAGAAgAAAAhADj9If/WAAAAlAEAAAsAAAAAAAAAAAAAAAAAPQEAAF9yZWxzLy5yZWxzUEsB&#10;Ai0AFAAGAAgAAAAhAOh1H0cUBAAA3QkAAA4AAAAAAAAAAAAAAAAAPAIAAGRycy9lMm9Eb2MueG1s&#10;UEsBAi0AFAAGAAgAAAAhAI4iCUK6AAAAIQEAABkAAAAAAAAAAAAAAAAAfAYAAGRycy9fcmVscy9l&#10;Mm9Eb2MueG1sLnJlbHNQSwECLQAUAAYACAAAACEAAkxoEuAAAAALAQAADwAAAAAAAAAAAAAAAABt&#10;BwAAZHJzL2Rvd25yZXYueG1sUEsBAi0AFAAGAAgAAAAhAJ4T6KNUDQAA1BkAABQAAAAAAAAAAAAA&#10;AAAAeggAAGRycy9tZWRpYS9pbWFnZTEuZW1mUEsFBgAAAAAGAAYAfAEAAAA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12E80"/>
    <w:multiLevelType w:val="multilevel"/>
    <w:tmpl w:val="D3446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FD735F"/>
    <w:multiLevelType w:val="hybridMultilevel"/>
    <w:tmpl w:val="84EE478E"/>
    <w:lvl w:ilvl="0" w:tplc="D2A6A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00777"/>
    <w:multiLevelType w:val="hybridMultilevel"/>
    <w:tmpl w:val="3122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1189A"/>
    <w:multiLevelType w:val="hybridMultilevel"/>
    <w:tmpl w:val="6F7C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072A8"/>
    <w:multiLevelType w:val="multilevel"/>
    <w:tmpl w:val="E7729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8304E9"/>
    <w:multiLevelType w:val="hybridMultilevel"/>
    <w:tmpl w:val="16588A36"/>
    <w:lvl w:ilvl="0" w:tplc="D2A6A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146C9"/>
    <w:multiLevelType w:val="multilevel"/>
    <w:tmpl w:val="9284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B41F65"/>
    <w:multiLevelType w:val="hybridMultilevel"/>
    <w:tmpl w:val="4850A10E"/>
    <w:lvl w:ilvl="0" w:tplc="D2A6A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B07C4"/>
    <w:multiLevelType w:val="multilevel"/>
    <w:tmpl w:val="4994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DD192D"/>
    <w:multiLevelType w:val="hybridMultilevel"/>
    <w:tmpl w:val="350EEA1C"/>
    <w:lvl w:ilvl="0" w:tplc="D2A6A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F74AD"/>
    <w:multiLevelType w:val="hybridMultilevel"/>
    <w:tmpl w:val="1FBA9EB6"/>
    <w:lvl w:ilvl="0" w:tplc="D2A6A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B4B2E"/>
    <w:multiLevelType w:val="multilevel"/>
    <w:tmpl w:val="EC3AE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9C5C57"/>
    <w:multiLevelType w:val="multilevel"/>
    <w:tmpl w:val="7BA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0157F9"/>
    <w:multiLevelType w:val="hybridMultilevel"/>
    <w:tmpl w:val="66E85FFC"/>
    <w:lvl w:ilvl="0" w:tplc="D2A6A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0527B"/>
    <w:multiLevelType w:val="hybridMultilevel"/>
    <w:tmpl w:val="CE18F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9"/>
  </w:num>
  <w:num w:numId="13">
    <w:abstractNumId w:val="7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69"/>
    <w:rsid w:val="000048AB"/>
    <w:rsid w:val="000346F4"/>
    <w:rsid w:val="0005519E"/>
    <w:rsid w:val="00061E6D"/>
    <w:rsid w:val="00065993"/>
    <w:rsid w:val="0007644E"/>
    <w:rsid w:val="000A50EE"/>
    <w:rsid w:val="000A58AE"/>
    <w:rsid w:val="000B5446"/>
    <w:rsid w:val="000E0633"/>
    <w:rsid w:val="00101F89"/>
    <w:rsid w:val="00114CBA"/>
    <w:rsid w:val="0014293C"/>
    <w:rsid w:val="00145872"/>
    <w:rsid w:val="0015523F"/>
    <w:rsid w:val="0016030F"/>
    <w:rsid w:val="00163BD4"/>
    <w:rsid w:val="00184F07"/>
    <w:rsid w:val="00193CF1"/>
    <w:rsid w:val="001A16D1"/>
    <w:rsid w:val="001A3D67"/>
    <w:rsid w:val="001C135F"/>
    <w:rsid w:val="00200737"/>
    <w:rsid w:val="002024CC"/>
    <w:rsid w:val="002070E4"/>
    <w:rsid w:val="00220300"/>
    <w:rsid w:val="00262B52"/>
    <w:rsid w:val="002678B0"/>
    <w:rsid w:val="00267F26"/>
    <w:rsid w:val="002919C9"/>
    <w:rsid w:val="002952B6"/>
    <w:rsid w:val="002A5BC1"/>
    <w:rsid w:val="002B245A"/>
    <w:rsid w:val="002E209F"/>
    <w:rsid w:val="002E63EA"/>
    <w:rsid w:val="002F6FC4"/>
    <w:rsid w:val="002F76AB"/>
    <w:rsid w:val="00300127"/>
    <w:rsid w:val="00301FB4"/>
    <w:rsid w:val="00303881"/>
    <w:rsid w:val="00323747"/>
    <w:rsid w:val="00323E3F"/>
    <w:rsid w:val="0034240B"/>
    <w:rsid w:val="0037042B"/>
    <w:rsid w:val="0039267F"/>
    <w:rsid w:val="00426712"/>
    <w:rsid w:val="00444BB4"/>
    <w:rsid w:val="004603EB"/>
    <w:rsid w:val="00466384"/>
    <w:rsid w:val="00466D05"/>
    <w:rsid w:val="004A60C8"/>
    <w:rsid w:val="004B4130"/>
    <w:rsid w:val="004E3F67"/>
    <w:rsid w:val="00501343"/>
    <w:rsid w:val="005179B3"/>
    <w:rsid w:val="0052597E"/>
    <w:rsid w:val="00525CAE"/>
    <w:rsid w:val="0055799F"/>
    <w:rsid w:val="00591E75"/>
    <w:rsid w:val="005A15EF"/>
    <w:rsid w:val="005A225E"/>
    <w:rsid w:val="005B1C78"/>
    <w:rsid w:val="005D4A0C"/>
    <w:rsid w:val="005F0EAA"/>
    <w:rsid w:val="005F164F"/>
    <w:rsid w:val="005F43F1"/>
    <w:rsid w:val="00611A56"/>
    <w:rsid w:val="006253F0"/>
    <w:rsid w:val="00631347"/>
    <w:rsid w:val="006375F3"/>
    <w:rsid w:val="00642AEC"/>
    <w:rsid w:val="006465E3"/>
    <w:rsid w:val="0064714C"/>
    <w:rsid w:val="006637C6"/>
    <w:rsid w:val="006A3D2B"/>
    <w:rsid w:val="006B1EDB"/>
    <w:rsid w:val="006C30A5"/>
    <w:rsid w:val="006F38B8"/>
    <w:rsid w:val="006F7DE8"/>
    <w:rsid w:val="0070774F"/>
    <w:rsid w:val="00717685"/>
    <w:rsid w:val="0074055F"/>
    <w:rsid w:val="0074690D"/>
    <w:rsid w:val="00757997"/>
    <w:rsid w:val="00772331"/>
    <w:rsid w:val="007746AF"/>
    <w:rsid w:val="007913C5"/>
    <w:rsid w:val="007A0D2C"/>
    <w:rsid w:val="007B2DA2"/>
    <w:rsid w:val="007D5E9B"/>
    <w:rsid w:val="00814378"/>
    <w:rsid w:val="00822218"/>
    <w:rsid w:val="00822C23"/>
    <w:rsid w:val="00830618"/>
    <w:rsid w:val="0084359D"/>
    <w:rsid w:val="008644BB"/>
    <w:rsid w:val="00864E75"/>
    <w:rsid w:val="0088538C"/>
    <w:rsid w:val="00886297"/>
    <w:rsid w:val="008932F4"/>
    <w:rsid w:val="008A19B5"/>
    <w:rsid w:val="008D260B"/>
    <w:rsid w:val="008D5A9A"/>
    <w:rsid w:val="008F451F"/>
    <w:rsid w:val="00917296"/>
    <w:rsid w:val="009228BA"/>
    <w:rsid w:val="009265AC"/>
    <w:rsid w:val="00943AE2"/>
    <w:rsid w:val="0094402E"/>
    <w:rsid w:val="0095187D"/>
    <w:rsid w:val="00960271"/>
    <w:rsid w:val="009674F2"/>
    <w:rsid w:val="00967D3E"/>
    <w:rsid w:val="00980129"/>
    <w:rsid w:val="00992199"/>
    <w:rsid w:val="009972FB"/>
    <w:rsid w:val="009A4625"/>
    <w:rsid w:val="009C4DB7"/>
    <w:rsid w:val="009C5B7E"/>
    <w:rsid w:val="009E5586"/>
    <w:rsid w:val="009E780A"/>
    <w:rsid w:val="00A25303"/>
    <w:rsid w:val="00A37A3F"/>
    <w:rsid w:val="00A40E53"/>
    <w:rsid w:val="00A53181"/>
    <w:rsid w:val="00A65255"/>
    <w:rsid w:val="00A75336"/>
    <w:rsid w:val="00AD0BFE"/>
    <w:rsid w:val="00AD724F"/>
    <w:rsid w:val="00AD7828"/>
    <w:rsid w:val="00AE235D"/>
    <w:rsid w:val="00AE4CAC"/>
    <w:rsid w:val="00B07284"/>
    <w:rsid w:val="00B1726C"/>
    <w:rsid w:val="00B219C6"/>
    <w:rsid w:val="00B27293"/>
    <w:rsid w:val="00B31CBF"/>
    <w:rsid w:val="00B33BB2"/>
    <w:rsid w:val="00B52A7D"/>
    <w:rsid w:val="00B563D5"/>
    <w:rsid w:val="00B62F82"/>
    <w:rsid w:val="00B70ED3"/>
    <w:rsid w:val="00B71D94"/>
    <w:rsid w:val="00B80418"/>
    <w:rsid w:val="00B80A94"/>
    <w:rsid w:val="00BA07DF"/>
    <w:rsid w:val="00BD64DE"/>
    <w:rsid w:val="00BE3D69"/>
    <w:rsid w:val="00BF7CCD"/>
    <w:rsid w:val="00C016E2"/>
    <w:rsid w:val="00C11220"/>
    <w:rsid w:val="00C55927"/>
    <w:rsid w:val="00C85453"/>
    <w:rsid w:val="00C869C4"/>
    <w:rsid w:val="00CA45EE"/>
    <w:rsid w:val="00CB2C4B"/>
    <w:rsid w:val="00CB73FB"/>
    <w:rsid w:val="00CC377F"/>
    <w:rsid w:val="00CD314D"/>
    <w:rsid w:val="00CE32A9"/>
    <w:rsid w:val="00D0739C"/>
    <w:rsid w:val="00D24C5A"/>
    <w:rsid w:val="00D449B6"/>
    <w:rsid w:val="00D61D45"/>
    <w:rsid w:val="00D84B0D"/>
    <w:rsid w:val="00D8577C"/>
    <w:rsid w:val="00D94FD2"/>
    <w:rsid w:val="00DA4CAA"/>
    <w:rsid w:val="00DA6723"/>
    <w:rsid w:val="00DC45F4"/>
    <w:rsid w:val="00DE515B"/>
    <w:rsid w:val="00DE5C9F"/>
    <w:rsid w:val="00E20415"/>
    <w:rsid w:val="00E22820"/>
    <w:rsid w:val="00E23BCD"/>
    <w:rsid w:val="00E24217"/>
    <w:rsid w:val="00E30F1C"/>
    <w:rsid w:val="00E51957"/>
    <w:rsid w:val="00E62837"/>
    <w:rsid w:val="00E700C1"/>
    <w:rsid w:val="00E8016C"/>
    <w:rsid w:val="00E84412"/>
    <w:rsid w:val="00E957CA"/>
    <w:rsid w:val="00EA386A"/>
    <w:rsid w:val="00EA7ED5"/>
    <w:rsid w:val="00EB7142"/>
    <w:rsid w:val="00ED07C4"/>
    <w:rsid w:val="00EE61AA"/>
    <w:rsid w:val="00EF61BE"/>
    <w:rsid w:val="00F059D7"/>
    <w:rsid w:val="00F460A4"/>
    <w:rsid w:val="00F518C1"/>
    <w:rsid w:val="00F540D4"/>
    <w:rsid w:val="00F674EA"/>
    <w:rsid w:val="00F7110F"/>
    <w:rsid w:val="00F74C41"/>
    <w:rsid w:val="00F75778"/>
    <w:rsid w:val="00F81DA8"/>
    <w:rsid w:val="00FC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A0682E"/>
  <w15:docId w15:val="{E5F66FE3-5A16-4DFA-86C3-D847702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A3D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2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DHSOHA.STATE.OR.US/leslie.a.byster/2G38S24B?sl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DHSOHA.STATE.OR.US/leslie.a.byster/2G38S24B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UL.R.CIESLAK@dhsoha.state.or.us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indy.MORGAN@co.lane.or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hleen_Rees@co.washington.or.u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Kathleen Rees</cp:lastModifiedBy>
  <cp:revision>2</cp:revision>
  <dcterms:created xsi:type="dcterms:W3CDTF">2019-05-10T21:10:00Z</dcterms:created>
  <dcterms:modified xsi:type="dcterms:W3CDTF">2019-05-10T21:10:00Z</dcterms:modified>
</cp:coreProperties>
</file>