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F4FE" w14:textId="1065B023" w:rsidR="00B50C1F" w:rsidRPr="00D509B0" w:rsidRDefault="002345F4" w:rsidP="002345F4">
      <w:pPr>
        <w:rPr>
          <w:rFonts w:cstheme="minorHAnsi"/>
          <w:b/>
          <w:bCs/>
          <w:sz w:val="28"/>
          <w:szCs w:val="28"/>
        </w:rPr>
      </w:pPr>
      <w:r w:rsidRPr="00D509B0">
        <w:rPr>
          <w:rFonts w:cstheme="minorHAnsi"/>
          <w:b/>
          <w:bCs/>
          <w:sz w:val="28"/>
          <w:szCs w:val="28"/>
        </w:rPr>
        <w:t xml:space="preserve">BOLD Public Health Programs to Address Alzheimer’s Disease and Related Dementias </w:t>
      </w:r>
      <w:r w:rsidR="00376928" w:rsidRPr="00D509B0">
        <w:rPr>
          <w:rFonts w:cstheme="minorHAnsi"/>
          <w:b/>
          <w:bCs/>
          <w:sz w:val="28"/>
          <w:szCs w:val="28"/>
        </w:rPr>
        <w:t>(</w:t>
      </w:r>
      <w:r w:rsidRPr="00D509B0">
        <w:rPr>
          <w:rFonts w:cstheme="minorHAnsi"/>
          <w:b/>
          <w:bCs/>
          <w:sz w:val="28"/>
          <w:szCs w:val="28"/>
        </w:rPr>
        <w:t>CDC-RFA-DP-23-0010</w:t>
      </w:r>
      <w:r w:rsidR="00376928" w:rsidRPr="00D509B0">
        <w:rPr>
          <w:rFonts w:cstheme="minorHAnsi"/>
          <w:b/>
          <w:bCs/>
          <w:sz w:val="28"/>
          <w:szCs w:val="28"/>
        </w:rPr>
        <w:t>)</w:t>
      </w:r>
    </w:p>
    <w:p w14:paraId="1D9F4F22" w14:textId="2EF50B15" w:rsidR="009511E6" w:rsidRPr="00D509B0" w:rsidRDefault="00846BDD" w:rsidP="009511E6">
      <w:pPr>
        <w:pStyle w:val="ListParagraph"/>
        <w:numPr>
          <w:ilvl w:val="0"/>
          <w:numId w:val="2"/>
        </w:numPr>
        <w:rPr>
          <w:rFonts w:cstheme="minorHAnsi"/>
          <w:sz w:val="28"/>
          <w:szCs w:val="28"/>
        </w:rPr>
      </w:pPr>
      <w:r w:rsidRPr="00D509B0">
        <w:rPr>
          <w:rFonts w:cstheme="minorHAnsi"/>
          <w:sz w:val="28"/>
          <w:szCs w:val="28"/>
        </w:rPr>
        <w:t>The purpose of this funding is to increase awareness and understanding among the general public (including populations of high burden), providers, and other professionals of Alzheimer’s disease and related dementias (ADRD) topics corresponding to primary, secondary, and tertiary prevention. Recipients will address the social determinants of health (SDOH) to achieve health equity goals including but not limited to the improvement of community-clinical linkages among health care systems and existing services, public health agencies, and community-based organizations.</w:t>
      </w:r>
    </w:p>
    <w:p w14:paraId="09B6ED76" w14:textId="63E06414" w:rsidR="00162BE2" w:rsidRPr="00D509B0" w:rsidRDefault="00964E83" w:rsidP="009511E6">
      <w:pPr>
        <w:pStyle w:val="ListParagraph"/>
        <w:numPr>
          <w:ilvl w:val="0"/>
          <w:numId w:val="2"/>
        </w:numPr>
        <w:rPr>
          <w:rFonts w:cstheme="minorHAnsi"/>
          <w:sz w:val="28"/>
          <w:szCs w:val="28"/>
        </w:rPr>
      </w:pPr>
      <w:r w:rsidRPr="00D509B0">
        <w:rPr>
          <w:rFonts w:cstheme="minorHAnsi"/>
          <w:sz w:val="28"/>
          <w:szCs w:val="28"/>
        </w:rPr>
        <w:t xml:space="preserve">The grant has two components—implementation and capacity-building—and applicants must choose one. OHA-PHD is applying for the capacity-building </w:t>
      </w:r>
      <w:r w:rsidR="00367A22" w:rsidRPr="00D509B0">
        <w:rPr>
          <w:rFonts w:cstheme="minorHAnsi"/>
          <w:sz w:val="28"/>
          <w:szCs w:val="28"/>
        </w:rPr>
        <w:t>grant.</w:t>
      </w:r>
    </w:p>
    <w:p w14:paraId="326C50FF" w14:textId="320B2AB9" w:rsidR="007F7B65" w:rsidRPr="00D509B0" w:rsidRDefault="007F7B65" w:rsidP="007F7B65">
      <w:pPr>
        <w:pStyle w:val="ListParagraph"/>
        <w:numPr>
          <w:ilvl w:val="1"/>
          <w:numId w:val="2"/>
        </w:numPr>
        <w:rPr>
          <w:rFonts w:cstheme="minorHAnsi"/>
          <w:sz w:val="28"/>
          <w:szCs w:val="28"/>
        </w:rPr>
      </w:pPr>
      <w:r w:rsidRPr="00D509B0">
        <w:rPr>
          <w:rFonts w:cstheme="minorHAnsi"/>
          <w:sz w:val="28"/>
          <w:szCs w:val="28"/>
        </w:rPr>
        <w:t>Years 1-2 will focus on working with partners to develop an action plan for Years 3-5.</w:t>
      </w:r>
      <w:r w:rsidR="00EC09ED" w:rsidRPr="00D509B0">
        <w:rPr>
          <w:rFonts w:cstheme="minorHAnsi"/>
          <w:sz w:val="28"/>
          <w:szCs w:val="28"/>
        </w:rPr>
        <w:t xml:space="preserve"> The budget for years 1-2 will be </w:t>
      </w:r>
      <w:r w:rsidR="00B57351" w:rsidRPr="00D509B0">
        <w:rPr>
          <w:rFonts w:cstheme="minorHAnsi"/>
          <w:sz w:val="28"/>
          <w:szCs w:val="28"/>
        </w:rPr>
        <w:t>used to cover staffing and meeting/convening costs.</w:t>
      </w:r>
    </w:p>
    <w:p w14:paraId="7172D1AC" w14:textId="6CFED027" w:rsidR="00FA3454" w:rsidRPr="00D509B0" w:rsidRDefault="00FA3454" w:rsidP="00FA3454">
      <w:pPr>
        <w:pStyle w:val="ListParagraph"/>
        <w:numPr>
          <w:ilvl w:val="2"/>
          <w:numId w:val="2"/>
        </w:numPr>
        <w:rPr>
          <w:rFonts w:cstheme="minorHAnsi"/>
          <w:sz w:val="28"/>
          <w:szCs w:val="28"/>
        </w:rPr>
      </w:pPr>
      <w:r w:rsidRPr="00D509B0">
        <w:rPr>
          <w:rFonts w:cstheme="minorHAnsi"/>
          <w:sz w:val="28"/>
          <w:szCs w:val="28"/>
        </w:rPr>
        <w:t>CLHO/LPHAs will be invited to participate in partner engagement</w:t>
      </w:r>
      <w:r w:rsidR="00522D76" w:rsidRPr="00D509B0">
        <w:rPr>
          <w:rFonts w:cstheme="minorHAnsi"/>
          <w:sz w:val="28"/>
          <w:szCs w:val="28"/>
        </w:rPr>
        <w:t xml:space="preserve"> activities and in the development of the Year 3-5 action plan.</w:t>
      </w:r>
    </w:p>
    <w:p w14:paraId="6922AA02" w14:textId="17833F02" w:rsidR="00A77254" w:rsidRPr="00D509B0" w:rsidRDefault="00A77254" w:rsidP="007F7B65">
      <w:pPr>
        <w:pStyle w:val="ListParagraph"/>
        <w:numPr>
          <w:ilvl w:val="1"/>
          <w:numId w:val="2"/>
        </w:numPr>
        <w:rPr>
          <w:rFonts w:cstheme="minorHAnsi"/>
          <w:sz w:val="28"/>
          <w:szCs w:val="28"/>
        </w:rPr>
      </w:pPr>
      <w:r w:rsidRPr="00D509B0">
        <w:rPr>
          <w:rFonts w:cstheme="minorHAnsi"/>
          <w:sz w:val="28"/>
          <w:szCs w:val="28"/>
        </w:rPr>
        <w:t>Years 3-5 will focus on implementation. Additional funds will be available and will go out to partners</w:t>
      </w:r>
      <w:r w:rsidR="00C3056F" w:rsidRPr="00D509B0">
        <w:rPr>
          <w:rFonts w:cstheme="minorHAnsi"/>
          <w:sz w:val="28"/>
          <w:szCs w:val="28"/>
        </w:rPr>
        <w:t>, including LPHAs,</w:t>
      </w:r>
      <w:r w:rsidRPr="00D509B0">
        <w:rPr>
          <w:rFonts w:cstheme="minorHAnsi"/>
          <w:sz w:val="28"/>
          <w:szCs w:val="28"/>
        </w:rPr>
        <w:t xml:space="preserve"> to support implementation of the action plan.</w:t>
      </w:r>
      <w:r w:rsidR="00C3056F" w:rsidRPr="00D509B0">
        <w:rPr>
          <w:rFonts w:cstheme="minorHAnsi"/>
          <w:sz w:val="28"/>
          <w:szCs w:val="28"/>
        </w:rPr>
        <w:t xml:space="preserve"> </w:t>
      </w:r>
    </w:p>
    <w:p w14:paraId="1C577C81" w14:textId="77777777" w:rsidR="000E1675" w:rsidRPr="00D509B0" w:rsidRDefault="000E1675" w:rsidP="000E1675">
      <w:pPr>
        <w:pStyle w:val="ListParagraph"/>
        <w:numPr>
          <w:ilvl w:val="0"/>
          <w:numId w:val="2"/>
        </w:numPr>
        <w:spacing w:line="240" w:lineRule="auto"/>
        <w:rPr>
          <w:rFonts w:cstheme="minorHAnsi"/>
          <w:bCs/>
          <w:sz w:val="28"/>
          <w:szCs w:val="28"/>
        </w:rPr>
      </w:pPr>
      <w:r w:rsidRPr="00D509B0">
        <w:rPr>
          <w:rFonts w:cstheme="minorHAnsi"/>
          <w:bCs/>
          <w:sz w:val="28"/>
          <w:szCs w:val="28"/>
        </w:rPr>
        <w:t>Budget overview</w:t>
      </w:r>
    </w:p>
    <w:p w14:paraId="635030CF" w14:textId="77777777" w:rsidR="000E1675" w:rsidRPr="00D509B0" w:rsidRDefault="000E1675" w:rsidP="000E1675">
      <w:pPr>
        <w:pStyle w:val="ListParagraph"/>
        <w:numPr>
          <w:ilvl w:val="1"/>
          <w:numId w:val="2"/>
        </w:numPr>
        <w:spacing w:line="240" w:lineRule="auto"/>
        <w:rPr>
          <w:rFonts w:cstheme="minorHAnsi"/>
          <w:sz w:val="28"/>
          <w:szCs w:val="28"/>
        </w:rPr>
      </w:pPr>
      <w:r w:rsidRPr="00D509B0">
        <w:rPr>
          <w:rFonts w:cstheme="minorHAnsi"/>
          <w:sz w:val="28"/>
          <w:szCs w:val="28"/>
        </w:rPr>
        <w:t>Duration of funding and funding dates: 5 Years, 10/1/23-9/30/28</w:t>
      </w:r>
      <w:r w:rsidRPr="00D509B0">
        <w:rPr>
          <w:rFonts w:cstheme="minorHAnsi"/>
          <w:sz w:val="28"/>
          <w:szCs w:val="28"/>
        </w:rPr>
        <w:tab/>
      </w:r>
    </w:p>
    <w:p w14:paraId="7A67CAB5" w14:textId="4BE83748" w:rsidR="003E61D8" w:rsidRPr="00D509B0" w:rsidRDefault="000E1675" w:rsidP="000E1675">
      <w:pPr>
        <w:pStyle w:val="ListParagraph"/>
        <w:numPr>
          <w:ilvl w:val="1"/>
          <w:numId w:val="2"/>
        </w:numPr>
        <w:spacing w:line="240" w:lineRule="auto"/>
        <w:rPr>
          <w:rFonts w:cstheme="minorHAnsi"/>
          <w:sz w:val="28"/>
          <w:szCs w:val="28"/>
        </w:rPr>
      </w:pPr>
      <w:r w:rsidRPr="00D509B0">
        <w:rPr>
          <w:rFonts w:cstheme="minorHAnsi"/>
          <w:sz w:val="28"/>
          <w:szCs w:val="28"/>
        </w:rPr>
        <w:t>Funding</w:t>
      </w:r>
      <w:r w:rsidR="00765134" w:rsidRPr="00D509B0">
        <w:rPr>
          <w:rFonts w:cstheme="minorHAnsi"/>
          <w:sz w:val="28"/>
          <w:szCs w:val="28"/>
        </w:rPr>
        <w:t xml:space="preserve"> amount</w:t>
      </w:r>
      <w:r w:rsidRPr="00D509B0">
        <w:rPr>
          <w:rFonts w:cstheme="minorHAnsi"/>
          <w:sz w:val="28"/>
          <w:szCs w:val="28"/>
        </w:rPr>
        <w:t xml:space="preserve">: </w:t>
      </w:r>
    </w:p>
    <w:p w14:paraId="232C97EE" w14:textId="77777777" w:rsidR="003E61D8" w:rsidRPr="00D509B0" w:rsidRDefault="003E61D8" w:rsidP="003E61D8">
      <w:pPr>
        <w:pStyle w:val="ListParagraph"/>
        <w:numPr>
          <w:ilvl w:val="2"/>
          <w:numId w:val="2"/>
        </w:numPr>
        <w:spacing w:line="240" w:lineRule="auto"/>
        <w:rPr>
          <w:rFonts w:cstheme="minorHAnsi"/>
          <w:sz w:val="28"/>
          <w:szCs w:val="28"/>
        </w:rPr>
      </w:pPr>
      <w:r w:rsidRPr="00D509B0">
        <w:rPr>
          <w:rFonts w:cstheme="minorHAnsi"/>
          <w:sz w:val="28"/>
          <w:szCs w:val="28"/>
        </w:rPr>
        <w:t xml:space="preserve">5-Year total: </w:t>
      </w:r>
      <w:r w:rsidR="000E1675" w:rsidRPr="00D509B0">
        <w:rPr>
          <w:rFonts w:cstheme="minorHAnsi"/>
          <w:sz w:val="28"/>
          <w:szCs w:val="28"/>
        </w:rPr>
        <w:t>$1,850,000</w:t>
      </w:r>
    </w:p>
    <w:p w14:paraId="72C5A499" w14:textId="2D186B41" w:rsidR="003E61D8" w:rsidRPr="00D509B0" w:rsidRDefault="003E61D8" w:rsidP="003E61D8">
      <w:pPr>
        <w:pStyle w:val="ListParagraph"/>
        <w:numPr>
          <w:ilvl w:val="2"/>
          <w:numId w:val="2"/>
        </w:numPr>
        <w:spacing w:line="240" w:lineRule="auto"/>
        <w:rPr>
          <w:rFonts w:cstheme="minorHAnsi"/>
          <w:sz w:val="28"/>
          <w:szCs w:val="28"/>
        </w:rPr>
      </w:pPr>
      <w:r w:rsidRPr="00D509B0">
        <w:rPr>
          <w:rFonts w:cstheme="minorHAnsi"/>
          <w:sz w:val="28"/>
          <w:szCs w:val="28"/>
        </w:rPr>
        <w:t>Y</w:t>
      </w:r>
      <w:r w:rsidR="000E1675" w:rsidRPr="00D509B0">
        <w:rPr>
          <w:rFonts w:cstheme="minorHAnsi"/>
          <w:sz w:val="28"/>
          <w:szCs w:val="28"/>
        </w:rPr>
        <w:t>ears 1-2 = $250,000/yr</w:t>
      </w:r>
    </w:p>
    <w:p w14:paraId="166D6E23" w14:textId="1CD7697E" w:rsidR="000E1675" w:rsidRPr="00D509B0" w:rsidRDefault="000E1675" w:rsidP="003E61D8">
      <w:pPr>
        <w:pStyle w:val="ListParagraph"/>
        <w:numPr>
          <w:ilvl w:val="2"/>
          <w:numId w:val="2"/>
        </w:numPr>
        <w:spacing w:line="240" w:lineRule="auto"/>
        <w:rPr>
          <w:rFonts w:cstheme="minorHAnsi"/>
          <w:sz w:val="28"/>
          <w:szCs w:val="28"/>
        </w:rPr>
      </w:pPr>
      <w:r w:rsidRPr="00D509B0">
        <w:rPr>
          <w:rFonts w:cstheme="minorHAnsi"/>
          <w:sz w:val="28"/>
          <w:szCs w:val="28"/>
        </w:rPr>
        <w:t>Years 3-5 = $450,000/yr</w:t>
      </w:r>
    </w:p>
    <w:p w14:paraId="3A046C70" w14:textId="381ADD12" w:rsidR="00846BDD" w:rsidRPr="00D509B0" w:rsidRDefault="000E1675" w:rsidP="000E1675">
      <w:pPr>
        <w:pStyle w:val="ListParagraph"/>
        <w:numPr>
          <w:ilvl w:val="1"/>
          <w:numId w:val="2"/>
        </w:numPr>
        <w:spacing w:line="240" w:lineRule="auto"/>
        <w:rPr>
          <w:rFonts w:cstheme="minorHAnsi"/>
          <w:sz w:val="28"/>
          <w:szCs w:val="28"/>
        </w:rPr>
      </w:pPr>
      <w:r w:rsidRPr="00D509B0">
        <w:rPr>
          <w:rFonts w:cstheme="minorHAnsi"/>
          <w:sz w:val="28"/>
          <w:szCs w:val="28"/>
        </w:rPr>
        <w:t>Amount or percent of required state match: 30%</w:t>
      </w:r>
    </w:p>
    <w:p w14:paraId="799FD659" w14:textId="4D0990C3" w:rsidR="0092210A" w:rsidRPr="00D509B0" w:rsidRDefault="0092210A" w:rsidP="0092210A">
      <w:pPr>
        <w:pStyle w:val="ListParagraph"/>
        <w:numPr>
          <w:ilvl w:val="2"/>
          <w:numId w:val="2"/>
        </w:numPr>
        <w:spacing w:line="240" w:lineRule="auto"/>
        <w:rPr>
          <w:rFonts w:cstheme="minorHAnsi"/>
          <w:sz w:val="28"/>
          <w:szCs w:val="28"/>
        </w:rPr>
      </w:pPr>
      <w:r w:rsidRPr="00D509B0">
        <w:rPr>
          <w:rFonts w:cstheme="minorHAnsi"/>
          <w:sz w:val="28"/>
          <w:szCs w:val="28"/>
        </w:rPr>
        <w:t>State will match with in-kind staffing covered by state funds</w:t>
      </w:r>
    </w:p>
    <w:p w14:paraId="562455CB" w14:textId="77777777" w:rsidR="00F5681E" w:rsidRPr="00D509B0" w:rsidRDefault="00F5681E" w:rsidP="00684EC5">
      <w:pPr>
        <w:pStyle w:val="ListParagraph"/>
        <w:numPr>
          <w:ilvl w:val="0"/>
          <w:numId w:val="2"/>
        </w:numPr>
        <w:rPr>
          <w:rFonts w:cstheme="minorHAnsi"/>
          <w:sz w:val="28"/>
          <w:szCs w:val="28"/>
        </w:rPr>
      </w:pPr>
      <w:r w:rsidRPr="00D509B0">
        <w:rPr>
          <w:rFonts w:cstheme="minorHAnsi"/>
          <w:sz w:val="28"/>
          <w:szCs w:val="28"/>
        </w:rPr>
        <w:t xml:space="preserve">Key stakeholders, constituency or advisory group involved: </w:t>
      </w:r>
    </w:p>
    <w:p w14:paraId="030360BC" w14:textId="0D9328ED" w:rsidR="0092210A" w:rsidRPr="00D509B0" w:rsidRDefault="00F5681E" w:rsidP="00684EC5">
      <w:pPr>
        <w:pStyle w:val="ListParagraph"/>
        <w:numPr>
          <w:ilvl w:val="1"/>
          <w:numId w:val="2"/>
        </w:numPr>
        <w:rPr>
          <w:rFonts w:cstheme="minorHAnsi"/>
          <w:sz w:val="28"/>
          <w:szCs w:val="28"/>
        </w:rPr>
      </w:pPr>
      <w:r w:rsidRPr="00D509B0">
        <w:rPr>
          <w:rFonts w:cstheme="minorHAnsi"/>
          <w:sz w:val="28"/>
          <w:szCs w:val="28"/>
        </w:rPr>
        <w:t xml:space="preserve">Alzheimer’s Association of Oregon &amp; SW Washington, AARP-Oregon, </w:t>
      </w:r>
      <w:r w:rsidR="00E32CFE" w:rsidRPr="00D509B0">
        <w:rPr>
          <w:rFonts w:cstheme="minorHAnsi"/>
          <w:sz w:val="28"/>
          <w:szCs w:val="28"/>
        </w:rPr>
        <w:t xml:space="preserve">Local Public Health Authorities, </w:t>
      </w:r>
      <w:r w:rsidRPr="00D509B0">
        <w:rPr>
          <w:rFonts w:cstheme="minorHAnsi"/>
          <w:sz w:val="28"/>
          <w:szCs w:val="28"/>
        </w:rPr>
        <w:t xml:space="preserve">ODHS-Aging and People with Disabilities, OHA Health Systems Division, Oregon Primary Care </w:t>
      </w:r>
      <w:r w:rsidRPr="00D509B0">
        <w:rPr>
          <w:rFonts w:cstheme="minorHAnsi"/>
          <w:sz w:val="28"/>
          <w:szCs w:val="28"/>
        </w:rPr>
        <w:lastRenderedPageBreak/>
        <w:t>Association, North Portland Area Indian Health Board, Oregon Community Health Workers Association, Community-Integrated Network of Oregon, Oregon Wellness Network, OSU Extension</w:t>
      </w:r>
      <w:r w:rsidR="00684EC5" w:rsidRPr="00D509B0">
        <w:rPr>
          <w:rFonts w:cstheme="minorHAnsi"/>
          <w:sz w:val="28"/>
          <w:szCs w:val="28"/>
        </w:rPr>
        <w:t>, Portland State University Institute on Aging, and others</w:t>
      </w:r>
    </w:p>
    <w:p w14:paraId="5B059E85" w14:textId="67E58E65" w:rsidR="00F6758C" w:rsidRPr="00D509B0" w:rsidRDefault="00F6758C" w:rsidP="00765134">
      <w:pPr>
        <w:rPr>
          <w:rFonts w:cstheme="minorHAnsi"/>
          <w:sz w:val="28"/>
          <w:szCs w:val="28"/>
        </w:rPr>
      </w:pPr>
    </w:p>
    <w:p w14:paraId="6C94A6C2" w14:textId="6B898B92" w:rsidR="00376928" w:rsidRPr="007635C8" w:rsidRDefault="008A7F85" w:rsidP="00765134">
      <w:pPr>
        <w:rPr>
          <w:rFonts w:cstheme="minorHAnsi"/>
          <w:b/>
          <w:bCs/>
          <w:sz w:val="28"/>
          <w:szCs w:val="28"/>
        </w:rPr>
      </w:pPr>
      <w:r w:rsidRPr="007635C8">
        <w:rPr>
          <w:rFonts w:cstheme="minorHAnsi"/>
          <w:b/>
          <w:bCs/>
          <w:sz w:val="28"/>
          <w:szCs w:val="28"/>
        </w:rPr>
        <w:t>The State Physical Activity and Nutrition Program (SPAN)</w:t>
      </w:r>
      <w:r w:rsidR="00C37242" w:rsidRPr="007635C8">
        <w:rPr>
          <w:rFonts w:cstheme="minorHAnsi"/>
          <w:b/>
          <w:bCs/>
          <w:sz w:val="28"/>
          <w:szCs w:val="28"/>
        </w:rPr>
        <w:t xml:space="preserve"> </w:t>
      </w:r>
      <w:r w:rsidR="00C37242" w:rsidRPr="007635C8">
        <w:rPr>
          <w:rFonts w:cstheme="minorHAnsi"/>
          <w:b/>
          <w:bCs/>
          <w:sz w:val="28"/>
          <w:szCs w:val="28"/>
        </w:rPr>
        <w:t>(CDC-RFA-DP-23-001</w:t>
      </w:r>
      <w:r w:rsidR="00C37242" w:rsidRPr="007635C8">
        <w:rPr>
          <w:rFonts w:cstheme="minorHAnsi"/>
          <w:b/>
          <w:bCs/>
          <w:sz w:val="28"/>
          <w:szCs w:val="28"/>
        </w:rPr>
        <w:t>2</w:t>
      </w:r>
      <w:r w:rsidR="00C37242" w:rsidRPr="007635C8">
        <w:rPr>
          <w:rFonts w:cstheme="minorHAnsi"/>
          <w:b/>
          <w:bCs/>
          <w:sz w:val="28"/>
          <w:szCs w:val="28"/>
        </w:rPr>
        <w:t>)</w:t>
      </w:r>
    </w:p>
    <w:p w14:paraId="003464B9" w14:textId="7BE957E0" w:rsidR="00F46D3B" w:rsidRPr="00D509B0" w:rsidRDefault="00F46D3B" w:rsidP="00F46D3B">
      <w:pPr>
        <w:pStyle w:val="ListParagraph"/>
        <w:numPr>
          <w:ilvl w:val="0"/>
          <w:numId w:val="4"/>
        </w:numPr>
        <w:rPr>
          <w:rFonts w:cstheme="minorHAnsi"/>
          <w:sz w:val="28"/>
          <w:szCs w:val="28"/>
        </w:rPr>
      </w:pPr>
      <w:r w:rsidRPr="00D509B0">
        <w:rPr>
          <w:rFonts w:cstheme="minorHAnsi"/>
          <w:sz w:val="28"/>
          <w:szCs w:val="28"/>
        </w:rPr>
        <w:t>The SPAN program in intended to work at the state level to implement evidence-based nutrition and physical activity strategies and collaboratively leverage state investments, partnerships, and resources from various sectors that address health disparities related to poor nutrition and physical activity. This grant opportunity specifically focuses on strategies related to nutrition, physical activity, breastfeeding continuity of care, and integrating nutrition, physical activity, and breastfeeding national standards and advancing Farm to Early Care and Education (ECE) programs into statewide ECE systems.</w:t>
      </w:r>
    </w:p>
    <w:p w14:paraId="41DD1593" w14:textId="77777777" w:rsidR="00775A1B" w:rsidRPr="00D509B0" w:rsidRDefault="00775A1B" w:rsidP="00775A1B">
      <w:pPr>
        <w:pStyle w:val="ListParagraph"/>
        <w:rPr>
          <w:rFonts w:cstheme="minorHAnsi"/>
          <w:sz w:val="28"/>
          <w:szCs w:val="28"/>
        </w:rPr>
      </w:pPr>
    </w:p>
    <w:p w14:paraId="313F9D43" w14:textId="77777777" w:rsidR="002674A9" w:rsidRPr="00D509B0" w:rsidRDefault="002674A9" w:rsidP="002674A9">
      <w:pPr>
        <w:pStyle w:val="ListParagraph"/>
        <w:numPr>
          <w:ilvl w:val="0"/>
          <w:numId w:val="4"/>
        </w:numPr>
        <w:spacing w:line="240" w:lineRule="auto"/>
        <w:rPr>
          <w:rFonts w:cstheme="minorHAnsi"/>
          <w:bCs/>
          <w:sz w:val="28"/>
          <w:szCs w:val="28"/>
        </w:rPr>
      </w:pPr>
      <w:r w:rsidRPr="00D509B0">
        <w:rPr>
          <w:rFonts w:cstheme="minorHAnsi"/>
          <w:bCs/>
          <w:sz w:val="28"/>
          <w:szCs w:val="28"/>
        </w:rPr>
        <w:t>Budget overvie</w:t>
      </w:r>
      <w:r w:rsidRPr="00D509B0">
        <w:rPr>
          <w:rFonts w:cstheme="minorHAnsi"/>
          <w:bCs/>
          <w:sz w:val="28"/>
          <w:szCs w:val="28"/>
        </w:rPr>
        <w:t>w</w:t>
      </w:r>
    </w:p>
    <w:p w14:paraId="0C0DFE59" w14:textId="0E68F289" w:rsidR="002674A9" w:rsidRPr="00D509B0" w:rsidRDefault="002674A9" w:rsidP="002674A9">
      <w:pPr>
        <w:pStyle w:val="ListParagraph"/>
        <w:numPr>
          <w:ilvl w:val="1"/>
          <w:numId w:val="4"/>
        </w:numPr>
        <w:spacing w:line="240" w:lineRule="auto"/>
        <w:rPr>
          <w:rFonts w:cstheme="minorHAnsi"/>
          <w:bCs/>
          <w:sz w:val="28"/>
          <w:szCs w:val="28"/>
        </w:rPr>
      </w:pPr>
      <w:r w:rsidRPr="00D509B0">
        <w:rPr>
          <w:rFonts w:cstheme="minorHAnsi"/>
          <w:sz w:val="28"/>
          <w:szCs w:val="28"/>
        </w:rPr>
        <w:t xml:space="preserve">Duration of funding and funding dates: 5 Years </w:t>
      </w:r>
      <w:r w:rsidR="00BB1409" w:rsidRPr="00D509B0">
        <w:rPr>
          <w:rFonts w:cstheme="minorHAnsi"/>
          <w:sz w:val="28"/>
          <w:szCs w:val="28"/>
        </w:rPr>
        <w:t>9/</w:t>
      </w:r>
      <w:r w:rsidR="00AB32F7" w:rsidRPr="00D509B0">
        <w:rPr>
          <w:rFonts w:cstheme="minorHAnsi"/>
          <w:sz w:val="28"/>
          <w:szCs w:val="28"/>
        </w:rPr>
        <w:t>29</w:t>
      </w:r>
      <w:r w:rsidR="00BB1409" w:rsidRPr="00D509B0">
        <w:rPr>
          <w:rFonts w:cstheme="minorHAnsi"/>
          <w:sz w:val="28"/>
          <w:szCs w:val="28"/>
        </w:rPr>
        <w:t xml:space="preserve">/23 </w:t>
      </w:r>
      <w:r w:rsidR="00AB32F7" w:rsidRPr="00D509B0">
        <w:rPr>
          <w:rFonts w:cstheme="minorHAnsi"/>
          <w:sz w:val="28"/>
          <w:szCs w:val="28"/>
        </w:rPr>
        <w:t>–</w:t>
      </w:r>
      <w:r w:rsidR="00BB1409" w:rsidRPr="00D509B0">
        <w:rPr>
          <w:rFonts w:cstheme="minorHAnsi"/>
          <w:sz w:val="28"/>
          <w:szCs w:val="28"/>
        </w:rPr>
        <w:t xml:space="preserve"> </w:t>
      </w:r>
      <w:r w:rsidR="00AB32F7" w:rsidRPr="00D509B0">
        <w:rPr>
          <w:rFonts w:cstheme="minorHAnsi"/>
          <w:sz w:val="28"/>
          <w:szCs w:val="28"/>
        </w:rPr>
        <w:t>9/30/28</w:t>
      </w:r>
      <w:r w:rsidRPr="00D509B0">
        <w:rPr>
          <w:rFonts w:cstheme="minorHAnsi"/>
          <w:sz w:val="28"/>
          <w:szCs w:val="28"/>
        </w:rPr>
        <w:tab/>
      </w:r>
    </w:p>
    <w:p w14:paraId="0FE34C97" w14:textId="2C90E041" w:rsidR="002674A9" w:rsidRPr="00D509B0" w:rsidRDefault="002674A9" w:rsidP="00775A1B">
      <w:pPr>
        <w:pStyle w:val="ListParagraph"/>
        <w:numPr>
          <w:ilvl w:val="1"/>
          <w:numId w:val="4"/>
        </w:numPr>
        <w:rPr>
          <w:rFonts w:cstheme="minorHAnsi"/>
          <w:sz w:val="28"/>
          <w:szCs w:val="28"/>
        </w:rPr>
      </w:pPr>
      <w:r w:rsidRPr="00D509B0">
        <w:rPr>
          <w:rFonts w:cstheme="minorHAnsi"/>
          <w:sz w:val="28"/>
          <w:szCs w:val="28"/>
        </w:rPr>
        <w:t xml:space="preserve">Annual Funding/Total Funding:    </w:t>
      </w:r>
    </w:p>
    <w:p w14:paraId="4CF7F1D5" w14:textId="30D7C451" w:rsidR="00AC699E" w:rsidRPr="00D509B0" w:rsidRDefault="00AC699E" w:rsidP="00775A1B">
      <w:pPr>
        <w:pStyle w:val="ListParagraph"/>
        <w:numPr>
          <w:ilvl w:val="2"/>
          <w:numId w:val="4"/>
        </w:numPr>
        <w:rPr>
          <w:rFonts w:cstheme="minorHAnsi"/>
          <w:sz w:val="28"/>
          <w:szCs w:val="28"/>
        </w:rPr>
      </w:pPr>
      <w:r w:rsidRPr="00D509B0">
        <w:rPr>
          <w:rFonts w:cstheme="minorHAnsi"/>
          <w:sz w:val="28"/>
          <w:szCs w:val="28"/>
        </w:rPr>
        <w:t>Range: 6</w:t>
      </w:r>
      <w:r w:rsidR="00212EDA" w:rsidRPr="00D509B0">
        <w:rPr>
          <w:rFonts w:cstheme="minorHAnsi"/>
          <w:sz w:val="28"/>
          <w:szCs w:val="28"/>
        </w:rPr>
        <w:t>0</w:t>
      </w:r>
      <w:r w:rsidRPr="00D509B0">
        <w:rPr>
          <w:rFonts w:cstheme="minorHAnsi"/>
          <w:sz w:val="28"/>
          <w:szCs w:val="28"/>
        </w:rPr>
        <w:t>0,000-$1,300,000</w:t>
      </w:r>
      <w:r w:rsidR="00851956">
        <w:rPr>
          <w:rFonts w:cstheme="minorHAnsi"/>
          <w:sz w:val="28"/>
          <w:szCs w:val="28"/>
        </w:rPr>
        <w:t>/yr</w:t>
      </w:r>
    </w:p>
    <w:p w14:paraId="0D5A9839" w14:textId="4127CBE1" w:rsidR="00AC699E" w:rsidRDefault="00AC699E" w:rsidP="00775A1B">
      <w:pPr>
        <w:pStyle w:val="ListParagraph"/>
        <w:numPr>
          <w:ilvl w:val="2"/>
          <w:numId w:val="4"/>
        </w:numPr>
        <w:rPr>
          <w:rFonts w:cstheme="minorHAnsi"/>
          <w:sz w:val="28"/>
          <w:szCs w:val="28"/>
        </w:rPr>
      </w:pPr>
      <w:r w:rsidRPr="00D509B0">
        <w:rPr>
          <w:rFonts w:cstheme="minorHAnsi"/>
          <w:sz w:val="28"/>
          <w:szCs w:val="28"/>
        </w:rPr>
        <w:t>Average annual award: $888,000</w:t>
      </w:r>
    </w:p>
    <w:p w14:paraId="2EC5463D" w14:textId="71CBF780" w:rsidR="002337C5" w:rsidRPr="00D509B0" w:rsidRDefault="002337C5" w:rsidP="00775A1B">
      <w:pPr>
        <w:pStyle w:val="ListParagraph"/>
        <w:numPr>
          <w:ilvl w:val="2"/>
          <w:numId w:val="4"/>
        </w:numPr>
        <w:rPr>
          <w:rFonts w:cstheme="minorHAnsi"/>
          <w:sz w:val="28"/>
          <w:szCs w:val="28"/>
        </w:rPr>
      </w:pPr>
      <w:r>
        <w:rPr>
          <w:rFonts w:cstheme="minorHAnsi"/>
          <w:sz w:val="28"/>
          <w:szCs w:val="28"/>
        </w:rPr>
        <w:t xml:space="preserve">Average 5-year award: </w:t>
      </w:r>
      <w:r w:rsidR="00271A23">
        <w:rPr>
          <w:rFonts w:cstheme="minorHAnsi"/>
          <w:sz w:val="28"/>
          <w:szCs w:val="28"/>
        </w:rPr>
        <w:t>$4,440,000</w:t>
      </w:r>
    </w:p>
    <w:p w14:paraId="1DCA10A8" w14:textId="524749D6" w:rsidR="00AB7FDC" w:rsidRPr="00D509B0" w:rsidRDefault="002674A9" w:rsidP="00775A1B">
      <w:pPr>
        <w:pStyle w:val="ListParagraph"/>
        <w:numPr>
          <w:ilvl w:val="1"/>
          <w:numId w:val="4"/>
        </w:numPr>
        <w:rPr>
          <w:rFonts w:cstheme="minorHAnsi"/>
          <w:sz w:val="28"/>
          <w:szCs w:val="28"/>
        </w:rPr>
      </w:pPr>
      <w:r w:rsidRPr="00D509B0">
        <w:rPr>
          <w:rFonts w:cstheme="minorHAnsi"/>
          <w:sz w:val="28"/>
          <w:szCs w:val="28"/>
        </w:rPr>
        <w:t>Amount or percent of required state match: None</w:t>
      </w:r>
    </w:p>
    <w:p w14:paraId="13E86652" w14:textId="6DB5ABCE" w:rsidR="0058408F" w:rsidRPr="00D509B0" w:rsidRDefault="0058408F" w:rsidP="00775A1B">
      <w:pPr>
        <w:pStyle w:val="ListParagraph"/>
        <w:numPr>
          <w:ilvl w:val="1"/>
          <w:numId w:val="4"/>
        </w:numPr>
        <w:rPr>
          <w:rFonts w:cstheme="minorHAnsi"/>
          <w:sz w:val="28"/>
          <w:szCs w:val="28"/>
        </w:rPr>
      </w:pPr>
      <w:r w:rsidRPr="00D509B0">
        <w:rPr>
          <w:rFonts w:cstheme="minorHAnsi"/>
          <w:sz w:val="28"/>
          <w:szCs w:val="28"/>
        </w:rPr>
        <w:t>OHA-PHD will request</w:t>
      </w:r>
      <w:r w:rsidR="005F0281" w:rsidRPr="00D509B0">
        <w:rPr>
          <w:rFonts w:cstheme="minorHAnsi"/>
          <w:sz w:val="28"/>
          <w:szCs w:val="28"/>
        </w:rPr>
        <w:t xml:space="preserve"> the full $1.3M/yr</w:t>
      </w:r>
    </w:p>
    <w:p w14:paraId="3E60D4A5" w14:textId="202EEDB7" w:rsidR="00775A1B" w:rsidRPr="00D509B0" w:rsidRDefault="00D512F5" w:rsidP="00775A1B">
      <w:pPr>
        <w:pStyle w:val="ListParagraph"/>
        <w:numPr>
          <w:ilvl w:val="1"/>
          <w:numId w:val="4"/>
        </w:numPr>
        <w:rPr>
          <w:rFonts w:cstheme="minorHAnsi"/>
          <w:sz w:val="28"/>
          <w:szCs w:val="28"/>
        </w:rPr>
      </w:pPr>
      <w:r w:rsidRPr="00D509B0">
        <w:rPr>
          <w:rFonts w:cstheme="minorHAnsi"/>
          <w:sz w:val="28"/>
          <w:szCs w:val="28"/>
        </w:rPr>
        <w:t xml:space="preserve">CDC recommends that </w:t>
      </w:r>
      <w:r w:rsidR="007635C8" w:rsidRPr="00D509B0">
        <w:rPr>
          <w:rFonts w:cstheme="minorHAnsi"/>
          <w:sz w:val="28"/>
          <w:szCs w:val="28"/>
        </w:rPr>
        <w:t>applicant</w:t>
      </w:r>
      <w:r w:rsidR="007635C8">
        <w:rPr>
          <w:rFonts w:cstheme="minorHAnsi"/>
          <w:sz w:val="28"/>
          <w:szCs w:val="28"/>
        </w:rPr>
        <w:t>s</w:t>
      </w:r>
      <w:r w:rsidRPr="00D509B0">
        <w:rPr>
          <w:rFonts w:cstheme="minorHAnsi"/>
          <w:sz w:val="28"/>
          <w:szCs w:val="28"/>
        </w:rPr>
        <w:t xml:space="preserve"> budget at least 25% of the proposed total annual budget to effectively support the local public health government entities or organization(s) that will plan, implement, and evaluate local level work</w:t>
      </w:r>
      <w:r w:rsidR="00797A0E" w:rsidRPr="00D509B0">
        <w:rPr>
          <w:rFonts w:cstheme="minorHAnsi"/>
          <w:sz w:val="28"/>
          <w:szCs w:val="28"/>
        </w:rPr>
        <w:t>. OHA-PHD will meet this recommendation</w:t>
      </w:r>
      <w:r w:rsidR="003A3640" w:rsidRPr="00D509B0">
        <w:rPr>
          <w:rFonts w:cstheme="minorHAnsi"/>
          <w:sz w:val="28"/>
          <w:szCs w:val="28"/>
        </w:rPr>
        <w:t xml:space="preserve"> by </w:t>
      </w:r>
      <w:r w:rsidR="005F0281" w:rsidRPr="00D509B0">
        <w:rPr>
          <w:rFonts w:cstheme="minorHAnsi"/>
          <w:sz w:val="28"/>
          <w:szCs w:val="28"/>
        </w:rPr>
        <w:t>contracting with OSU Extension</w:t>
      </w:r>
      <w:r w:rsidR="00B70352" w:rsidRPr="00D509B0">
        <w:rPr>
          <w:rFonts w:cstheme="minorHAnsi"/>
          <w:sz w:val="28"/>
          <w:szCs w:val="28"/>
        </w:rPr>
        <w:t xml:space="preserve"> to support implementation of the physical activity and ECE components</w:t>
      </w:r>
      <w:r w:rsidR="00990865">
        <w:rPr>
          <w:rFonts w:cstheme="minorHAnsi"/>
          <w:sz w:val="28"/>
          <w:szCs w:val="28"/>
        </w:rPr>
        <w:t xml:space="preserve"> in rural communities</w:t>
      </w:r>
      <w:r w:rsidR="00B70352" w:rsidRPr="00D509B0">
        <w:rPr>
          <w:rFonts w:cstheme="minorHAnsi"/>
          <w:sz w:val="28"/>
          <w:szCs w:val="28"/>
        </w:rPr>
        <w:t xml:space="preserve">, and by making </w:t>
      </w:r>
      <w:r w:rsidR="005E6BBF" w:rsidRPr="00D509B0">
        <w:rPr>
          <w:rFonts w:cstheme="minorHAnsi"/>
          <w:sz w:val="28"/>
          <w:szCs w:val="28"/>
        </w:rPr>
        <w:t>at least 10% of the total award amount</w:t>
      </w:r>
      <w:r w:rsidR="00B166F9" w:rsidRPr="00D509B0">
        <w:rPr>
          <w:rFonts w:cstheme="minorHAnsi"/>
          <w:sz w:val="28"/>
          <w:szCs w:val="28"/>
        </w:rPr>
        <w:t xml:space="preserve"> available to community partners</w:t>
      </w:r>
      <w:r w:rsidR="001A2BE6" w:rsidRPr="00D509B0">
        <w:rPr>
          <w:rFonts w:cstheme="minorHAnsi"/>
          <w:sz w:val="28"/>
          <w:szCs w:val="28"/>
        </w:rPr>
        <w:t>, including LPHAs, for implementation grants</w:t>
      </w:r>
      <w:r w:rsidR="005E6BBF" w:rsidRPr="00D509B0">
        <w:rPr>
          <w:rFonts w:cstheme="minorHAnsi"/>
          <w:sz w:val="28"/>
          <w:szCs w:val="28"/>
        </w:rPr>
        <w:t>.</w:t>
      </w:r>
    </w:p>
    <w:p w14:paraId="01C65518" w14:textId="77777777" w:rsidR="00D509B0" w:rsidRPr="00D509B0" w:rsidRDefault="00D509B0" w:rsidP="00D509B0">
      <w:pPr>
        <w:pStyle w:val="ListParagraph"/>
        <w:numPr>
          <w:ilvl w:val="0"/>
          <w:numId w:val="4"/>
        </w:numPr>
        <w:spacing w:line="240" w:lineRule="auto"/>
        <w:rPr>
          <w:rFonts w:cstheme="minorHAnsi"/>
          <w:sz w:val="28"/>
          <w:szCs w:val="28"/>
        </w:rPr>
      </w:pPr>
      <w:r w:rsidRPr="00D509B0">
        <w:rPr>
          <w:rFonts w:cstheme="minorHAnsi"/>
          <w:sz w:val="28"/>
          <w:szCs w:val="28"/>
        </w:rPr>
        <w:t xml:space="preserve">Key stakeholders, constituency or advisory group involved: </w:t>
      </w:r>
    </w:p>
    <w:p w14:paraId="1B9016C5" w14:textId="4565ACFC" w:rsidR="00D509B0" w:rsidRPr="0008251F" w:rsidRDefault="00D509B0" w:rsidP="007635C8">
      <w:pPr>
        <w:pStyle w:val="ListParagraph"/>
        <w:numPr>
          <w:ilvl w:val="1"/>
          <w:numId w:val="4"/>
        </w:numPr>
        <w:spacing w:line="240" w:lineRule="auto"/>
        <w:rPr>
          <w:rFonts w:cstheme="minorHAnsi"/>
          <w:sz w:val="28"/>
          <w:szCs w:val="28"/>
        </w:rPr>
      </w:pPr>
      <w:r w:rsidRPr="0008251F">
        <w:rPr>
          <w:rFonts w:cstheme="minorHAnsi"/>
          <w:sz w:val="28"/>
          <w:szCs w:val="28"/>
        </w:rPr>
        <w:lastRenderedPageBreak/>
        <w:t>OHA-PHD</w:t>
      </w:r>
      <w:r w:rsidR="00C222EB" w:rsidRPr="0008251F">
        <w:rPr>
          <w:rFonts w:cstheme="minorHAnsi"/>
          <w:sz w:val="28"/>
          <w:szCs w:val="28"/>
        </w:rPr>
        <w:t xml:space="preserve"> </w:t>
      </w:r>
      <w:r w:rsidR="004127F1">
        <w:rPr>
          <w:rFonts w:cstheme="minorHAnsi"/>
          <w:sz w:val="28"/>
          <w:szCs w:val="28"/>
        </w:rPr>
        <w:t xml:space="preserve">program </w:t>
      </w:r>
      <w:r w:rsidR="00C222EB" w:rsidRPr="0008251F">
        <w:rPr>
          <w:rFonts w:cstheme="minorHAnsi"/>
          <w:sz w:val="28"/>
          <w:szCs w:val="28"/>
        </w:rPr>
        <w:t>(</w:t>
      </w:r>
      <w:r w:rsidRPr="0008251F">
        <w:rPr>
          <w:rFonts w:cstheme="minorHAnsi"/>
          <w:sz w:val="28"/>
          <w:szCs w:val="28"/>
        </w:rPr>
        <w:t>HPCDP, MCH, WIC, EPH</w:t>
      </w:r>
      <w:r w:rsidR="00C222EB" w:rsidRPr="0008251F">
        <w:rPr>
          <w:rFonts w:cstheme="minorHAnsi"/>
          <w:sz w:val="28"/>
          <w:szCs w:val="28"/>
        </w:rPr>
        <w:t xml:space="preserve">), </w:t>
      </w:r>
      <w:r w:rsidRPr="0008251F">
        <w:rPr>
          <w:rFonts w:cstheme="minorHAnsi"/>
          <w:sz w:val="28"/>
          <w:szCs w:val="28"/>
        </w:rPr>
        <w:t>OSU Extension</w:t>
      </w:r>
      <w:r w:rsidR="003F6EE1" w:rsidRPr="0008251F">
        <w:rPr>
          <w:rFonts w:cstheme="minorHAnsi"/>
          <w:sz w:val="28"/>
          <w:szCs w:val="28"/>
        </w:rPr>
        <w:t xml:space="preserve"> (</w:t>
      </w:r>
      <w:r w:rsidRPr="0008251F">
        <w:rPr>
          <w:rFonts w:cstheme="minorHAnsi"/>
          <w:color w:val="000000"/>
          <w:sz w:val="28"/>
          <w:szCs w:val="28"/>
        </w:rPr>
        <w:t>Healthy Eating, Active Living Core, Hallie E. Ford Center</w:t>
      </w:r>
      <w:r w:rsidR="0008251F" w:rsidRPr="0008251F">
        <w:rPr>
          <w:rFonts w:cstheme="minorHAnsi"/>
          <w:color w:val="000000"/>
          <w:sz w:val="28"/>
          <w:szCs w:val="28"/>
        </w:rPr>
        <w:t>, Center for Health Innovation</w:t>
      </w:r>
      <w:r w:rsidR="003F6EE1" w:rsidRPr="0008251F">
        <w:rPr>
          <w:rFonts w:cstheme="minorHAnsi"/>
          <w:color w:val="000000"/>
          <w:sz w:val="28"/>
          <w:szCs w:val="28"/>
        </w:rPr>
        <w:t>)</w:t>
      </w:r>
      <w:r w:rsidR="0008251F" w:rsidRPr="0008251F">
        <w:rPr>
          <w:rFonts w:cstheme="minorHAnsi"/>
          <w:color w:val="000000"/>
          <w:sz w:val="28"/>
          <w:szCs w:val="28"/>
        </w:rPr>
        <w:t xml:space="preserve">, </w:t>
      </w:r>
      <w:r w:rsidRPr="0008251F">
        <w:rPr>
          <w:rFonts w:cstheme="minorHAnsi"/>
          <w:color w:val="000000"/>
          <w:sz w:val="28"/>
          <w:szCs w:val="28"/>
        </w:rPr>
        <w:t>ODE</w:t>
      </w:r>
      <w:r w:rsidR="0008251F" w:rsidRPr="0008251F">
        <w:rPr>
          <w:rFonts w:cstheme="minorHAnsi"/>
          <w:color w:val="000000"/>
          <w:sz w:val="28"/>
          <w:szCs w:val="28"/>
        </w:rPr>
        <w:t xml:space="preserve">, </w:t>
      </w:r>
      <w:r w:rsidRPr="0008251F">
        <w:rPr>
          <w:rFonts w:cstheme="minorHAnsi"/>
          <w:color w:val="000000"/>
          <w:sz w:val="28"/>
          <w:szCs w:val="28"/>
        </w:rPr>
        <w:t>ODOT</w:t>
      </w:r>
      <w:r w:rsidR="0008251F" w:rsidRPr="0008251F">
        <w:rPr>
          <w:rFonts w:cstheme="minorHAnsi"/>
          <w:color w:val="000000"/>
          <w:sz w:val="28"/>
          <w:szCs w:val="28"/>
        </w:rPr>
        <w:t xml:space="preserve">, </w:t>
      </w:r>
      <w:r w:rsidRPr="0008251F">
        <w:rPr>
          <w:rFonts w:cstheme="minorHAnsi"/>
          <w:color w:val="000000"/>
          <w:sz w:val="28"/>
          <w:szCs w:val="28"/>
        </w:rPr>
        <w:t>ODHS: SNAP</w:t>
      </w:r>
      <w:r w:rsidR="0008251F" w:rsidRPr="0008251F">
        <w:rPr>
          <w:rFonts w:cstheme="minorHAnsi"/>
          <w:color w:val="000000"/>
          <w:sz w:val="28"/>
          <w:szCs w:val="28"/>
        </w:rPr>
        <w:t xml:space="preserve"> Ed, </w:t>
      </w:r>
      <w:r w:rsidRPr="0008251F">
        <w:rPr>
          <w:rFonts w:cstheme="minorHAnsi"/>
          <w:sz w:val="28"/>
          <w:szCs w:val="28"/>
        </w:rPr>
        <w:t>Nutrition Council of Oregon</w:t>
      </w:r>
      <w:r w:rsidR="0008251F" w:rsidRPr="0008251F">
        <w:rPr>
          <w:rFonts w:cstheme="minorHAnsi"/>
          <w:sz w:val="28"/>
          <w:szCs w:val="28"/>
        </w:rPr>
        <w:t xml:space="preserve">, </w:t>
      </w:r>
      <w:r w:rsidRPr="0008251F">
        <w:rPr>
          <w:rFonts w:cstheme="minorHAnsi"/>
          <w:sz w:val="28"/>
          <w:szCs w:val="28"/>
        </w:rPr>
        <w:t>Oregon Farm to Institution Coalition</w:t>
      </w:r>
      <w:r w:rsidR="0008251F" w:rsidRPr="0008251F">
        <w:rPr>
          <w:rFonts w:cstheme="minorHAnsi"/>
          <w:sz w:val="28"/>
          <w:szCs w:val="28"/>
        </w:rPr>
        <w:t>, Oregon Community Food Security Network, and others</w:t>
      </w:r>
      <w:r w:rsidR="004127F1">
        <w:rPr>
          <w:rFonts w:cstheme="minorHAnsi"/>
          <w:sz w:val="28"/>
          <w:szCs w:val="28"/>
        </w:rPr>
        <w:t>.</w:t>
      </w:r>
    </w:p>
    <w:sectPr w:rsidR="00D509B0" w:rsidRPr="00082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1986"/>
    <w:multiLevelType w:val="hybridMultilevel"/>
    <w:tmpl w:val="DADCB6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640EB"/>
    <w:multiLevelType w:val="hybridMultilevel"/>
    <w:tmpl w:val="7992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94981"/>
    <w:multiLevelType w:val="hybridMultilevel"/>
    <w:tmpl w:val="55C27230"/>
    <w:lvl w:ilvl="0" w:tplc="74986A8E">
      <w:start w:val="1"/>
      <w:numFmt w:val="upperRoman"/>
      <w:lvlText w:val="%1."/>
      <w:lvlJc w:val="left"/>
      <w:pPr>
        <w:ind w:left="1080" w:hanging="72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9498D"/>
    <w:multiLevelType w:val="hybridMultilevel"/>
    <w:tmpl w:val="823E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148905">
    <w:abstractNumId w:val="2"/>
  </w:num>
  <w:num w:numId="2" w16cid:durableId="715935811">
    <w:abstractNumId w:val="3"/>
  </w:num>
  <w:num w:numId="3" w16cid:durableId="439839533">
    <w:abstractNumId w:val="1"/>
  </w:num>
  <w:num w:numId="4" w16cid:durableId="30431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E5"/>
    <w:rsid w:val="0008251F"/>
    <w:rsid w:val="000E1675"/>
    <w:rsid w:val="00162BE2"/>
    <w:rsid w:val="001A2BE6"/>
    <w:rsid w:val="00212EDA"/>
    <w:rsid w:val="002337C5"/>
    <w:rsid w:val="002345F4"/>
    <w:rsid w:val="002674A9"/>
    <w:rsid w:val="00271A23"/>
    <w:rsid w:val="00367A22"/>
    <w:rsid w:val="00376928"/>
    <w:rsid w:val="003A3640"/>
    <w:rsid w:val="003D715F"/>
    <w:rsid w:val="003E61D8"/>
    <w:rsid w:val="003F6EE1"/>
    <w:rsid w:val="004127F1"/>
    <w:rsid w:val="00515DBF"/>
    <w:rsid w:val="00522D76"/>
    <w:rsid w:val="005551F6"/>
    <w:rsid w:val="0058408F"/>
    <w:rsid w:val="005E6BBF"/>
    <w:rsid w:val="005F0281"/>
    <w:rsid w:val="00684EC5"/>
    <w:rsid w:val="006C5D11"/>
    <w:rsid w:val="007635C8"/>
    <w:rsid w:val="00765134"/>
    <w:rsid w:val="00775A1B"/>
    <w:rsid w:val="00797A0E"/>
    <w:rsid w:val="007F7B65"/>
    <w:rsid w:val="00846BDD"/>
    <w:rsid w:val="00851956"/>
    <w:rsid w:val="008A13A2"/>
    <w:rsid w:val="008A7F85"/>
    <w:rsid w:val="0092210A"/>
    <w:rsid w:val="009511E6"/>
    <w:rsid w:val="00964E83"/>
    <w:rsid w:val="00990865"/>
    <w:rsid w:val="00A77254"/>
    <w:rsid w:val="00AB32F7"/>
    <w:rsid w:val="00AB7FDC"/>
    <w:rsid w:val="00AC699E"/>
    <w:rsid w:val="00B166F9"/>
    <w:rsid w:val="00B37BA8"/>
    <w:rsid w:val="00B50C1F"/>
    <w:rsid w:val="00B57351"/>
    <w:rsid w:val="00B70352"/>
    <w:rsid w:val="00B72FE5"/>
    <w:rsid w:val="00BB1409"/>
    <w:rsid w:val="00C222EB"/>
    <w:rsid w:val="00C3056F"/>
    <w:rsid w:val="00C37242"/>
    <w:rsid w:val="00D509B0"/>
    <w:rsid w:val="00D512F5"/>
    <w:rsid w:val="00E32CFE"/>
    <w:rsid w:val="00EC09ED"/>
    <w:rsid w:val="00F46D3B"/>
    <w:rsid w:val="00F5681E"/>
    <w:rsid w:val="00F6758C"/>
    <w:rsid w:val="00FA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1FC7"/>
  <w15:chartTrackingRefBased/>
  <w15:docId w15:val="{4D5A24F8-AD6A-4C88-8B4C-1A9B2298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5F4"/>
    <w:pPr>
      <w:ind w:left="720"/>
      <w:contextualSpacing/>
    </w:pPr>
  </w:style>
  <w:style w:type="paragraph" w:styleId="BalloonText">
    <w:name w:val="Balloon Text"/>
    <w:basedOn w:val="Normal"/>
    <w:link w:val="BalloonTextChar"/>
    <w:uiPriority w:val="99"/>
    <w:semiHidden/>
    <w:unhideWhenUsed/>
    <w:rsid w:val="00F5681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5681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Stephen C</dc:creator>
  <cp:keywords/>
  <dc:description/>
  <cp:lastModifiedBy>White Stephen C</cp:lastModifiedBy>
  <cp:revision>58</cp:revision>
  <dcterms:created xsi:type="dcterms:W3CDTF">2023-03-10T22:06:00Z</dcterms:created>
  <dcterms:modified xsi:type="dcterms:W3CDTF">2023-03-10T22:42:00Z</dcterms:modified>
</cp:coreProperties>
</file>