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CB7" w:rsidRDefault="00B93CB7" w:rsidP="000B64C4">
      <w:pPr>
        <w:spacing w:after="0" w:line="360" w:lineRule="auto"/>
        <w:rPr>
          <w:rFonts w:ascii="Arial" w:eastAsia="Times New Roman" w:hAnsi="Arial" w:cs="Arial"/>
          <w:b/>
          <w:bCs/>
          <w:sz w:val="24"/>
          <w:szCs w:val="24"/>
        </w:rPr>
      </w:pPr>
      <w:r w:rsidRPr="00D90F5B">
        <w:rPr>
          <w:rFonts w:ascii="Arial" w:eastAsia="Times New Roman" w:hAnsi="Arial" w:cs="Arial"/>
          <w:b/>
          <w:bCs/>
          <w:sz w:val="28"/>
          <w:szCs w:val="28"/>
        </w:rPr>
        <w:t xml:space="preserve">Ballot Measure 108 </w:t>
      </w:r>
      <w:r w:rsidR="00CE3FD0" w:rsidRPr="00D90F5B">
        <w:rPr>
          <w:rFonts w:ascii="Arial" w:eastAsia="Times New Roman" w:hAnsi="Arial" w:cs="Arial"/>
          <w:b/>
          <w:bCs/>
          <w:sz w:val="28"/>
          <w:szCs w:val="28"/>
        </w:rPr>
        <w:t xml:space="preserve">County </w:t>
      </w:r>
      <w:r w:rsidRPr="00D90F5B">
        <w:rPr>
          <w:rFonts w:ascii="Arial" w:eastAsia="Times New Roman" w:hAnsi="Arial" w:cs="Arial"/>
          <w:b/>
          <w:bCs/>
          <w:sz w:val="28"/>
          <w:szCs w:val="28"/>
        </w:rPr>
        <w:t>Funding Scenarios</w:t>
      </w:r>
      <w:r w:rsidR="00A97E81">
        <w:rPr>
          <w:rFonts w:ascii="Arial" w:eastAsia="Times New Roman" w:hAnsi="Arial" w:cs="Arial"/>
          <w:b/>
          <w:bCs/>
          <w:sz w:val="24"/>
          <w:szCs w:val="24"/>
        </w:rPr>
        <w:t xml:space="preserve"> | </w:t>
      </w:r>
      <w:r w:rsidR="00A97E81" w:rsidRPr="00A97E81">
        <w:rPr>
          <w:rFonts w:ascii="Arial" w:eastAsia="Times New Roman" w:hAnsi="Arial" w:cs="Arial"/>
        </w:rPr>
        <w:t xml:space="preserve">May </w:t>
      </w:r>
      <w:r w:rsidR="00A04A91">
        <w:rPr>
          <w:rFonts w:ascii="Arial" w:eastAsia="Times New Roman" w:hAnsi="Arial" w:cs="Arial"/>
        </w:rPr>
        <w:t>18</w:t>
      </w:r>
      <w:r w:rsidR="00A97E81" w:rsidRPr="00A97E81">
        <w:rPr>
          <w:rFonts w:ascii="Arial" w:eastAsia="Times New Roman" w:hAnsi="Arial" w:cs="Arial"/>
        </w:rPr>
        <w:t>, 2022</w:t>
      </w:r>
    </w:p>
    <w:p w:rsidR="000B64C4" w:rsidRPr="000B64C4" w:rsidRDefault="000B64C4" w:rsidP="000B64C4">
      <w:pPr>
        <w:spacing w:after="0" w:line="360" w:lineRule="auto"/>
        <w:rPr>
          <w:rFonts w:ascii="Arial" w:eastAsia="Times New Roman" w:hAnsi="Arial" w:cs="Arial"/>
        </w:rPr>
      </w:pPr>
      <w:r w:rsidRPr="000B64C4">
        <w:rPr>
          <w:rFonts w:ascii="Arial" w:eastAsia="Times New Roman" w:hAnsi="Arial" w:cs="Arial"/>
        </w:rPr>
        <w:t>CLHO Prevention and Health Promotion Committee</w:t>
      </w:r>
    </w:p>
    <w:p w:rsidR="00DF1FA9" w:rsidRDefault="00DF1FA9" w:rsidP="00DF1FA9">
      <w:pPr>
        <w:spacing w:after="0" w:line="240" w:lineRule="auto"/>
        <w:rPr>
          <w:rFonts w:ascii="Arial" w:eastAsia="Times New Roman" w:hAnsi="Arial" w:cs="Arial"/>
        </w:rPr>
      </w:pPr>
      <w:r w:rsidRPr="001014B8">
        <w:rPr>
          <w:rFonts w:ascii="Arial" w:eastAsia="Times New Roman" w:hAnsi="Arial" w:cs="Arial"/>
        </w:rPr>
        <w:t> </w:t>
      </w:r>
    </w:p>
    <w:p w:rsidR="00277A9B" w:rsidRPr="00D90F5B" w:rsidRDefault="00277A9B" w:rsidP="00277A9B">
      <w:pPr>
        <w:spacing w:after="0" w:line="360" w:lineRule="auto"/>
        <w:rPr>
          <w:rFonts w:ascii="Arial" w:eastAsia="Times New Roman" w:hAnsi="Arial" w:cs="Arial"/>
          <w:b/>
          <w:bCs/>
          <w:sz w:val="24"/>
          <w:szCs w:val="24"/>
        </w:rPr>
      </w:pPr>
      <w:r w:rsidRPr="00D90F5B">
        <w:rPr>
          <w:rFonts w:ascii="Arial" w:eastAsia="Times New Roman" w:hAnsi="Arial" w:cs="Arial"/>
          <w:b/>
          <w:bCs/>
          <w:sz w:val="24"/>
          <w:szCs w:val="24"/>
        </w:rPr>
        <w:t>Background</w:t>
      </w:r>
    </w:p>
    <w:p w:rsidR="004A73D7" w:rsidRDefault="002378C9" w:rsidP="00594192">
      <w:pPr>
        <w:pStyle w:val="ListParagraph"/>
        <w:numPr>
          <w:ilvl w:val="0"/>
          <w:numId w:val="5"/>
        </w:numPr>
        <w:spacing w:before="120" w:after="120"/>
        <w:contextualSpacing w:val="0"/>
        <w:rPr>
          <w:rFonts w:ascii="Arial" w:eastAsia="Times New Roman" w:hAnsi="Arial" w:cs="Arial"/>
        </w:rPr>
      </w:pPr>
      <w:r w:rsidRPr="00867D15">
        <w:rPr>
          <w:rFonts w:ascii="Arial" w:eastAsia="Times New Roman" w:hAnsi="Arial" w:cs="Arial"/>
        </w:rPr>
        <w:t>About $14.5 million in tobacco tax revenue has not been budgeted for 2021-2023.</w:t>
      </w:r>
      <w:r w:rsidR="00867D15">
        <w:rPr>
          <w:rFonts w:ascii="Arial" w:eastAsia="Times New Roman" w:hAnsi="Arial" w:cs="Arial"/>
        </w:rPr>
        <w:t xml:space="preserve"> </w:t>
      </w:r>
    </w:p>
    <w:p w:rsidR="006C2BBD" w:rsidRDefault="004A73D7" w:rsidP="00594192">
      <w:pPr>
        <w:pStyle w:val="ListParagraph"/>
        <w:numPr>
          <w:ilvl w:val="0"/>
          <w:numId w:val="5"/>
        </w:numPr>
        <w:spacing w:before="120" w:after="120"/>
        <w:contextualSpacing w:val="0"/>
        <w:rPr>
          <w:rFonts w:ascii="Arial" w:eastAsia="Times New Roman" w:hAnsi="Arial" w:cs="Arial"/>
        </w:rPr>
      </w:pPr>
      <w:r w:rsidRPr="004A73D7">
        <w:rPr>
          <w:rFonts w:ascii="Arial" w:eastAsia="Times New Roman" w:hAnsi="Arial" w:cs="Arial"/>
        </w:rPr>
        <w:t>OHA is now working with the Conference of Local Health Officials to determine BM 108 funding allocation for LPHA’s to further strengthen equity efforts and expand capacity to work in partnership with CBOs and other tobacco prevention system partners</w:t>
      </w:r>
      <w:r w:rsidR="00DC6904">
        <w:rPr>
          <w:rFonts w:ascii="Arial" w:eastAsia="Times New Roman" w:hAnsi="Arial" w:cs="Arial"/>
        </w:rPr>
        <w:t>.</w:t>
      </w:r>
    </w:p>
    <w:p w:rsidR="00DC6904" w:rsidRPr="00B55872" w:rsidRDefault="00DC6904" w:rsidP="00594192">
      <w:pPr>
        <w:pStyle w:val="ListParagraph"/>
        <w:numPr>
          <w:ilvl w:val="0"/>
          <w:numId w:val="5"/>
        </w:numPr>
        <w:spacing w:before="120" w:after="120"/>
        <w:contextualSpacing w:val="0"/>
        <w:rPr>
          <w:rFonts w:ascii="Arial" w:eastAsia="Times New Roman" w:hAnsi="Arial" w:cs="Arial"/>
        </w:rPr>
      </w:pPr>
      <w:r w:rsidRPr="00B55872">
        <w:rPr>
          <w:rFonts w:ascii="Arial" w:eastAsia="Times New Roman" w:hAnsi="Arial" w:cs="Arial"/>
        </w:rPr>
        <w:t xml:space="preserve">The magnitude of unbudgeted funds will likely not be this high in future biennia so sustainability of </w:t>
      </w:r>
      <w:r w:rsidR="00B55872" w:rsidRPr="00B55872">
        <w:rPr>
          <w:rFonts w:ascii="Arial" w:eastAsia="Times New Roman" w:hAnsi="Arial" w:cs="Arial"/>
        </w:rPr>
        <w:t>workplan revisions</w:t>
      </w:r>
      <w:r w:rsidRPr="00B55872">
        <w:rPr>
          <w:rFonts w:ascii="Arial" w:eastAsia="Times New Roman" w:hAnsi="Arial" w:cs="Arial"/>
        </w:rPr>
        <w:t xml:space="preserve"> should be taken into consideration; however, </w:t>
      </w:r>
      <w:r w:rsidR="00B55872" w:rsidRPr="00B55872">
        <w:rPr>
          <w:rFonts w:ascii="Arial" w:eastAsia="Times New Roman" w:hAnsi="Arial" w:cs="Arial"/>
        </w:rPr>
        <w:t xml:space="preserve">activities related to </w:t>
      </w:r>
      <w:r w:rsidRPr="00B55872">
        <w:rPr>
          <w:rFonts w:ascii="Arial" w:eastAsia="Times New Roman" w:hAnsi="Arial" w:cs="Arial"/>
        </w:rPr>
        <w:t xml:space="preserve">centering equity and community partnerships </w:t>
      </w:r>
      <w:r w:rsidR="00B55872" w:rsidRPr="00B55872">
        <w:rPr>
          <w:rFonts w:ascii="Arial" w:eastAsia="Times New Roman" w:hAnsi="Arial" w:cs="Arial"/>
        </w:rPr>
        <w:t xml:space="preserve">could </w:t>
      </w:r>
      <w:r w:rsidRPr="00B55872">
        <w:rPr>
          <w:rFonts w:ascii="Arial" w:eastAsia="Times New Roman" w:hAnsi="Arial" w:cs="Arial"/>
        </w:rPr>
        <w:t>inform workplans and budget</w:t>
      </w:r>
      <w:r w:rsidR="00B55872" w:rsidRPr="00B55872">
        <w:rPr>
          <w:rFonts w:ascii="Arial" w:eastAsia="Times New Roman" w:hAnsi="Arial" w:cs="Arial"/>
        </w:rPr>
        <w:t xml:space="preserve"> requests in future biennia</w:t>
      </w:r>
      <w:r w:rsidRPr="00B55872">
        <w:rPr>
          <w:rFonts w:ascii="Arial" w:eastAsia="Times New Roman" w:hAnsi="Arial" w:cs="Arial"/>
        </w:rPr>
        <w:t>.</w:t>
      </w:r>
    </w:p>
    <w:p w:rsidR="006C2BBD" w:rsidRDefault="006C2BBD" w:rsidP="00594192">
      <w:pPr>
        <w:pStyle w:val="ListParagraph"/>
        <w:numPr>
          <w:ilvl w:val="0"/>
          <w:numId w:val="5"/>
        </w:numPr>
        <w:spacing w:before="120" w:after="120"/>
        <w:contextualSpacing w:val="0"/>
        <w:rPr>
          <w:rFonts w:ascii="Arial" w:eastAsia="Times New Roman" w:hAnsi="Arial" w:cs="Arial"/>
        </w:rPr>
      </w:pPr>
      <w:r w:rsidRPr="006C2BBD">
        <w:rPr>
          <w:rFonts w:ascii="Arial" w:eastAsia="Times New Roman" w:hAnsi="Arial" w:cs="Arial"/>
        </w:rPr>
        <w:t xml:space="preserve">OHA </w:t>
      </w:r>
      <w:r>
        <w:rPr>
          <w:rFonts w:ascii="Arial" w:eastAsia="Times New Roman" w:hAnsi="Arial" w:cs="Arial"/>
        </w:rPr>
        <w:t xml:space="preserve">must also consider </w:t>
      </w:r>
      <w:r w:rsidRPr="006C2BBD">
        <w:rPr>
          <w:rFonts w:ascii="Arial" w:eastAsia="Times New Roman" w:hAnsi="Arial" w:cs="Arial"/>
        </w:rPr>
        <w:t>what resources are needed to support statewide infrastructure</w:t>
      </w:r>
      <w:r>
        <w:rPr>
          <w:rFonts w:ascii="Arial" w:eastAsia="Times New Roman" w:hAnsi="Arial" w:cs="Arial"/>
        </w:rPr>
        <w:t xml:space="preserve"> for cessation, health communication, and data collection and evaluation</w:t>
      </w:r>
      <w:r w:rsidR="00DC6904">
        <w:rPr>
          <w:rFonts w:ascii="Arial" w:eastAsia="Times New Roman" w:hAnsi="Arial" w:cs="Arial"/>
        </w:rPr>
        <w:t xml:space="preserve">, including any </w:t>
      </w:r>
      <w:r w:rsidRPr="006C2BBD">
        <w:rPr>
          <w:rFonts w:ascii="Arial" w:eastAsia="Times New Roman" w:hAnsi="Arial" w:cs="Arial"/>
        </w:rPr>
        <w:t xml:space="preserve">emerging training and technical assistance needs from </w:t>
      </w:r>
      <w:r w:rsidR="00BE0EAF">
        <w:rPr>
          <w:rFonts w:ascii="Arial" w:eastAsia="Times New Roman" w:hAnsi="Arial" w:cs="Arial"/>
        </w:rPr>
        <w:t xml:space="preserve">LPHAs and </w:t>
      </w:r>
      <w:r w:rsidRPr="006C2BBD">
        <w:rPr>
          <w:rFonts w:ascii="Arial" w:eastAsia="Times New Roman" w:hAnsi="Arial" w:cs="Arial"/>
        </w:rPr>
        <w:t>new CBO grantees.</w:t>
      </w:r>
    </w:p>
    <w:p w:rsidR="00E136BA" w:rsidRDefault="00E136BA" w:rsidP="00E136BA">
      <w:pPr>
        <w:spacing w:after="0" w:line="240" w:lineRule="auto"/>
        <w:rPr>
          <w:rFonts w:ascii="Arial" w:eastAsia="Times New Roman" w:hAnsi="Arial" w:cs="Arial"/>
          <w:b/>
          <w:bCs/>
          <w:sz w:val="24"/>
          <w:szCs w:val="24"/>
        </w:rPr>
      </w:pPr>
    </w:p>
    <w:p w:rsidR="00DC6904" w:rsidRDefault="00DC6904" w:rsidP="00580941">
      <w:pPr>
        <w:spacing w:after="0" w:line="360" w:lineRule="auto"/>
        <w:rPr>
          <w:rFonts w:ascii="Arial" w:eastAsia="Times New Roman" w:hAnsi="Arial" w:cs="Arial"/>
          <w:b/>
          <w:bCs/>
          <w:sz w:val="24"/>
          <w:szCs w:val="24"/>
        </w:rPr>
      </w:pPr>
      <w:r>
        <w:rPr>
          <w:rFonts w:ascii="Arial" w:eastAsia="Times New Roman" w:hAnsi="Arial" w:cs="Arial"/>
          <w:b/>
          <w:bCs/>
          <w:sz w:val="24"/>
          <w:szCs w:val="24"/>
        </w:rPr>
        <w:t>Funding Framework</w:t>
      </w:r>
    </w:p>
    <w:p w:rsidR="00DC6904" w:rsidRDefault="00C21A3A" w:rsidP="00BC09FB">
      <w:pPr>
        <w:spacing w:after="360"/>
        <w:rPr>
          <w:rFonts w:ascii="Arial" w:eastAsia="Times New Roman" w:hAnsi="Arial" w:cs="Arial"/>
        </w:rPr>
      </w:pPr>
      <w:r>
        <w:rPr>
          <w:rFonts w:ascii="Arial" w:eastAsia="Times New Roman" w:hAnsi="Arial" w:cs="Arial"/>
        </w:rPr>
        <w:t xml:space="preserve">The funding framework below includes three </w:t>
      </w:r>
      <w:r w:rsidR="00826A73" w:rsidRPr="00826A73">
        <w:rPr>
          <w:rFonts w:ascii="Arial" w:eastAsia="Times New Roman" w:hAnsi="Arial" w:cs="Arial"/>
        </w:rPr>
        <w:t xml:space="preserve">high-level “activity buckets” that could be </w:t>
      </w:r>
      <w:r>
        <w:rPr>
          <w:rFonts w:ascii="Arial" w:eastAsia="Times New Roman" w:hAnsi="Arial" w:cs="Arial"/>
        </w:rPr>
        <w:t xml:space="preserve">considered </w:t>
      </w:r>
      <w:r w:rsidR="00826A73" w:rsidRPr="00826A73">
        <w:rPr>
          <w:rFonts w:ascii="Arial" w:eastAsia="Times New Roman" w:hAnsi="Arial" w:cs="Arial"/>
        </w:rPr>
        <w:t>in revised TPEP workplans</w:t>
      </w:r>
      <w:r w:rsidR="00D63D12">
        <w:rPr>
          <w:rFonts w:ascii="Arial" w:eastAsia="Times New Roman" w:hAnsi="Arial" w:cs="Arial"/>
        </w:rPr>
        <w:t>.</w:t>
      </w:r>
      <w:r w:rsidR="00D63D12" w:rsidRPr="00D63D12">
        <w:rPr>
          <w:rFonts w:ascii="Arial" w:eastAsia="Times New Roman" w:hAnsi="Arial" w:cs="Arial"/>
        </w:rPr>
        <w:t xml:space="preserve"> Counties </w:t>
      </w:r>
      <w:r w:rsidR="00D63D12">
        <w:rPr>
          <w:rFonts w:ascii="Arial" w:eastAsia="Times New Roman" w:hAnsi="Arial" w:cs="Arial"/>
        </w:rPr>
        <w:t>could</w:t>
      </w:r>
      <w:r w:rsidR="00D63D12" w:rsidRPr="00D63D12">
        <w:rPr>
          <w:rFonts w:ascii="Arial" w:eastAsia="Times New Roman" w:hAnsi="Arial" w:cs="Arial"/>
        </w:rPr>
        <w:t xml:space="preserve"> revise their current TPEP workplans to include one or more of the following activity buckets depending on capacity and readiness </w:t>
      </w:r>
      <w:r w:rsidR="00580941">
        <w:rPr>
          <w:rFonts w:ascii="Arial" w:eastAsia="Times New Roman" w:hAnsi="Arial" w:cs="Arial"/>
        </w:rPr>
        <w:t xml:space="preserve">for </w:t>
      </w:r>
      <w:r w:rsidR="00D63D12">
        <w:rPr>
          <w:rFonts w:ascii="Arial" w:eastAsia="Times New Roman" w:hAnsi="Arial" w:cs="Arial"/>
        </w:rPr>
        <w:t xml:space="preserve">new </w:t>
      </w:r>
      <w:r w:rsidR="00580941">
        <w:rPr>
          <w:rFonts w:ascii="Arial" w:eastAsia="Times New Roman" w:hAnsi="Arial" w:cs="Arial"/>
        </w:rPr>
        <w:t>and/</w:t>
      </w:r>
      <w:r w:rsidR="00D63D12">
        <w:rPr>
          <w:rFonts w:ascii="Arial" w:eastAsia="Times New Roman" w:hAnsi="Arial" w:cs="Arial"/>
        </w:rPr>
        <w:t xml:space="preserve">or enhanced </w:t>
      </w:r>
      <w:r w:rsidR="00D63D12" w:rsidRPr="00D63D12">
        <w:rPr>
          <w:rFonts w:ascii="Arial" w:eastAsia="Times New Roman" w:hAnsi="Arial" w:cs="Arial"/>
        </w:rPr>
        <w:t>health equity and community partnerships</w:t>
      </w:r>
      <w:r w:rsidR="00D63D12">
        <w:rPr>
          <w:rFonts w:ascii="Arial" w:eastAsia="Times New Roman" w:hAnsi="Arial" w:cs="Arial"/>
        </w:rPr>
        <w:t xml:space="preserve"> </w:t>
      </w:r>
      <w:r w:rsidR="00580941">
        <w:rPr>
          <w:rFonts w:ascii="Arial" w:eastAsia="Times New Roman" w:hAnsi="Arial" w:cs="Arial"/>
        </w:rPr>
        <w:t>work</w:t>
      </w:r>
      <w:r w:rsidR="00D63D12" w:rsidRPr="00D63D12">
        <w:rPr>
          <w:rFonts w:ascii="Arial" w:eastAsia="Times New Roman" w:hAnsi="Arial" w:cs="Arial"/>
        </w:rPr>
        <w:t>.</w:t>
      </w:r>
    </w:p>
    <w:p w:rsidR="00D63D12" w:rsidRDefault="00BC09FB" w:rsidP="00E136BA">
      <w:pPr>
        <w:spacing w:after="0" w:line="240" w:lineRule="auto"/>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5ADD9549" wp14:editId="7B8D0800">
            <wp:extent cx="6378872" cy="33211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475"/>
                    <a:stretch/>
                  </pic:blipFill>
                  <pic:spPr bwMode="auto">
                    <a:xfrm>
                      <a:off x="0" y="0"/>
                      <a:ext cx="6392682" cy="3328360"/>
                    </a:xfrm>
                    <a:prstGeom prst="rect">
                      <a:avLst/>
                    </a:prstGeom>
                    <a:noFill/>
                    <a:ln>
                      <a:noFill/>
                    </a:ln>
                    <a:extLst>
                      <a:ext uri="{53640926-AAD7-44D8-BBD7-CCE9431645EC}">
                        <a14:shadowObscured xmlns:a14="http://schemas.microsoft.com/office/drawing/2010/main"/>
                      </a:ext>
                    </a:extLst>
                  </pic:spPr>
                </pic:pic>
              </a:graphicData>
            </a:graphic>
          </wp:inline>
        </w:drawing>
      </w:r>
    </w:p>
    <w:p w:rsidR="00DC6904" w:rsidRDefault="00DC6904" w:rsidP="00E136BA">
      <w:pPr>
        <w:spacing w:after="0" w:line="240" w:lineRule="auto"/>
        <w:rPr>
          <w:rFonts w:ascii="Arial" w:eastAsia="Times New Roman" w:hAnsi="Arial" w:cs="Arial"/>
          <w:b/>
          <w:bCs/>
          <w:sz w:val="24"/>
          <w:szCs w:val="24"/>
        </w:rPr>
      </w:pPr>
    </w:p>
    <w:p w:rsidR="00DC6904" w:rsidRDefault="00DC6904" w:rsidP="00E136BA">
      <w:pPr>
        <w:spacing w:after="0" w:line="240" w:lineRule="auto"/>
        <w:rPr>
          <w:rFonts w:ascii="Arial" w:eastAsia="Times New Roman" w:hAnsi="Arial" w:cs="Arial"/>
          <w:b/>
          <w:bCs/>
          <w:sz w:val="24"/>
          <w:szCs w:val="24"/>
        </w:rPr>
      </w:pPr>
    </w:p>
    <w:p w:rsidR="00A97E81" w:rsidRDefault="00A97E81" w:rsidP="00E136BA">
      <w:pPr>
        <w:spacing w:after="0" w:line="240" w:lineRule="auto"/>
        <w:rPr>
          <w:rFonts w:ascii="Arial" w:eastAsia="Times New Roman" w:hAnsi="Arial" w:cs="Arial"/>
          <w:b/>
          <w:bCs/>
          <w:sz w:val="24"/>
          <w:szCs w:val="24"/>
        </w:rPr>
      </w:pPr>
    </w:p>
    <w:p w:rsidR="00BC09FB" w:rsidRDefault="00BC09FB" w:rsidP="00E136BA">
      <w:pPr>
        <w:spacing w:after="0" w:line="240" w:lineRule="auto"/>
        <w:rPr>
          <w:rFonts w:ascii="Arial" w:eastAsia="Times New Roman" w:hAnsi="Arial" w:cs="Arial"/>
          <w:b/>
          <w:bCs/>
          <w:sz w:val="24"/>
          <w:szCs w:val="24"/>
        </w:rPr>
      </w:pPr>
    </w:p>
    <w:p w:rsidR="00BC09FB" w:rsidRDefault="00BC09FB" w:rsidP="00E136BA">
      <w:pPr>
        <w:spacing w:after="0" w:line="240" w:lineRule="auto"/>
        <w:rPr>
          <w:rFonts w:ascii="Arial" w:eastAsia="Times New Roman" w:hAnsi="Arial" w:cs="Arial"/>
          <w:b/>
          <w:bCs/>
          <w:sz w:val="24"/>
          <w:szCs w:val="24"/>
        </w:rPr>
      </w:pPr>
    </w:p>
    <w:p w:rsidR="00580941" w:rsidRPr="00D90F5B" w:rsidRDefault="00580941" w:rsidP="00826A73">
      <w:pPr>
        <w:spacing w:after="0" w:line="360" w:lineRule="auto"/>
        <w:rPr>
          <w:rFonts w:ascii="Arial" w:eastAsia="Times New Roman" w:hAnsi="Arial" w:cs="Arial"/>
          <w:b/>
          <w:bCs/>
          <w:sz w:val="24"/>
          <w:szCs w:val="24"/>
        </w:rPr>
      </w:pPr>
      <w:r w:rsidRPr="00D90F5B">
        <w:rPr>
          <w:rFonts w:ascii="Arial" w:eastAsia="Times New Roman" w:hAnsi="Arial" w:cs="Arial"/>
          <w:b/>
          <w:bCs/>
          <w:sz w:val="24"/>
          <w:szCs w:val="24"/>
        </w:rPr>
        <w:t>Funding Allocation Scenarios</w:t>
      </w:r>
    </w:p>
    <w:p w:rsidR="00DC6904" w:rsidRDefault="00693649" w:rsidP="00E136BA">
      <w:pPr>
        <w:spacing w:after="0" w:line="240" w:lineRule="auto"/>
        <w:rPr>
          <w:rFonts w:ascii="Arial" w:eastAsia="Times New Roman" w:hAnsi="Arial" w:cs="Arial"/>
        </w:rPr>
      </w:pPr>
      <w:r>
        <w:rPr>
          <w:rFonts w:ascii="Arial" w:eastAsia="Times New Roman" w:hAnsi="Arial" w:cs="Arial"/>
        </w:rPr>
        <w:t>T</w:t>
      </w:r>
      <w:r w:rsidR="00A97E81">
        <w:rPr>
          <w:rFonts w:ascii="Arial" w:eastAsia="Times New Roman" w:hAnsi="Arial" w:cs="Arial"/>
        </w:rPr>
        <w:t>he following three scenarios describe how funding could be allocated to implement activities</w:t>
      </w:r>
      <w:r>
        <w:rPr>
          <w:rFonts w:ascii="Arial" w:eastAsia="Times New Roman" w:hAnsi="Arial" w:cs="Arial"/>
        </w:rPr>
        <w:t xml:space="preserve"> described in the funding framework</w:t>
      </w:r>
      <w:r w:rsidR="00A97E81">
        <w:rPr>
          <w:rFonts w:ascii="Arial" w:eastAsia="Times New Roman" w:hAnsi="Arial" w:cs="Arial"/>
        </w:rPr>
        <w:t>.</w:t>
      </w:r>
      <w:r w:rsidR="00826A73" w:rsidRPr="00826A73">
        <w:rPr>
          <w:rFonts w:ascii="Arial" w:eastAsia="Times New Roman" w:hAnsi="Arial" w:cs="Arial"/>
        </w:rPr>
        <w:t xml:space="preserve"> </w:t>
      </w:r>
      <w:r w:rsidR="00400911">
        <w:rPr>
          <w:rFonts w:ascii="Arial" w:eastAsia="Times New Roman" w:hAnsi="Arial" w:cs="Arial"/>
        </w:rPr>
        <w:t>The following consideration were taken into account in developing these scenarios</w:t>
      </w:r>
      <w:r w:rsidR="00826A73">
        <w:rPr>
          <w:rFonts w:ascii="Arial" w:eastAsia="Times New Roman" w:hAnsi="Arial" w:cs="Arial"/>
        </w:rPr>
        <w:t>: flexibility</w:t>
      </w:r>
      <w:r w:rsidR="00400911">
        <w:rPr>
          <w:rFonts w:ascii="Arial" w:eastAsia="Times New Roman" w:hAnsi="Arial" w:cs="Arial"/>
        </w:rPr>
        <w:t>,</w:t>
      </w:r>
      <w:r w:rsidR="00826A73">
        <w:rPr>
          <w:rFonts w:ascii="Arial" w:eastAsia="Times New Roman" w:hAnsi="Arial" w:cs="Arial"/>
        </w:rPr>
        <w:t xml:space="preserve"> capacity, TPEP funding tiers, CBO funding, and </w:t>
      </w:r>
      <w:r w:rsidR="00400911">
        <w:rPr>
          <w:rFonts w:ascii="Arial" w:eastAsia="Times New Roman" w:hAnsi="Arial" w:cs="Arial"/>
        </w:rPr>
        <w:t xml:space="preserve">county </w:t>
      </w:r>
      <w:r w:rsidR="00826A73">
        <w:rPr>
          <w:rFonts w:ascii="Arial" w:eastAsia="Times New Roman" w:hAnsi="Arial" w:cs="Arial"/>
        </w:rPr>
        <w:t>population</w:t>
      </w:r>
      <w:r w:rsidR="00400911">
        <w:rPr>
          <w:rFonts w:ascii="Arial" w:eastAsia="Times New Roman" w:hAnsi="Arial" w:cs="Arial"/>
        </w:rPr>
        <w:t xml:space="preserve"> demographics</w:t>
      </w:r>
      <w:r w:rsidR="00826A73">
        <w:rPr>
          <w:rFonts w:ascii="Arial" w:eastAsia="Times New Roman" w:hAnsi="Arial" w:cs="Arial"/>
        </w:rPr>
        <w:t>.</w:t>
      </w:r>
    </w:p>
    <w:p w:rsidR="00580941" w:rsidRDefault="00580941" w:rsidP="00E136BA">
      <w:pPr>
        <w:spacing w:after="0" w:line="240" w:lineRule="auto"/>
        <w:rPr>
          <w:rFonts w:ascii="Arial" w:eastAsia="Times New Roman" w:hAnsi="Arial" w:cs="Arial"/>
        </w:rPr>
      </w:pPr>
    </w:p>
    <w:p w:rsidR="00693649" w:rsidRPr="00693649" w:rsidRDefault="00580941" w:rsidP="004832D1">
      <w:pPr>
        <w:spacing w:after="0" w:line="276" w:lineRule="auto"/>
        <w:rPr>
          <w:rFonts w:ascii="Arial" w:eastAsia="Times New Roman" w:hAnsi="Arial" w:cs="Arial"/>
          <w:i/>
          <w:iCs/>
        </w:rPr>
      </w:pPr>
      <w:r w:rsidRPr="00693649">
        <w:rPr>
          <w:rFonts w:ascii="Arial" w:eastAsia="Times New Roman" w:hAnsi="Arial" w:cs="Arial"/>
          <w:b/>
          <w:bCs/>
          <w:i/>
          <w:iCs/>
        </w:rPr>
        <w:t>Scenario 1:</w:t>
      </w:r>
      <w:r w:rsidR="00826A73" w:rsidRPr="00693649">
        <w:rPr>
          <w:rFonts w:ascii="Arial" w:eastAsia="Times New Roman" w:hAnsi="Arial" w:cs="Arial"/>
          <w:b/>
          <w:bCs/>
          <w:i/>
          <w:iCs/>
        </w:rPr>
        <w:t xml:space="preserve"> </w:t>
      </w:r>
      <w:r w:rsidR="00254720">
        <w:rPr>
          <w:rFonts w:ascii="Arial" w:eastAsia="Times New Roman" w:hAnsi="Arial" w:cs="Arial"/>
          <w:b/>
          <w:bCs/>
          <w:i/>
          <w:iCs/>
        </w:rPr>
        <w:t>L</w:t>
      </w:r>
      <w:r w:rsidR="00693649" w:rsidRPr="00693649">
        <w:rPr>
          <w:rFonts w:ascii="Arial" w:eastAsia="Times New Roman" w:hAnsi="Arial" w:cs="Arial"/>
          <w:b/>
          <w:bCs/>
          <w:i/>
          <w:iCs/>
        </w:rPr>
        <w:t xml:space="preserve">ump sum </w:t>
      </w:r>
      <w:r w:rsidR="00254720">
        <w:rPr>
          <w:rFonts w:ascii="Arial" w:eastAsia="Times New Roman" w:hAnsi="Arial" w:cs="Arial"/>
          <w:b/>
          <w:bCs/>
          <w:i/>
          <w:iCs/>
        </w:rPr>
        <w:t xml:space="preserve">funding </w:t>
      </w:r>
      <w:r w:rsidR="00693649" w:rsidRPr="00693649">
        <w:rPr>
          <w:rFonts w:ascii="Arial" w:eastAsia="Times New Roman" w:hAnsi="Arial" w:cs="Arial"/>
          <w:b/>
          <w:bCs/>
          <w:i/>
          <w:iCs/>
        </w:rPr>
        <w:t xml:space="preserve">for </w:t>
      </w:r>
      <w:r w:rsidR="00693649">
        <w:rPr>
          <w:rFonts w:ascii="Arial" w:eastAsia="Times New Roman" w:hAnsi="Arial" w:cs="Arial"/>
          <w:b/>
          <w:bCs/>
          <w:i/>
          <w:iCs/>
        </w:rPr>
        <w:t xml:space="preserve">each </w:t>
      </w:r>
      <w:r w:rsidR="00693649" w:rsidRPr="00693649">
        <w:rPr>
          <w:rFonts w:ascii="Arial" w:eastAsia="Times New Roman" w:hAnsi="Arial" w:cs="Arial"/>
          <w:b/>
          <w:bCs/>
          <w:i/>
          <w:iCs/>
        </w:rPr>
        <w:t>activity bucket</w:t>
      </w:r>
    </w:p>
    <w:p w:rsidR="00693649" w:rsidRDefault="00693649" w:rsidP="00E136BA">
      <w:pPr>
        <w:spacing w:after="0" w:line="240" w:lineRule="auto"/>
        <w:rPr>
          <w:rFonts w:ascii="Arial" w:eastAsia="Times New Roman" w:hAnsi="Arial" w:cs="Arial"/>
        </w:rPr>
      </w:pPr>
      <w:r>
        <w:rPr>
          <w:rFonts w:ascii="Arial" w:eastAsia="Times New Roman" w:hAnsi="Arial" w:cs="Arial"/>
        </w:rPr>
        <w:t>This scenario would offer a lump sum of funding for each activity bucket</w:t>
      </w:r>
      <w:r w:rsidR="00873E8E">
        <w:rPr>
          <w:rFonts w:ascii="Arial" w:eastAsia="Times New Roman" w:hAnsi="Arial" w:cs="Arial"/>
        </w:rPr>
        <w:t xml:space="preserve">: </w:t>
      </w:r>
      <w:r w:rsidRPr="00132C84">
        <w:rPr>
          <w:rFonts w:ascii="Arial" w:eastAsia="Times New Roman" w:hAnsi="Arial" w:cs="Arial"/>
          <w:b/>
          <w:bCs/>
        </w:rPr>
        <w:t>$50,000</w:t>
      </w:r>
      <w:r>
        <w:rPr>
          <w:rFonts w:ascii="Arial" w:eastAsia="Times New Roman" w:hAnsi="Arial" w:cs="Arial"/>
        </w:rPr>
        <w:t xml:space="preserve"> for internal capacity building, </w:t>
      </w:r>
      <w:r w:rsidRPr="00132C84">
        <w:rPr>
          <w:rFonts w:ascii="Arial" w:eastAsia="Times New Roman" w:hAnsi="Arial" w:cs="Arial"/>
          <w:b/>
          <w:bCs/>
        </w:rPr>
        <w:t>$100,000</w:t>
      </w:r>
      <w:r>
        <w:rPr>
          <w:rFonts w:ascii="Arial" w:eastAsia="Times New Roman" w:hAnsi="Arial" w:cs="Arial"/>
        </w:rPr>
        <w:t xml:space="preserve"> for external assessment and relationship building and </w:t>
      </w:r>
      <w:r w:rsidRPr="00132C84">
        <w:rPr>
          <w:rFonts w:ascii="Arial" w:eastAsia="Times New Roman" w:hAnsi="Arial" w:cs="Arial"/>
          <w:b/>
          <w:bCs/>
        </w:rPr>
        <w:t>$200,000</w:t>
      </w:r>
      <w:r>
        <w:rPr>
          <w:rFonts w:ascii="Arial" w:eastAsia="Times New Roman" w:hAnsi="Arial" w:cs="Arial"/>
        </w:rPr>
        <w:t xml:space="preserve"> for shared intervention implementation. Loosely</w:t>
      </w:r>
      <w:r w:rsidR="002F3D21">
        <w:rPr>
          <w:rFonts w:ascii="Arial" w:eastAsia="Times New Roman" w:hAnsi="Arial" w:cs="Arial"/>
        </w:rPr>
        <w:t>,</w:t>
      </w:r>
      <w:r>
        <w:rPr>
          <w:rFonts w:ascii="Arial" w:eastAsia="Times New Roman" w:hAnsi="Arial" w:cs="Arial"/>
        </w:rPr>
        <w:t xml:space="preserve"> these funding amounts could equate to a partial, half</w:t>
      </w:r>
      <w:r w:rsidR="0034652D">
        <w:rPr>
          <w:rFonts w:ascii="Arial" w:eastAsia="Times New Roman" w:hAnsi="Arial" w:cs="Arial"/>
        </w:rPr>
        <w:t>,</w:t>
      </w:r>
      <w:r>
        <w:rPr>
          <w:rFonts w:ascii="Arial" w:eastAsia="Times New Roman" w:hAnsi="Arial" w:cs="Arial"/>
        </w:rPr>
        <w:t xml:space="preserve"> </w:t>
      </w:r>
      <w:r w:rsidR="002F3D21">
        <w:rPr>
          <w:rFonts w:ascii="Arial" w:eastAsia="Times New Roman" w:hAnsi="Arial" w:cs="Arial"/>
        </w:rPr>
        <w:t xml:space="preserve">or full </w:t>
      </w:r>
      <w:r>
        <w:rPr>
          <w:rFonts w:ascii="Arial" w:eastAsia="Times New Roman" w:hAnsi="Arial" w:cs="Arial"/>
        </w:rPr>
        <w:t xml:space="preserve">FTE </w:t>
      </w:r>
      <w:r w:rsidR="002F3D21">
        <w:rPr>
          <w:rFonts w:ascii="Arial" w:eastAsia="Times New Roman" w:hAnsi="Arial" w:cs="Arial"/>
        </w:rPr>
        <w:t>to support activities</w:t>
      </w:r>
      <w:r>
        <w:rPr>
          <w:rFonts w:ascii="Arial" w:eastAsia="Times New Roman" w:hAnsi="Arial" w:cs="Arial"/>
        </w:rPr>
        <w:t xml:space="preserve">. </w:t>
      </w:r>
      <w:r w:rsidR="00E72EFF">
        <w:rPr>
          <w:rFonts w:ascii="Arial" w:eastAsia="Times New Roman" w:hAnsi="Arial" w:cs="Arial"/>
        </w:rPr>
        <w:t xml:space="preserve">Movement between these activity buckets can be </w:t>
      </w:r>
      <w:r w:rsidR="00E91F0E">
        <w:rPr>
          <w:rFonts w:ascii="Arial" w:eastAsia="Times New Roman" w:hAnsi="Arial" w:cs="Arial"/>
        </w:rPr>
        <w:t>flexible and dependent on evolving capacity and readiness.</w:t>
      </w:r>
      <w:r w:rsidR="009724FF">
        <w:rPr>
          <w:rFonts w:ascii="Arial" w:eastAsia="Times New Roman" w:hAnsi="Arial" w:cs="Arial"/>
        </w:rPr>
        <w:t xml:space="preserve"> In addition, a funding range could be considered for each activity bucket.</w:t>
      </w:r>
      <w:r w:rsidR="0034652D">
        <w:rPr>
          <w:rFonts w:ascii="Arial" w:eastAsia="Times New Roman" w:hAnsi="Arial" w:cs="Arial"/>
        </w:rPr>
        <w:t xml:space="preserve"> </w:t>
      </w:r>
      <w:r w:rsidR="00826A73">
        <w:rPr>
          <w:rFonts w:ascii="Arial" w:eastAsia="Times New Roman" w:hAnsi="Arial" w:cs="Arial"/>
        </w:rPr>
        <w:t>Funding for statewide infrastructure would be considered in relation to the total funding request.</w:t>
      </w:r>
    </w:p>
    <w:p w:rsidR="00580941" w:rsidRDefault="00580941" w:rsidP="00E136BA">
      <w:pPr>
        <w:spacing w:after="0" w:line="240" w:lineRule="auto"/>
        <w:rPr>
          <w:rFonts w:ascii="Arial" w:eastAsia="Times New Roman" w:hAnsi="Arial" w:cs="Arial"/>
        </w:rPr>
      </w:pPr>
    </w:p>
    <w:p w:rsidR="00580941" w:rsidRPr="00693649" w:rsidRDefault="00580941" w:rsidP="004832D1">
      <w:pPr>
        <w:spacing w:after="0" w:line="276" w:lineRule="auto"/>
        <w:rPr>
          <w:rFonts w:ascii="Arial" w:eastAsia="Times New Roman" w:hAnsi="Arial" w:cs="Arial"/>
          <w:b/>
          <w:bCs/>
          <w:i/>
          <w:iCs/>
        </w:rPr>
      </w:pPr>
      <w:r w:rsidRPr="00693649">
        <w:rPr>
          <w:rFonts w:ascii="Arial" w:eastAsia="Times New Roman" w:hAnsi="Arial" w:cs="Arial"/>
          <w:b/>
          <w:bCs/>
          <w:i/>
          <w:iCs/>
        </w:rPr>
        <w:t>Scenario 2:</w:t>
      </w:r>
      <w:r w:rsidR="00826A73" w:rsidRPr="00693649">
        <w:rPr>
          <w:rFonts w:ascii="Arial" w:eastAsia="Times New Roman" w:hAnsi="Arial" w:cs="Arial"/>
          <w:b/>
          <w:bCs/>
          <w:i/>
          <w:iCs/>
        </w:rPr>
        <w:t xml:space="preserve"> </w:t>
      </w:r>
      <w:r w:rsidR="00693649" w:rsidRPr="00693649">
        <w:rPr>
          <w:rFonts w:ascii="Arial" w:eastAsia="Times New Roman" w:hAnsi="Arial" w:cs="Arial"/>
          <w:b/>
          <w:bCs/>
          <w:i/>
          <w:iCs/>
        </w:rPr>
        <w:t>TPEP tiered funding</w:t>
      </w:r>
    </w:p>
    <w:p w:rsidR="00580941" w:rsidRDefault="002F3D21" w:rsidP="00E136BA">
      <w:pPr>
        <w:spacing w:after="0" w:line="240" w:lineRule="auto"/>
        <w:rPr>
          <w:rFonts w:ascii="Arial" w:eastAsia="Times New Roman" w:hAnsi="Arial" w:cs="Arial"/>
        </w:rPr>
      </w:pPr>
      <w:r w:rsidRPr="001222E9">
        <w:rPr>
          <w:rFonts w:ascii="Arial" w:eastAsia="Times New Roman" w:hAnsi="Arial" w:cs="Arial"/>
        </w:rPr>
        <w:t>The current TPEP Tiered funding formula could be used to allocate unbudgeted funds</w:t>
      </w:r>
      <w:r w:rsidR="001222E9" w:rsidRPr="001222E9">
        <w:rPr>
          <w:rFonts w:ascii="Arial" w:eastAsia="Times New Roman" w:hAnsi="Arial" w:cs="Arial"/>
        </w:rPr>
        <w:t>. Tiered funding amounts are based on the tier counties opted into and the range of funding that could be requested under each tier.</w:t>
      </w:r>
      <w:r w:rsidR="001222E9">
        <w:rPr>
          <w:rFonts w:ascii="Arial" w:eastAsia="Times New Roman" w:hAnsi="Arial" w:cs="Arial"/>
        </w:rPr>
        <w:t xml:space="preserve"> Under this scenario, unbudgeted funds would be allocated to each county at the same proportion as Measure 44 funding. For example, </w:t>
      </w:r>
      <w:r w:rsidR="000F75F7">
        <w:rPr>
          <w:rFonts w:ascii="Arial" w:eastAsia="Times New Roman" w:hAnsi="Arial" w:cs="Arial"/>
        </w:rPr>
        <w:t xml:space="preserve">Benton </w:t>
      </w:r>
      <w:r w:rsidR="001222E9">
        <w:rPr>
          <w:rFonts w:ascii="Arial" w:eastAsia="Times New Roman" w:hAnsi="Arial" w:cs="Arial"/>
        </w:rPr>
        <w:t xml:space="preserve">County received </w:t>
      </w:r>
      <w:r w:rsidR="000F75F7">
        <w:rPr>
          <w:rFonts w:ascii="Arial" w:eastAsia="Times New Roman" w:hAnsi="Arial" w:cs="Arial"/>
        </w:rPr>
        <w:t>3.9</w:t>
      </w:r>
      <w:r w:rsidR="001222E9">
        <w:rPr>
          <w:rFonts w:ascii="Arial" w:eastAsia="Times New Roman" w:hAnsi="Arial" w:cs="Arial"/>
        </w:rPr>
        <w:t xml:space="preserve">% of </w:t>
      </w:r>
      <w:r w:rsidR="004832D1">
        <w:rPr>
          <w:rFonts w:ascii="Arial" w:eastAsia="Times New Roman" w:hAnsi="Arial" w:cs="Arial"/>
        </w:rPr>
        <w:t xml:space="preserve">total </w:t>
      </w:r>
      <w:r w:rsidR="001222E9">
        <w:rPr>
          <w:rFonts w:ascii="Arial" w:eastAsia="Times New Roman" w:hAnsi="Arial" w:cs="Arial"/>
        </w:rPr>
        <w:t>Measure 44 dollars allocated to counties, so would receive the same proportion of total Ballot Measure 108 dollars allocated to counties.</w:t>
      </w:r>
      <w:r w:rsidR="00B91AF2">
        <w:rPr>
          <w:rFonts w:ascii="Arial" w:eastAsia="Times New Roman" w:hAnsi="Arial" w:cs="Arial"/>
        </w:rPr>
        <w:t xml:space="preserve"> </w:t>
      </w:r>
      <w:r w:rsidR="00B91AF2" w:rsidRPr="00B91AF2">
        <w:rPr>
          <w:rFonts w:ascii="Arial" w:eastAsia="Times New Roman" w:hAnsi="Arial" w:cs="Arial"/>
          <w:b/>
          <w:bCs/>
        </w:rPr>
        <w:t>Table 1</w:t>
      </w:r>
      <w:r w:rsidR="00B91AF2">
        <w:rPr>
          <w:rFonts w:ascii="Arial" w:eastAsia="Times New Roman" w:hAnsi="Arial" w:cs="Arial"/>
        </w:rPr>
        <w:t xml:space="preserve"> below shows county allocations under this scenario</w:t>
      </w:r>
      <w:r w:rsidR="00897A60" w:rsidRPr="00897A60">
        <w:rPr>
          <w:rFonts w:ascii="Arial" w:eastAsia="Times New Roman" w:hAnsi="Arial" w:cs="Arial"/>
        </w:rPr>
        <w:t xml:space="preserve"> at total funding levels of $7 million </w:t>
      </w:r>
      <w:r w:rsidR="00897A60">
        <w:rPr>
          <w:rFonts w:ascii="Arial" w:eastAsia="Times New Roman" w:hAnsi="Arial" w:cs="Arial"/>
        </w:rPr>
        <w:t>(</w:t>
      </w:r>
      <w:r w:rsidR="00897A60" w:rsidRPr="00897A60">
        <w:rPr>
          <w:rFonts w:ascii="Arial" w:eastAsia="Times New Roman" w:hAnsi="Arial" w:cs="Arial"/>
        </w:rPr>
        <w:t>CDC recommend</w:t>
      </w:r>
      <w:r w:rsidR="00897A60">
        <w:rPr>
          <w:rFonts w:ascii="Arial" w:eastAsia="Times New Roman" w:hAnsi="Arial" w:cs="Arial"/>
        </w:rPr>
        <w:t xml:space="preserve">ed allocation) </w:t>
      </w:r>
      <w:r w:rsidR="00897A60" w:rsidRPr="00897A60">
        <w:rPr>
          <w:rFonts w:ascii="Arial" w:eastAsia="Times New Roman" w:hAnsi="Arial" w:cs="Arial"/>
        </w:rPr>
        <w:t>and $10 million</w:t>
      </w:r>
      <w:r w:rsidR="00897A60">
        <w:rPr>
          <w:rFonts w:ascii="Arial" w:eastAsia="Times New Roman" w:hAnsi="Arial" w:cs="Arial"/>
        </w:rPr>
        <w:t xml:space="preserve"> (</w:t>
      </w:r>
      <w:r w:rsidR="00A853F8">
        <w:rPr>
          <w:rFonts w:ascii="Arial" w:eastAsia="Times New Roman" w:hAnsi="Arial" w:cs="Arial"/>
        </w:rPr>
        <w:t xml:space="preserve">amount </w:t>
      </w:r>
      <w:r w:rsidR="00820E31">
        <w:rPr>
          <w:rFonts w:ascii="Arial" w:eastAsia="Times New Roman" w:hAnsi="Arial" w:cs="Arial"/>
        </w:rPr>
        <w:t xml:space="preserve">requested in </w:t>
      </w:r>
      <w:r w:rsidR="00A853F8">
        <w:rPr>
          <w:rFonts w:ascii="Arial" w:eastAsia="Times New Roman" w:hAnsi="Arial" w:cs="Arial"/>
        </w:rPr>
        <w:t>CLHO</w:t>
      </w:r>
      <w:r w:rsidR="00820E31">
        <w:rPr>
          <w:rFonts w:ascii="Arial" w:eastAsia="Times New Roman" w:hAnsi="Arial" w:cs="Arial"/>
        </w:rPr>
        <w:t xml:space="preserve"> letter</w:t>
      </w:r>
      <w:r w:rsidR="00897A60">
        <w:rPr>
          <w:rFonts w:ascii="Arial" w:eastAsia="Times New Roman" w:hAnsi="Arial" w:cs="Arial"/>
        </w:rPr>
        <w:t>).</w:t>
      </w:r>
    </w:p>
    <w:p w:rsidR="00693649" w:rsidRDefault="00693649" w:rsidP="00E136BA">
      <w:pPr>
        <w:spacing w:after="0" w:line="240" w:lineRule="auto"/>
        <w:rPr>
          <w:rFonts w:ascii="Arial" w:eastAsia="Times New Roman" w:hAnsi="Arial" w:cs="Arial"/>
        </w:rPr>
      </w:pPr>
    </w:p>
    <w:p w:rsidR="00580941" w:rsidRPr="00693649" w:rsidRDefault="00580941" w:rsidP="004832D1">
      <w:pPr>
        <w:spacing w:after="0" w:line="276" w:lineRule="auto"/>
        <w:rPr>
          <w:rFonts w:ascii="Arial" w:eastAsia="Times New Roman" w:hAnsi="Arial" w:cs="Arial"/>
          <w:b/>
          <w:bCs/>
          <w:i/>
          <w:iCs/>
        </w:rPr>
      </w:pPr>
      <w:r w:rsidRPr="00693649">
        <w:rPr>
          <w:rFonts w:ascii="Arial" w:eastAsia="Times New Roman" w:hAnsi="Arial" w:cs="Arial"/>
          <w:b/>
          <w:bCs/>
          <w:i/>
          <w:iCs/>
        </w:rPr>
        <w:t>Scenario 3:</w:t>
      </w:r>
      <w:r w:rsidR="00693649" w:rsidRPr="00693649">
        <w:rPr>
          <w:rFonts w:ascii="Arial" w:eastAsia="Times New Roman" w:hAnsi="Arial" w:cs="Arial"/>
          <w:b/>
          <w:bCs/>
          <w:i/>
          <w:iCs/>
        </w:rPr>
        <w:t xml:space="preserve"> Public Health Modernization funding formula</w:t>
      </w:r>
    </w:p>
    <w:p w:rsidR="00DC6904" w:rsidRDefault="002F3D21" w:rsidP="00E136BA">
      <w:pPr>
        <w:spacing w:after="0" w:line="240" w:lineRule="auto"/>
        <w:rPr>
          <w:rFonts w:ascii="Arial" w:eastAsia="Times New Roman" w:hAnsi="Arial" w:cs="Arial"/>
        </w:rPr>
      </w:pPr>
      <w:r w:rsidRPr="001014B8">
        <w:rPr>
          <w:rFonts w:ascii="Arial" w:eastAsia="Times New Roman" w:hAnsi="Arial" w:cs="Arial"/>
        </w:rPr>
        <w:t xml:space="preserve">The Public Health Modernization funding formula </w:t>
      </w:r>
      <w:r>
        <w:rPr>
          <w:rFonts w:ascii="Arial" w:eastAsia="Times New Roman" w:hAnsi="Arial" w:cs="Arial"/>
        </w:rPr>
        <w:t xml:space="preserve">could be used to allocate unbudgeted funds. The funding formula </w:t>
      </w:r>
      <w:r w:rsidRPr="001014B8">
        <w:rPr>
          <w:rFonts w:ascii="Arial" w:eastAsia="Times New Roman" w:hAnsi="Arial" w:cs="Arial"/>
        </w:rPr>
        <w:t>considers the following population characteristics for county allocations: population size, premature death, quality of life, race and ethnicity, poverty, rurality, educational attainment, and limited English language proficiency.</w:t>
      </w:r>
      <w:r w:rsidR="00D90F5B">
        <w:rPr>
          <w:rFonts w:ascii="Arial" w:eastAsia="Times New Roman" w:hAnsi="Arial" w:cs="Arial"/>
        </w:rPr>
        <w:t xml:space="preserve"> </w:t>
      </w:r>
      <w:r w:rsidR="00B91AF2" w:rsidRPr="00B91AF2">
        <w:rPr>
          <w:rFonts w:ascii="Arial" w:eastAsia="Times New Roman" w:hAnsi="Arial" w:cs="Arial"/>
          <w:b/>
          <w:bCs/>
        </w:rPr>
        <w:t xml:space="preserve">Table </w:t>
      </w:r>
      <w:r w:rsidR="00B91AF2">
        <w:rPr>
          <w:rFonts w:ascii="Arial" w:eastAsia="Times New Roman" w:hAnsi="Arial" w:cs="Arial"/>
          <w:b/>
          <w:bCs/>
        </w:rPr>
        <w:t>2</w:t>
      </w:r>
      <w:r w:rsidR="00B91AF2">
        <w:rPr>
          <w:rFonts w:ascii="Arial" w:eastAsia="Times New Roman" w:hAnsi="Arial" w:cs="Arial"/>
        </w:rPr>
        <w:t xml:space="preserve"> below shows county allocations under this scenario.</w:t>
      </w:r>
    </w:p>
    <w:p w:rsidR="00AE2561" w:rsidRDefault="00AE2561" w:rsidP="00E136BA">
      <w:pPr>
        <w:spacing w:after="0" w:line="240" w:lineRule="auto"/>
        <w:rPr>
          <w:rFonts w:ascii="Arial" w:eastAsia="Times New Roman" w:hAnsi="Arial" w:cs="Arial"/>
        </w:rPr>
      </w:pPr>
    </w:p>
    <w:p w:rsidR="00AE2561" w:rsidRDefault="00AE2561" w:rsidP="00E136BA">
      <w:pPr>
        <w:spacing w:after="0" w:line="240" w:lineRule="auto"/>
        <w:rPr>
          <w:rFonts w:ascii="Arial" w:eastAsia="Times New Roman" w:hAnsi="Arial" w:cs="Arial"/>
          <w:b/>
          <w:bCs/>
          <w:i/>
          <w:iCs/>
        </w:rPr>
      </w:pPr>
      <w:r w:rsidRPr="00AE2561">
        <w:rPr>
          <w:rFonts w:ascii="Arial" w:eastAsia="Times New Roman" w:hAnsi="Arial" w:cs="Arial"/>
          <w:b/>
          <w:bCs/>
          <w:i/>
          <w:iCs/>
        </w:rPr>
        <w:t xml:space="preserve">Scenario 4: </w:t>
      </w:r>
      <w:r w:rsidR="00A13DBB">
        <w:rPr>
          <w:rFonts w:ascii="Arial" w:eastAsia="Times New Roman" w:hAnsi="Arial" w:cs="Arial"/>
          <w:b/>
          <w:bCs/>
          <w:i/>
          <w:iCs/>
        </w:rPr>
        <w:t>Geographic parity</w:t>
      </w:r>
      <w:r w:rsidR="000072D8">
        <w:rPr>
          <w:rFonts w:ascii="Arial" w:eastAsia="Times New Roman" w:hAnsi="Arial" w:cs="Arial"/>
          <w:b/>
          <w:bCs/>
          <w:i/>
          <w:iCs/>
        </w:rPr>
        <w:t xml:space="preserve"> of CBO funding</w:t>
      </w:r>
    </w:p>
    <w:p w:rsidR="00806BFF" w:rsidRDefault="00BC4D67" w:rsidP="00E136BA">
      <w:pPr>
        <w:spacing w:after="0" w:line="240" w:lineRule="auto"/>
        <w:rPr>
          <w:rFonts w:ascii="Arial" w:eastAsia="Times New Roman" w:hAnsi="Arial" w:cs="Arial"/>
        </w:rPr>
      </w:pPr>
      <w:r>
        <w:rPr>
          <w:rFonts w:ascii="Arial" w:eastAsia="Times New Roman" w:hAnsi="Arial" w:cs="Arial"/>
        </w:rPr>
        <w:t xml:space="preserve">This scenario would base allocations on the </w:t>
      </w:r>
      <w:r w:rsidR="00F4273C">
        <w:rPr>
          <w:rFonts w:ascii="Arial" w:eastAsia="Times New Roman" w:hAnsi="Arial" w:cs="Arial"/>
        </w:rPr>
        <w:t xml:space="preserve">funding needed to bring each county to the same average per capita spending based on </w:t>
      </w:r>
      <w:r w:rsidR="001464CB">
        <w:rPr>
          <w:rFonts w:ascii="Arial" w:eastAsia="Times New Roman" w:hAnsi="Arial" w:cs="Arial"/>
        </w:rPr>
        <w:t xml:space="preserve">CBO funding in each county. </w:t>
      </w:r>
      <w:r w:rsidR="00FE0048">
        <w:rPr>
          <w:rFonts w:ascii="Arial" w:eastAsia="Times New Roman" w:hAnsi="Arial" w:cs="Arial"/>
        </w:rPr>
        <w:t xml:space="preserve">In this scenario, </w:t>
      </w:r>
      <w:r w:rsidR="004C34E4">
        <w:rPr>
          <w:rFonts w:ascii="Arial" w:eastAsia="Times New Roman" w:hAnsi="Arial" w:cs="Arial"/>
        </w:rPr>
        <w:t xml:space="preserve">average per capita </w:t>
      </w:r>
      <w:r w:rsidR="006C0DF8">
        <w:rPr>
          <w:rFonts w:ascii="Arial" w:eastAsia="Times New Roman" w:hAnsi="Arial" w:cs="Arial"/>
        </w:rPr>
        <w:t xml:space="preserve">funding </w:t>
      </w:r>
      <w:r w:rsidR="004C34E4">
        <w:rPr>
          <w:rFonts w:ascii="Arial" w:eastAsia="Times New Roman" w:hAnsi="Arial" w:cs="Arial"/>
        </w:rPr>
        <w:t xml:space="preserve">was calculated for each county based on the “counties served” </w:t>
      </w:r>
      <w:r w:rsidR="00BA67BF">
        <w:rPr>
          <w:rFonts w:ascii="Arial" w:eastAsia="Times New Roman" w:hAnsi="Arial" w:cs="Arial"/>
        </w:rPr>
        <w:t>indicated by CBOs receiving</w:t>
      </w:r>
      <w:r w:rsidR="006C0DF8">
        <w:rPr>
          <w:rFonts w:ascii="Arial" w:eastAsia="Times New Roman" w:hAnsi="Arial" w:cs="Arial"/>
        </w:rPr>
        <w:t xml:space="preserve"> </w:t>
      </w:r>
      <w:r w:rsidR="00BA67BF">
        <w:rPr>
          <w:rFonts w:ascii="Arial" w:eastAsia="Times New Roman" w:hAnsi="Arial" w:cs="Arial"/>
        </w:rPr>
        <w:t>commercial tobacco prevention grant</w:t>
      </w:r>
      <w:r w:rsidR="006C0DF8">
        <w:rPr>
          <w:rFonts w:ascii="Arial" w:eastAsia="Times New Roman" w:hAnsi="Arial" w:cs="Arial"/>
        </w:rPr>
        <w:t>s</w:t>
      </w:r>
      <w:r w:rsidR="00BA67BF">
        <w:rPr>
          <w:rFonts w:ascii="Arial" w:eastAsia="Times New Roman" w:hAnsi="Arial" w:cs="Arial"/>
        </w:rPr>
        <w:t xml:space="preserve">. Then </w:t>
      </w:r>
      <w:r w:rsidR="00045DE8">
        <w:rPr>
          <w:rFonts w:ascii="Arial" w:eastAsia="Times New Roman" w:hAnsi="Arial" w:cs="Arial"/>
        </w:rPr>
        <w:t xml:space="preserve">the </w:t>
      </w:r>
      <w:r w:rsidR="00BA67BF">
        <w:rPr>
          <w:rFonts w:ascii="Arial" w:eastAsia="Times New Roman" w:hAnsi="Arial" w:cs="Arial"/>
        </w:rPr>
        <w:t xml:space="preserve">“additional funding” required for each county to </w:t>
      </w:r>
      <w:r w:rsidR="006C0DF8">
        <w:rPr>
          <w:rFonts w:ascii="Arial" w:eastAsia="Times New Roman" w:hAnsi="Arial" w:cs="Arial"/>
        </w:rPr>
        <w:t xml:space="preserve">achieve a per capita funding equal </w:t>
      </w:r>
      <w:r w:rsidR="00045DE8">
        <w:rPr>
          <w:rFonts w:ascii="Arial" w:eastAsia="Times New Roman" w:hAnsi="Arial" w:cs="Arial"/>
        </w:rPr>
        <w:t xml:space="preserve">to the average ($4.44) was calculated. </w:t>
      </w:r>
      <w:r w:rsidR="001532E6">
        <w:rPr>
          <w:rFonts w:ascii="Arial" w:eastAsia="Times New Roman" w:hAnsi="Arial" w:cs="Arial"/>
        </w:rPr>
        <w:t>Under this scenario, counties with funding to CBOs at or above the average would not receiving additional funding.</w:t>
      </w:r>
      <w:r w:rsidR="00E87CA9">
        <w:rPr>
          <w:rFonts w:ascii="Arial" w:eastAsia="Times New Roman" w:hAnsi="Arial" w:cs="Arial"/>
        </w:rPr>
        <w:t xml:space="preserve"> </w:t>
      </w:r>
      <w:r w:rsidR="00E87CA9" w:rsidRPr="00E87CA9">
        <w:rPr>
          <w:rFonts w:ascii="Arial" w:eastAsia="Times New Roman" w:hAnsi="Arial" w:cs="Arial"/>
        </w:rPr>
        <w:t xml:space="preserve">This scenario would not provide additional funding to counties at or above the average per capita funding awarded to CBOs. This </w:t>
      </w:r>
      <w:r w:rsidR="004D2852">
        <w:rPr>
          <w:rFonts w:ascii="Arial" w:eastAsia="Times New Roman" w:hAnsi="Arial" w:cs="Arial"/>
        </w:rPr>
        <w:t xml:space="preserve">may </w:t>
      </w:r>
      <w:r w:rsidR="00E87CA9" w:rsidRPr="00E87CA9">
        <w:rPr>
          <w:rFonts w:ascii="Arial" w:eastAsia="Times New Roman" w:hAnsi="Arial" w:cs="Arial"/>
        </w:rPr>
        <w:t>conflict with the concept that both counties with and without funded CBOs require funding to support partnership development and shared work</w:t>
      </w:r>
      <w:r w:rsidR="00E87CA9">
        <w:rPr>
          <w:rFonts w:ascii="Arial" w:eastAsia="Times New Roman" w:hAnsi="Arial" w:cs="Arial"/>
        </w:rPr>
        <w:t>.</w:t>
      </w:r>
      <w:r w:rsidR="00E87CA9" w:rsidRPr="00E87CA9">
        <w:rPr>
          <w:rFonts w:ascii="Arial" w:eastAsia="Times New Roman" w:hAnsi="Arial" w:cs="Arial"/>
        </w:rPr>
        <w:t xml:space="preserve"> </w:t>
      </w:r>
      <w:r w:rsidR="001464CB" w:rsidRPr="001532E6">
        <w:rPr>
          <w:rFonts w:ascii="Arial" w:eastAsia="Times New Roman" w:hAnsi="Arial" w:cs="Arial"/>
          <w:b/>
          <w:bCs/>
        </w:rPr>
        <w:t>Table 3</w:t>
      </w:r>
      <w:r w:rsidR="001464CB">
        <w:rPr>
          <w:rFonts w:ascii="Arial" w:eastAsia="Times New Roman" w:hAnsi="Arial" w:cs="Arial"/>
        </w:rPr>
        <w:t xml:space="preserve"> below </w:t>
      </w:r>
      <w:r w:rsidR="00045DE8">
        <w:rPr>
          <w:rFonts w:ascii="Arial" w:eastAsia="Times New Roman" w:hAnsi="Arial" w:cs="Arial"/>
        </w:rPr>
        <w:t xml:space="preserve">shows the funding allocations to each county based on this scenario that prioritizes equal per capital spending based on </w:t>
      </w:r>
      <w:r w:rsidR="00806BFF">
        <w:rPr>
          <w:rFonts w:ascii="Arial" w:eastAsia="Times New Roman" w:hAnsi="Arial" w:cs="Arial"/>
        </w:rPr>
        <w:t>CBO grant awards in each county.</w:t>
      </w:r>
    </w:p>
    <w:p w:rsidR="00A04A91" w:rsidRDefault="00A04A91" w:rsidP="00E136BA">
      <w:pPr>
        <w:spacing w:after="0" w:line="240" w:lineRule="auto"/>
        <w:rPr>
          <w:rFonts w:ascii="Arial" w:eastAsia="Times New Roman" w:hAnsi="Arial" w:cs="Arial"/>
        </w:rPr>
      </w:pPr>
    </w:p>
    <w:p w:rsidR="00A04A91" w:rsidRDefault="00A04A91" w:rsidP="00A04A91">
      <w:pPr>
        <w:spacing w:after="0" w:line="240" w:lineRule="auto"/>
        <w:rPr>
          <w:rFonts w:ascii="Arial" w:eastAsia="Times New Roman" w:hAnsi="Arial" w:cs="Arial"/>
          <w:b/>
          <w:bCs/>
          <w:i/>
          <w:iCs/>
        </w:rPr>
      </w:pPr>
      <w:r w:rsidRPr="000072D8">
        <w:rPr>
          <w:rFonts w:ascii="Arial" w:eastAsia="Times New Roman" w:hAnsi="Arial" w:cs="Arial"/>
          <w:b/>
          <w:bCs/>
          <w:i/>
          <w:iCs/>
          <w:highlight w:val="cyan"/>
        </w:rPr>
        <w:t>[NEW]</w:t>
      </w:r>
      <w:r>
        <w:rPr>
          <w:rFonts w:ascii="Arial" w:eastAsia="Times New Roman" w:hAnsi="Arial" w:cs="Arial"/>
          <w:b/>
          <w:bCs/>
          <w:i/>
          <w:iCs/>
        </w:rPr>
        <w:t xml:space="preserve"> </w:t>
      </w:r>
      <w:r w:rsidRPr="00AE2561">
        <w:rPr>
          <w:rFonts w:ascii="Arial" w:eastAsia="Times New Roman" w:hAnsi="Arial" w:cs="Arial"/>
          <w:b/>
          <w:bCs/>
          <w:i/>
          <w:iCs/>
        </w:rPr>
        <w:t xml:space="preserve">Scenario </w:t>
      </w:r>
      <w:r>
        <w:rPr>
          <w:rFonts w:ascii="Arial" w:eastAsia="Times New Roman" w:hAnsi="Arial" w:cs="Arial"/>
          <w:b/>
          <w:bCs/>
          <w:i/>
          <w:iCs/>
        </w:rPr>
        <w:t>5</w:t>
      </w:r>
      <w:r w:rsidRPr="00AE2561">
        <w:rPr>
          <w:rFonts w:ascii="Arial" w:eastAsia="Times New Roman" w:hAnsi="Arial" w:cs="Arial"/>
          <w:b/>
          <w:bCs/>
          <w:i/>
          <w:iCs/>
        </w:rPr>
        <w:t xml:space="preserve">: </w:t>
      </w:r>
      <w:r>
        <w:rPr>
          <w:rFonts w:ascii="Arial" w:eastAsia="Times New Roman" w:hAnsi="Arial" w:cs="Arial"/>
          <w:b/>
          <w:bCs/>
          <w:i/>
          <w:iCs/>
        </w:rPr>
        <w:t>Modified Public Health Modernization funding formula</w:t>
      </w:r>
    </w:p>
    <w:p w:rsidR="00A04A91" w:rsidRDefault="00A04A91" w:rsidP="00A04A91">
      <w:pPr>
        <w:spacing w:after="0" w:line="240" w:lineRule="auto"/>
        <w:rPr>
          <w:rFonts w:ascii="Arial" w:eastAsia="Times New Roman" w:hAnsi="Arial" w:cs="Arial"/>
        </w:rPr>
      </w:pPr>
      <w:r>
        <w:rPr>
          <w:rFonts w:ascii="Arial" w:eastAsia="Times New Roman" w:hAnsi="Arial" w:cs="Arial"/>
        </w:rPr>
        <w:t xml:space="preserve">A modified </w:t>
      </w:r>
      <w:r w:rsidRPr="001014B8">
        <w:rPr>
          <w:rFonts w:ascii="Arial" w:eastAsia="Times New Roman" w:hAnsi="Arial" w:cs="Arial"/>
        </w:rPr>
        <w:t xml:space="preserve">Public Health Modernization funding formula </w:t>
      </w:r>
      <w:r>
        <w:rPr>
          <w:rFonts w:ascii="Arial" w:eastAsia="Times New Roman" w:hAnsi="Arial" w:cs="Arial"/>
        </w:rPr>
        <w:t xml:space="preserve">could be used to allocate unbudgeted funds. The base funding formula </w:t>
      </w:r>
      <w:r w:rsidRPr="001014B8">
        <w:rPr>
          <w:rFonts w:ascii="Arial" w:eastAsia="Times New Roman" w:hAnsi="Arial" w:cs="Arial"/>
        </w:rPr>
        <w:t>considers the following population characteristics for county allocations: population size, premature death, quality of life, race and ethnicity, poverty, rurality, educational attainment, and limited English language proficiency.</w:t>
      </w:r>
      <w:r>
        <w:rPr>
          <w:rFonts w:ascii="Arial" w:eastAsia="Times New Roman" w:hAnsi="Arial" w:cs="Arial"/>
        </w:rPr>
        <w:t xml:space="preserve"> The modified formula </w:t>
      </w:r>
      <w:r w:rsidR="00804635">
        <w:rPr>
          <w:rFonts w:ascii="Arial" w:eastAsia="Times New Roman" w:hAnsi="Arial" w:cs="Arial"/>
        </w:rPr>
        <w:t xml:space="preserve">replaces </w:t>
      </w:r>
      <w:r>
        <w:rPr>
          <w:rFonts w:ascii="Arial" w:eastAsia="Times New Roman" w:hAnsi="Arial" w:cs="Arial"/>
        </w:rPr>
        <w:t xml:space="preserve">premature death with burden of tobacco use measured as the percentage of adults who currently use tobacco (including </w:t>
      </w:r>
      <w:r w:rsidRPr="00A04A91">
        <w:rPr>
          <w:rFonts w:ascii="Arial" w:eastAsia="Times New Roman" w:hAnsi="Arial" w:cs="Arial"/>
        </w:rPr>
        <w:t>cigarettes, little cigars, large cigars, hookah, electronic cigarettes and/or smokeless tobacco</w:t>
      </w:r>
      <w:r>
        <w:rPr>
          <w:rFonts w:ascii="Arial" w:eastAsia="Times New Roman" w:hAnsi="Arial" w:cs="Arial"/>
        </w:rPr>
        <w:t xml:space="preserve">). </w:t>
      </w:r>
      <w:r w:rsidRPr="001532E6">
        <w:rPr>
          <w:rFonts w:ascii="Arial" w:eastAsia="Times New Roman" w:hAnsi="Arial" w:cs="Arial"/>
          <w:b/>
          <w:bCs/>
        </w:rPr>
        <w:t xml:space="preserve">Table </w:t>
      </w:r>
      <w:r>
        <w:rPr>
          <w:rFonts w:ascii="Arial" w:eastAsia="Times New Roman" w:hAnsi="Arial" w:cs="Arial"/>
          <w:b/>
          <w:bCs/>
        </w:rPr>
        <w:t>4</w:t>
      </w:r>
      <w:r>
        <w:rPr>
          <w:rFonts w:ascii="Arial" w:eastAsia="Times New Roman" w:hAnsi="Arial" w:cs="Arial"/>
        </w:rPr>
        <w:t xml:space="preserve"> below shows county allocations under this scenario.</w:t>
      </w:r>
    </w:p>
    <w:p w:rsidR="00A04A91" w:rsidRDefault="00A04A91" w:rsidP="00E136BA">
      <w:pPr>
        <w:spacing w:after="0" w:line="240" w:lineRule="auto"/>
        <w:rPr>
          <w:rFonts w:ascii="Arial" w:eastAsia="Times New Roman" w:hAnsi="Arial" w:cs="Arial"/>
        </w:rPr>
      </w:pPr>
    </w:p>
    <w:p w:rsidR="00806BFF" w:rsidRDefault="00806BFF" w:rsidP="00E136BA">
      <w:pPr>
        <w:spacing w:after="0" w:line="240" w:lineRule="auto"/>
        <w:rPr>
          <w:rFonts w:ascii="Arial" w:eastAsia="Times New Roman" w:hAnsi="Arial" w:cs="Arial"/>
        </w:rPr>
      </w:pPr>
    </w:p>
    <w:p w:rsidR="00357E2A" w:rsidRDefault="00357E2A" w:rsidP="00780B2E">
      <w:pPr>
        <w:spacing w:after="0" w:line="240" w:lineRule="auto"/>
        <w:rPr>
          <w:rFonts w:ascii="Arial" w:eastAsia="Times New Roman" w:hAnsi="Arial" w:cs="Arial"/>
          <w:u w:val="single"/>
        </w:rPr>
      </w:pPr>
    </w:p>
    <w:p w:rsidR="0050186C" w:rsidRPr="001222E9" w:rsidRDefault="009F773E" w:rsidP="001222E9">
      <w:pPr>
        <w:spacing w:after="0" w:line="360" w:lineRule="auto"/>
        <w:rPr>
          <w:rFonts w:ascii="Arial" w:eastAsia="Times New Roman" w:hAnsi="Arial" w:cs="Arial"/>
          <w:b/>
          <w:bCs/>
          <w:sz w:val="24"/>
          <w:szCs w:val="24"/>
        </w:rPr>
      </w:pPr>
      <w:r>
        <w:rPr>
          <w:rFonts w:ascii="Arial" w:eastAsia="Times New Roman" w:hAnsi="Arial" w:cs="Arial"/>
          <w:b/>
          <w:bCs/>
          <w:sz w:val="24"/>
          <w:szCs w:val="24"/>
        </w:rPr>
        <w:t>Example</w:t>
      </w:r>
      <w:r w:rsidRPr="009F773E">
        <w:rPr>
          <w:rFonts w:ascii="Arial" w:eastAsia="Times New Roman" w:hAnsi="Arial" w:cs="Arial"/>
          <w:b/>
          <w:bCs/>
          <w:sz w:val="24"/>
          <w:szCs w:val="24"/>
        </w:rPr>
        <w:t xml:space="preserve"> Equity-Focused State TPEP Activities for Unbudgeted Funds</w:t>
      </w:r>
    </w:p>
    <w:p w:rsidR="001F5FF9" w:rsidRDefault="00D90F5B" w:rsidP="00592AB3">
      <w:pPr>
        <w:spacing w:after="0" w:line="240" w:lineRule="auto"/>
        <w:rPr>
          <w:rFonts w:ascii="Arial" w:eastAsia="Times New Roman" w:hAnsi="Arial" w:cs="Arial"/>
        </w:rPr>
      </w:pPr>
      <w:r>
        <w:rPr>
          <w:rFonts w:ascii="Arial" w:eastAsia="Times New Roman" w:hAnsi="Arial" w:cs="Arial"/>
        </w:rPr>
        <w:t xml:space="preserve">State TPEP staff brainstormed examples </w:t>
      </w:r>
      <w:r w:rsidR="004832D1">
        <w:rPr>
          <w:rFonts w:ascii="Arial" w:eastAsia="Times New Roman" w:hAnsi="Arial" w:cs="Arial"/>
        </w:rPr>
        <w:t xml:space="preserve">of </w:t>
      </w:r>
      <w:r>
        <w:rPr>
          <w:rFonts w:ascii="Arial" w:eastAsia="Times New Roman" w:hAnsi="Arial" w:cs="Arial"/>
        </w:rPr>
        <w:t>equity-focused a</w:t>
      </w:r>
      <w:r w:rsidRPr="00D90F5B">
        <w:rPr>
          <w:rFonts w:ascii="Arial" w:eastAsia="Times New Roman" w:hAnsi="Arial" w:cs="Arial"/>
        </w:rPr>
        <w:t xml:space="preserve">ctivities </w:t>
      </w:r>
      <w:r>
        <w:rPr>
          <w:rFonts w:ascii="Arial" w:eastAsia="Times New Roman" w:hAnsi="Arial" w:cs="Arial"/>
        </w:rPr>
        <w:t>for the unbudgeted funds across the program areas of cessation, health communications, and data collection and evaluation.</w:t>
      </w:r>
      <w:r w:rsidRPr="004832D1">
        <w:rPr>
          <w:rFonts w:ascii="Arial" w:eastAsia="Times New Roman" w:hAnsi="Arial" w:cs="Arial"/>
        </w:rPr>
        <w:t xml:space="preserve"> </w:t>
      </w:r>
      <w:r w:rsidR="001F5FF9">
        <w:rPr>
          <w:rFonts w:ascii="Arial" w:eastAsia="Times New Roman" w:hAnsi="Arial" w:cs="Arial"/>
        </w:rPr>
        <w:t xml:space="preserve">In addition, state staff considered </w:t>
      </w:r>
      <w:r w:rsidR="006A160E">
        <w:rPr>
          <w:rFonts w:ascii="Arial" w:eastAsia="Times New Roman" w:hAnsi="Arial" w:cs="Arial"/>
        </w:rPr>
        <w:t xml:space="preserve">that unbudgeted funds could </w:t>
      </w:r>
      <w:r w:rsidR="001F5FF9">
        <w:rPr>
          <w:rFonts w:ascii="Arial" w:eastAsia="Times New Roman" w:hAnsi="Arial" w:cs="Arial"/>
        </w:rPr>
        <w:t xml:space="preserve">support </w:t>
      </w:r>
      <w:r w:rsidR="006A160E">
        <w:rPr>
          <w:rFonts w:ascii="Arial" w:eastAsia="Times New Roman" w:hAnsi="Arial" w:cs="Arial"/>
        </w:rPr>
        <w:t xml:space="preserve">the </w:t>
      </w:r>
      <w:r w:rsidR="001F5FF9" w:rsidRPr="001F5FF9">
        <w:rPr>
          <w:rFonts w:ascii="Arial" w:eastAsia="Times New Roman" w:hAnsi="Arial" w:cs="Arial"/>
        </w:rPr>
        <w:t>Community Policy Leadership Institutes</w:t>
      </w:r>
      <w:r w:rsidR="00922394">
        <w:rPr>
          <w:rFonts w:ascii="Arial" w:eastAsia="Times New Roman" w:hAnsi="Arial" w:cs="Arial"/>
        </w:rPr>
        <w:t>,</w:t>
      </w:r>
      <w:r w:rsidR="0041036D">
        <w:rPr>
          <w:rFonts w:ascii="Arial" w:eastAsia="Times New Roman" w:hAnsi="Arial" w:cs="Arial"/>
        </w:rPr>
        <w:t xml:space="preserve"> </w:t>
      </w:r>
      <w:r w:rsidR="00922394">
        <w:rPr>
          <w:rFonts w:ascii="Arial" w:eastAsia="Times New Roman" w:hAnsi="Arial" w:cs="Arial"/>
        </w:rPr>
        <w:t xml:space="preserve">a longer-term </w:t>
      </w:r>
      <w:r w:rsidR="001F5FF9">
        <w:rPr>
          <w:rFonts w:ascii="Arial" w:eastAsia="Times New Roman" w:hAnsi="Arial" w:cs="Arial"/>
        </w:rPr>
        <w:t xml:space="preserve">community </w:t>
      </w:r>
      <w:r w:rsidR="001F5FF9" w:rsidRPr="001F5FF9">
        <w:rPr>
          <w:rFonts w:ascii="Arial" w:eastAsia="Times New Roman" w:hAnsi="Arial" w:cs="Arial"/>
        </w:rPr>
        <w:t>advisory group</w:t>
      </w:r>
      <w:r w:rsidR="00922394">
        <w:rPr>
          <w:rFonts w:ascii="Arial" w:eastAsia="Times New Roman" w:hAnsi="Arial" w:cs="Arial"/>
        </w:rPr>
        <w:t xml:space="preserve">, and </w:t>
      </w:r>
      <w:r w:rsidR="0041036D">
        <w:rPr>
          <w:rFonts w:ascii="Arial" w:eastAsia="Times New Roman" w:hAnsi="Arial" w:cs="Arial"/>
        </w:rPr>
        <w:t xml:space="preserve">developing </w:t>
      </w:r>
      <w:r w:rsidR="00BC09FB">
        <w:rPr>
          <w:rFonts w:ascii="Arial" w:eastAsia="Times New Roman" w:hAnsi="Arial" w:cs="Arial"/>
        </w:rPr>
        <w:t>a</w:t>
      </w:r>
      <w:r w:rsidR="0041036D">
        <w:rPr>
          <w:rFonts w:ascii="Arial" w:eastAsia="Times New Roman" w:hAnsi="Arial" w:cs="Arial"/>
        </w:rPr>
        <w:t xml:space="preserve"> </w:t>
      </w:r>
      <w:r w:rsidR="00922394">
        <w:rPr>
          <w:rFonts w:ascii="Arial" w:eastAsia="Times New Roman" w:hAnsi="Arial" w:cs="Arial"/>
        </w:rPr>
        <w:t>learning communities model</w:t>
      </w:r>
      <w:r w:rsidR="001F5FF9">
        <w:rPr>
          <w:rFonts w:ascii="Arial" w:eastAsia="Times New Roman" w:hAnsi="Arial" w:cs="Arial"/>
        </w:rPr>
        <w:t>.</w:t>
      </w:r>
    </w:p>
    <w:p w:rsidR="006A160E" w:rsidRDefault="006A160E" w:rsidP="00592AB3">
      <w:pPr>
        <w:spacing w:after="0" w:line="240" w:lineRule="auto"/>
        <w:rPr>
          <w:rFonts w:ascii="Arial" w:eastAsia="Times New Roman" w:hAnsi="Arial" w:cs="Arial"/>
        </w:rPr>
      </w:pPr>
    </w:p>
    <w:p w:rsidR="006A160E" w:rsidRDefault="006A160E" w:rsidP="00592AB3">
      <w:pPr>
        <w:spacing w:after="0" w:line="240" w:lineRule="auto"/>
        <w:rPr>
          <w:rFonts w:ascii="Arial" w:eastAsia="Times New Roman" w:hAnsi="Arial" w:cs="Arial"/>
        </w:rPr>
        <w:sectPr w:rsidR="006A160E" w:rsidSect="00D90F5B">
          <w:footerReference w:type="even" r:id="rId12"/>
          <w:footerReference w:type="default" r:id="rId13"/>
          <w:pgSz w:w="12240" w:h="15840"/>
          <w:pgMar w:top="1080" w:right="1080" w:bottom="1080" w:left="1080" w:header="720" w:footer="720" w:gutter="0"/>
          <w:cols w:space="720"/>
          <w:docGrid w:linePitch="360"/>
        </w:sectPr>
      </w:pPr>
    </w:p>
    <w:p w:rsidR="001F5FF9" w:rsidRPr="00096FF8" w:rsidRDefault="001F5FF9" w:rsidP="00096FF8">
      <w:pPr>
        <w:spacing w:after="0" w:line="360" w:lineRule="auto"/>
        <w:rPr>
          <w:rFonts w:ascii="Arial" w:eastAsia="Times New Roman" w:hAnsi="Arial" w:cs="Arial"/>
          <w:b/>
          <w:bCs/>
          <w:color w:val="2E74B5" w:themeColor="accent5" w:themeShade="BF"/>
        </w:rPr>
      </w:pPr>
      <w:r w:rsidRPr="00096FF8">
        <w:rPr>
          <w:rFonts w:ascii="Arial" w:eastAsia="Times New Roman" w:hAnsi="Arial" w:cs="Arial"/>
          <w:b/>
          <w:bCs/>
          <w:color w:val="2E74B5" w:themeColor="accent5" w:themeShade="BF"/>
        </w:rPr>
        <w:t>Cessation</w:t>
      </w:r>
    </w:p>
    <w:p w:rsidR="00096FF8" w:rsidRPr="00096FF8" w:rsidRDefault="00096FF8" w:rsidP="00096FF8">
      <w:pPr>
        <w:pStyle w:val="ListParagraph"/>
        <w:numPr>
          <w:ilvl w:val="0"/>
          <w:numId w:val="10"/>
        </w:numPr>
        <w:spacing w:after="0" w:line="240" w:lineRule="auto"/>
        <w:rPr>
          <w:rFonts w:ascii="Arial" w:eastAsia="Times New Roman" w:hAnsi="Arial" w:cs="Arial"/>
          <w:sz w:val="20"/>
          <w:szCs w:val="20"/>
        </w:rPr>
      </w:pPr>
      <w:r w:rsidRPr="00096FF8">
        <w:rPr>
          <w:rFonts w:ascii="Arial" w:eastAsia="Times New Roman" w:hAnsi="Arial" w:cs="Arial"/>
          <w:sz w:val="20"/>
          <w:szCs w:val="20"/>
        </w:rPr>
        <w:t>Ensure continued access to eight weeks of expedited NRT (est. during EVALI response)</w:t>
      </w:r>
    </w:p>
    <w:p w:rsidR="00096FF8" w:rsidRPr="00096FF8" w:rsidRDefault="00096FF8" w:rsidP="00096FF8">
      <w:pPr>
        <w:pStyle w:val="ListParagraph"/>
        <w:numPr>
          <w:ilvl w:val="0"/>
          <w:numId w:val="10"/>
        </w:numPr>
        <w:spacing w:after="0" w:line="240" w:lineRule="auto"/>
        <w:rPr>
          <w:rFonts w:ascii="Arial" w:eastAsia="Times New Roman" w:hAnsi="Arial" w:cs="Arial"/>
          <w:sz w:val="20"/>
          <w:szCs w:val="20"/>
        </w:rPr>
      </w:pPr>
      <w:r w:rsidRPr="00096FF8">
        <w:rPr>
          <w:rFonts w:ascii="Arial" w:eastAsia="Times New Roman" w:hAnsi="Arial" w:cs="Arial"/>
          <w:sz w:val="20"/>
          <w:szCs w:val="20"/>
        </w:rPr>
        <w:t>Support community and clinical partners to build out EHR referral processes/systems to the Tobacco Quit Line for culturally specific populations</w:t>
      </w:r>
    </w:p>
    <w:p w:rsidR="00096FF8" w:rsidRDefault="00096FF8" w:rsidP="00592AB3">
      <w:pPr>
        <w:spacing w:after="0" w:line="240" w:lineRule="auto"/>
        <w:rPr>
          <w:rFonts w:ascii="Arial" w:eastAsia="Times New Roman" w:hAnsi="Arial" w:cs="Arial"/>
        </w:rPr>
      </w:pPr>
    </w:p>
    <w:p w:rsidR="00096FF8" w:rsidRDefault="00096FF8" w:rsidP="00592AB3">
      <w:pPr>
        <w:spacing w:after="0" w:line="240" w:lineRule="auto"/>
        <w:rPr>
          <w:rFonts w:ascii="Arial" w:eastAsia="Times New Roman" w:hAnsi="Arial" w:cs="Arial"/>
        </w:rPr>
      </w:pPr>
    </w:p>
    <w:p w:rsidR="00096FF8" w:rsidRDefault="00096FF8" w:rsidP="00592AB3">
      <w:pPr>
        <w:spacing w:after="0" w:line="240" w:lineRule="auto"/>
        <w:rPr>
          <w:rFonts w:ascii="Arial" w:eastAsia="Times New Roman" w:hAnsi="Arial" w:cs="Arial"/>
        </w:rPr>
      </w:pPr>
    </w:p>
    <w:p w:rsidR="00096FF8" w:rsidRDefault="00096FF8" w:rsidP="00592AB3">
      <w:pPr>
        <w:spacing w:after="0" w:line="240" w:lineRule="auto"/>
        <w:rPr>
          <w:rFonts w:ascii="Arial" w:eastAsia="Times New Roman" w:hAnsi="Arial" w:cs="Arial"/>
        </w:rPr>
      </w:pPr>
    </w:p>
    <w:p w:rsidR="00096FF8" w:rsidRDefault="00096FF8" w:rsidP="00592AB3">
      <w:pPr>
        <w:spacing w:after="0" w:line="240" w:lineRule="auto"/>
        <w:rPr>
          <w:rFonts w:ascii="Arial" w:eastAsia="Times New Roman" w:hAnsi="Arial" w:cs="Arial"/>
        </w:rPr>
      </w:pPr>
    </w:p>
    <w:p w:rsidR="00096FF8" w:rsidRDefault="00096FF8" w:rsidP="00592AB3">
      <w:pPr>
        <w:spacing w:after="0" w:line="240" w:lineRule="auto"/>
        <w:rPr>
          <w:rFonts w:ascii="Arial" w:eastAsia="Times New Roman" w:hAnsi="Arial" w:cs="Arial"/>
        </w:rPr>
      </w:pPr>
    </w:p>
    <w:p w:rsidR="00096FF8" w:rsidRDefault="00096FF8"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B355CB" w:rsidRDefault="00B355CB" w:rsidP="00592AB3">
      <w:pPr>
        <w:spacing w:after="0" w:line="240" w:lineRule="auto"/>
        <w:rPr>
          <w:rFonts w:ascii="Arial" w:eastAsia="Times New Roman" w:hAnsi="Arial" w:cs="Arial"/>
        </w:rPr>
      </w:pPr>
    </w:p>
    <w:p w:rsidR="004B2417" w:rsidRDefault="004B2417" w:rsidP="00592AB3">
      <w:pPr>
        <w:spacing w:after="0" w:line="240" w:lineRule="auto"/>
        <w:rPr>
          <w:rFonts w:ascii="Arial" w:eastAsia="Times New Roman" w:hAnsi="Arial" w:cs="Arial"/>
        </w:rPr>
      </w:pPr>
    </w:p>
    <w:p w:rsidR="004B2417" w:rsidRDefault="004B2417" w:rsidP="00592AB3">
      <w:pPr>
        <w:spacing w:after="0" w:line="240" w:lineRule="auto"/>
        <w:rPr>
          <w:rFonts w:ascii="Arial" w:eastAsia="Times New Roman" w:hAnsi="Arial" w:cs="Arial"/>
        </w:rPr>
      </w:pPr>
    </w:p>
    <w:p w:rsidR="004B2417" w:rsidRDefault="004B2417" w:rsidP="00592AB3">
      <w:pPr>
        <w:spacing w:after="0" w:line="240" w:lineRule="auto"/>
        <w:rPr>
          <w:rFonts w:ascii="Arial" w:eastAsia="Times New Roman" w:hAnsi="Arial" w:cs="Arial"/>
        </w:rPr>
      </w:pPr>
    </w:p>
    <w:p w:rsidR="004B2417" w:rsidRDefault="004B2417" w:rsidP="00592AB3">
      <w:pPr>
        <w:spacing w:after="0" w:line="240" w:lineRule="auto"/>
        <w:rPr>
          <w:rFonts w:ascii="Arial" w:eastAsia="Times New Roman" w:hAnsi="Arial" w:cs="Arial"/>
        </w:rPr>
      </w:pPr>
    </w:p>
    <w:p w:rsidR="009B0D26" w:rsidRDefault="009B0D26" w:rsidP="00592AB3">
      <w:pPr>
        <w:spacing w:after="0" w:line="240" w:lineRule="auto"/>
        <w:rPr>
          <w:rFonts w:ascii="Arial" w:eastAsia="Times New Roman" w:hAnsi="Arial" w:cs="Arial"/>
        </w:rPr>
      </w:pPr>
    </w:p>
    <w:p w:rsidR="009B0D26" w:rsidRDefault="009B0D26" w:rsidP="00592AB3">
      <w:pPr>
        <w:spacing w:after="0" w:line="240" w:lineRule="auto"/>
        <w:rPr>
          <w:rFonts w:ascii="Arial" w:eastAsia="Times New Roman" w:hAnsi="Arial" w:cs="Arial"/>
        </w:rPr>
      </w:pPr>
    </w:p>
    <w:p w:rsidR="009B0D26" w:rsidRDefault="009B0D26" w:rsidP="00592AB3">
      <w:pPr>
        <w:spacing w:after="0" w:line="240" w:lineRule="auto"/>
        <w:rPr>
          <w:rFonts w:ascii="Arial" w:eastAsia="Times New Roman" w:hAnsi="Arial" w:cs="Arial"/>
        </w:rPr>
      </w:pPr>
    </w:p>
    <w:p w:rsidR="009B0D26" w:rsidRDefault="009B0D26" w:rsidP="00592AB3">
      <w:pPr>
        <w:spacing w:after="0" w:line="240" w:lineRule="auto"/>
        <w:rPr>
          <w:rFonts w:ascii="Arial" w:eastAsia="Times New Roman" w:hAnsi="Arial" w:cs="Arial"/>
        </w:rPr>
      </w:pPr>
    </w:p>
    <w:p w:rsidR="009B0D26" w:rsidRDefault="009B0D26" w:rsidP="00592AB3">
      <w:pPr>
        <w:spacing w:after="0" w:line="240" w:lineRule="auto"/>
        <w:rPr>
          <w:rFonts w:ascii="Arial" w:eastAsia="Times New Roman" w:hAnsi="Arial" w:cs="Arial"/>
        </w:rPr>
      </w:pPr>
    </w:p>
    <w:p w:rsidR="004B2417" w:rsidRDefault="004B2417" w:rsidP="00592AB3">
      <w:pPr>
        <w:spacing w:after="0" w:line="240" w:lineRule="auto"/>
        <w:rPr>
          <w:rFonts w:ascii="Arial" w:eastAsia="Times New Roman" w:hAnsi="Arial" w:cs="Arial"/>
        </w:rPr>
      </w:pPr>
    </w:p>
    <w:p w:rsidR="004B2417" w:rsidRDefault="004B2417" w:rsidP="00592AB3">
      <w:pPr>
        <w:spacing w:after="0" w:line="240" w:lineRule="auto"/>
        <w:rPr>
          <w:rFonts w:ascii="Arial" w:eastAsia="Times New Roman" w:hAnsi="Arial" w:cs="Arial"/>
        </w:rPr>
      </w:pPr>
    </w:p>
    <w:p w:rsidR="004B2417" w:rsidRDefault="004B2417" w:rsidP="00592AB3">
      <w:pPr>
        <w:spacing w:after="0" w:line="240" w:lineRule="auto"/>
        <w:rPr>
          <w:rFonts w:ascii="Arial" w:eastAsia="Times New Roman" w:hAnsi="Arial" w:cs="Arial"/>
        </w:rPr>
      </w:pPr>
    </w:p>
    <w:p w:rsidR="00096FF8" w:rsidRPr="00096FF8" w:rsidRDefault="00096FF8" w:rsidP="00096FF8">
      <w:pPr>
        <w:spacing w:after="0" w:line="360" w:lineRule="auto"/>
        <w:rPr>
          <w:rFonts w:ascii="Arial" w:eastAsia="Times New Roman" w:hAnsi="Arial" w:cs="Arial"/>
          <w:b/>
          <w:bCs/>
          <w:color w:val="2E74B5" w:themeColor="accent5" w:themeShade="BF"/>
        </w:rPr>
      </w:pPr>
      <w:r w:rsidRPr="00096FF8">
        <w:rPr>
          <w:rFonts w:ascii="Arial" w:eastAsia="Times New Roman" w:hAnsi="Arial" w:cs="Arial"/>
          <w:b/>
          <w:bCs/>
          <w:color w:val="2E74B5" w:themeColor="accent5" w:themeShade="BF"/>
        </w:rPr>
        <w:t>Health communications</w:t>
      </w:r>
    </w:p>
    <w:p w:rsidR="00096FF8" w:rsidRPr="00096FF8" w:rsidRDefault="00096FF8" w:rsidP="00096FF8">
      <w:pPr>
        <w:pStyle w:val="ListParagraph"/>
        <w:numPr>
          <w:ilvl w:val="0"/>
          <w:numId w:val="11"/>
        </w:numPr>
        <w:spacing w:after="0" w:line="240" w:lineRule="auto"/>
        <w:rPr>
          <w:rFonts w:ascii="Arial" w:eastAsia="Times New Roman" w:hAnsi="Arial" w:cs="Arial"/>
          <w:sz w:val="20"/>
          <w:szCs w:val="20"/>
        </w:rPr>
      </w:pPr>
      <w:r w:rsidRPr="00096FF8">
        <w:rPr>
          <w:rFonts w:ascii="Arial" w:eastAsia="Times New Roman" w:hAnsi="Arial" w:cs="Arial"/>
          <w:sz w:val="20"/>
          <w:szCs w:val="20"/>
        </w:rPr>
        <w:t>Implement new tobacco cessation campaign based on updated research</w:t>
      </w:r>
    </w:p>
    <w:p w:rsidR="00096FF8" w:rsidRPr="00096FF8" w:rsidRDefault="00096FF8" w:rsidP="00096FF8">
      <w:pPr>
        <w:pStyle w:val="ListParagraph"/>
        <w:numPr>
          <w:ilvl w:val="0"/>
          <w:numId w:val="11"/>
        </w:numPr>
        <w:spacing w:after="0" w:line="240" w:lineRule="auto"/>
        <w:rPr>
          <w:rFonts w:ascii="Arial" w:eastAsia="Times New Roman" w:hAnsi="Arial" w:cs="Arial"/>
          <w:sz w:val="20"/>
          <w:szCs w:val="20"/>
        </w:rPr>
      </w:pPr>
      <w:r w:rsidRPr="00096FF8">
        <w:rPr>
          <w:rFonts w:ascii="Arial" w:eastAsia="Times New Roman" w:hAnsi="Arial" w:cs="Arial"/>
          <w:sz w:val="20"/>
          <w:szCs w:val="20"/>
        </w:rPr>
        <w:t xml:space="preserve">Fund paid promotion of </w:t>
      </w:r>
      <w:r w:rsidRPr="00096FF8">
        <w:rPr>
          <w:rFonts w:ascii="Arial" w:eastAsia="Times New Roman" w:hAnsi="Arial" w:cs="Arial"/>
          <w:i/>
          <w:iCs/>
          <w:sz w:val="20"/>
          <w:szCs w:val="20"/>
        </w:rPr>
        <w:t>Vive Sin Fumar</w:t>
      </w:r>
      <w:r w:rsidRPr="00096FF8">
        <w:rPr>
          <w:rFonts w:ascii="Arial" w:eastAsia="Times New Roman" w:hAnsi="Arial" w:cs="Arial"/>
          <w:sz w:val="20"/>
          <w:szCs w:val="20"/>
        </w:rPr>
        <w:t>, Oregon’s first Spanish cessation media campaign</w:t>
      </w:r>
    </w:p>
    <w:p w:rsidR="00096FF8" w:rsidRPr="00096FF8" w:rsidRDefault="00096FF8" w:rsidP="00096FF8">
      <w:pPr>
        <w:pStyle w:val="ListParagraph"/>
        <w:numPr>
          <w:ilvl w:val="0"/>
          <w:numId w:val="11"/>
        </w:numPr>
        <w:spacing w:after="0" w:line="240" w:lineRule="auto"/>
        <w:rPr>
          <w:rFonts w:ascii="Arial" w:eastAsia="Times New Roman" w:hAnsi="Arial" w:cs="Arial"/>
          <w:sz w:val="20"/>
          <w:szCs w:val="20"/>
        </w:rPr>
      </w:pPr>
      <w:r w:rsidRPr="00096FF8">
        <w:rPr>
          <w:rFonts w:ascii="Arial" w:eastAsia="Times New Roman" w:hAnsi="Arial" w:cs="Arial"/>
          <w:sz w:val="20"/>
          <w:szCs w:val="20"/>
        </w:rPr>
        <w:t xml:space="preserve">Fund paid promotion of culturally specific tobacco prevention ads  </w:t>
      </w:r>
    </w:p>
    <w:p w:rsidR="00096FF8" w:rsidRPr="00096FF8" w:rsidRDefault="00096FF8" w:rsidP="00096FF8">
      <w:pPr>
        <w:pStyle w:val="ListParagraph"/>
        <w:numPr>
          <w:ilvl w:val="0"/>
          <w:numId w:val="11"/>
        </w:numPr>
        <w:spacing w:after="0" w:line="240" w:lineRule="auto"/>
        <w:rPr>
          <w:rFonts w:ascii="Arial" w:eastAsia="Times New Roman" w:hAnsi="Arial" w:cs="Arial"/>
          <w:sz w:val="20"/>
          <w:szCs w:val="20"/>
        </w:rPr>
      </w:pPr>
      <w:r w:rsidRPr="00096FF8">
        <w:rPr>
          <w:rFonts w:ascii="Arial" w:eastAsia="Times New Roman" w:hAnsi="Arial" w:cs="Arial"/>
          <w:sz w:val="20"/>
          <w:szCs w:val="20"/>
        </w:rPr>
        <w:t>Fund updated</w:t>
      </w:r>
      <w:r>
        <w:rPr>
          <w:rFonts w:ascii="Arial" w:eastAsia="Times New Roman" w:hAnsi="Arial" w:cs="Arial"/>
          <w:sz w:val="20"/>
          <w:szCs w:val="20"/>
        </w:rPr>
        <w:t xml:space="preserve">, </w:t>
      </w:r>
      <w:r w:rsidRPr="00096FF8">
        <w:rPr>
          <w:rFonts w:ascii="Arial" w:eastAsia="Times New Roman" w:hAnsi="Arial" w:cs="Arial"/>
          <w:sz w:val="20"/>
          <w:szCs w:val="20"/>
        </w:rPr>
        <w:t xml:space="preserve">paid promotion of </w:t>
      </w:r>
      <w:r w:rsidRPr="00096FF8">
        <w:rPr>
          <w:rFonts w:ascii="Arial" w:eastAsia="Times New Roman" w:hAnsi="Arial" w:cs="Arial"/>
          <w:i/>
          <w:iCs/>
          <w:sz w:val="20"/>
          <w:szCs w:val="20"/>
        </w:rPr>
        <w:t>We See/They See</w:t>
      </w:r>
      <w:r w:rsidRPr="00096FF8">
        <w:rPr>
          <w:rFonts w:ascii="Arial" w:eastAsia="Times New Roman" w:hAnsi="Arial" w:cs="Arial"/>
          <w:sz w:val="20"/>
          <w:szCs w:val="20"/>
        </w:rPr>
        <w:t xml:space="preserve"> campaign</w:t>
      </w:r>
    </w:p>
    <w:p w:rsidR="00096FF8" w:rsidRPr="00096FF8" w:rsidRDefault="00096FF8" w:rsidP="00096FF8">
      <w:pPr>
        <w:pStyle w:val="ListParagraph"/>
        <w:numPr>
          <w:ilvl w:val="0"/>
          <w:numId w:val="11"/>
        </w:numPr>
        <w:spacing w:after="0" w:line="240" w:lineRule="auto"/>
        <w:rPr>
          <w:rFonts w:ascii="Arial" w:eastAsia="Times New Roman" w:hAnsi="Arial" w:cs="Arial"/>
          <w:sz w:val="20"/>
          <w:szCs w:val="20"/>
        </w:rPr>
      </w:pPr>
      <w:r w:rsidRPr="00096FF8">
        <w:rPr>
          <w:rFonts w:ascii="Arial" w:eastAsia="Times New Roman" w:hAnsi="Arial" w:cs="Arial"/>
          <w:sz w:val="20"/>
          <w:szCs w:val="20"/>
        </w:rPr>
        <w:t>Maintain strategic communications technical assistance for RHECs and other partners (e.g., Oregon Office on Disability and Health)</w:t>
      </w:r>
    </w:p>
    <w:p w:rsidR="000F4033" w:rsidRDefault="000F4033"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B355CB" w:rsidRDefault="00B355CB" w:rsidP="00096FF8">
      <w:pPr>
        <w:spacing w:after="0" w:line="360" w:lineRule="auto"/>
        <w:rPr>
          <w:rFonts w:ascii="Arial" w:eastAsia="Times New Roman" w:hAnsi="Arial" w:cs="Arial"/>
          <w:b/>
          <w:bCs/>
          <w:color w:val="2E74B5" w:themeColor="accent5" w:themeShade="BF"/>
        </w:rPr>
      </w:pPr>
    </w:p>
    <w:p w:rsidR="004B2417" w:rsidRDefault="004B2417" w:rsidP="00096FF8">
      <w:pPr>
        <w:spacing w:after="0" w:line="360" w:lineRule="auto"/>
        <w:rPr>
          <w:rFonts w:ascii="Arial" w:eastAsia="Times New Roman" w:hAnsi="Arial" w:cs="Arial"/>
          <w:b/>
          <w:bCs/>
          <w:color w:val="2E74B5" w:themeColor="accent5" w:themeShade="BF"/>
        </w:rPr>
      </w:pPr>
    </w:p>
    <w:p w:rsidR="004B2417" w:rsidRDefault="004B2417" w:rsidP="00096FF8">
      <w:pPr>
        <w:spacing w:after="0" w:line="360" w:lineRule="auto"/>
        <w:rPr>
          <w:rFonts w:ascii="Arial" w:eastAsia="Times New Roman" w:hAnsi="Arial" w:cs="Arial"/>
          <w:b/>
          <w:bCs/>
          <w:color w:val="2E74B5" w:themeColor="accent5" w:themeShade="BF"/>
        </w:rPr>
      </w:pPr>
    </w:p>
    <w:p w:rsidR="004B2417" w:rsidRDefault="004B2417" w:rsidP="00096FF8">
      <w:pPr>
        <w:spacing w:after="0" w:line="360" w:lineRule="auto"/>
        <w:rPr>
          <w:rFonts w:ascii="Arial" w:eastAsia="Times New Roman" w:hAnsi="Arial" w:cs="Arial"/>
          <w:b/>
          <w:bCs/>
          <w:color w:val="2E74B5" w:themeColor="accent5" w:themeShade="BF"/>
        </w:rPr>
      </w:pPr>
    </w:p>
    <w:p w:rsidR="004B2417" w:rsidRDefault="004B2417" w:rsidP="00096FF8">
      <w:pPr>
        <w:spacing w:after="0" w:line="360" w:lineRule="auto"/>
        <w:rPr>
          <w:rFonts w:ascii="Arial" w:eastAsia="Times New Roman" w:hAnsi="Arial" w:cs="Arial"/>
          <w:b/>
          <w:bCs/>
          <w:color w:val="2E74B5" w:themeColor="accent5" w:themeShade="BF"/>
        </w:rPr>
      </w:pPr>
    </w:p>
    <w:p w:rsidR="009B0D26" w:rsidRDefault="009B0D26" w:rsidP="00096FF8">
      <w:pPr>
        <w:spacing w:after="0" w:line="360" w:lineRule="auto"/>
        <w:rPr>
          <w:rFonts w:ascii="Arial" w:eastAsia="Times New Roman" w:hAnsi="Arial" w:cs="Arial"/>
          <w:b/>
          <w:bCs/>
          <w:color w:val="2E74B5" w:themeColor="accent5" w:themeShade="BF"/>
        </w:rPr>
      </w:pPr>
    </w:p>
    <w:p w:rsidR="009B0D26" w:rsidRDefault="009B0D26" w:rsidP="00096FF8">
      <w:pPr>
        <w:spacing w:after="0" w:line="360" w:lineRule="auto"/>
        <w:rPr>
          <w:rFonts w:ascii="Arial" w:eastAsia="Times New Roman" w:hAnsi="Arial" w:cs="Arial"/>
          <w:b/>
          <w:bCs/>
          <w:color w:val="2E74B5" w:themeColor="accent5" w:themeShade="BF"/>
        </w:rPr>
      </w:pPr>
    </w:p>
    <w:p w:rsidR="009B0D26" w:rsidRDefault="009B0D26" w:rsidP="00096FF8">
      <w:pPr>
        <w:spacing w:after="0" w:line="360" w:lineRule="auto"/>
        <w:rPr>
          <w:rFonts w:ascii="Arial" w:eastAsia="Times New Roman" w:hAnsi="Arial" w:cs="Arial"/>
          <w:b/>
          <w:bCs/>
          <w:color w:val="2E74B5" w:themeColor="accent5" w:themeShade="BF"/>
        </w:rPr>
      </w:pPr>
    </w:p>
    <w:p w:rsidR="004B2417" w:rsidRDefault="004B2417" w:rsidP="00096FF8">
      <w:pPr>
        <w:spacing w:after="0" w:line="360" w:lineRule="auto"/>
        <w:rPr>
          <w:rFonts w:ascii="Arial" w:eastAsia="Times New Roman" w:hAnsi="Arial" w:cs="Arial"/>
          <w:b/>
          <w:bCs/>
          <w:color w:val="2E74B5" w:themeColor="accent5" w:themeShade="BF"/>
        </w:rPr>
      </w:pPr>
    </w:p>
    <w:p w:rsidR="00096FF8" w:rsidRPr="00096FF8" w:rsidRDefault="009E460B" w:rsidP="00096FF8">
      <w:pPr>
        <w:spacing w:after="0" w:line="360" w:lineRule="auto"/>
        <w:rPr>
          <w:rFonts w:ascii="Arial" w:eastAsia="Times New Roman" w:hAnsi="Arial" w:cs="Arial"/>
          <w:b/>
          <w:bCs/>
          <w:color w:val="2E74B5" w:themeColor="accent5" w:themeShade="BF"/>
        </w:rPr>
      </w:pPr>
      <w:r>
        <w:rPr>
          <w:rFonts w:ascii="Arial" w:eastAsia="Times New Roman" w:hAnsi="Arial" w:cs="Arial"/>
          <w:b/>
          <w:bCs/>
          <w:color w:val="2E74B5" w:themeColor="accent5" w:themeShade="BF"/>
        </w:rPr>
        <w:t>D</w:t>
      </w:r>
      <w:r w:rsidR="00096FF8" w:rsidRPr="00096FF8">
        <w:rPr>
          <w:rFonts w:ascii="Arial" w:eastAsia="Times New Roman" w:hAnsi="Arial" w:cs="Arial"/>
          <w:b/>
          <w:bCs/>
          <w:color w:val="2E74B5" w:themeColor="accent5" w:themeShade="BF"/>
        </w:rPr>
        <w:t>ata collection and evaluation</w:t>
      </w:r>
    </w:p>
    <w:p w:rsidR="00096FF8" w:rsidRPr="00096FF8" w:rsidRDefault="00096FF8" w:rsidP="00096FF8">
      <w:pPr>
        <w:pStyle w:val="ListParagraph"/>
        <w:numPr>
          <w:ilvl w:val="0"/>
          <w:numId w:val="12"/>
        </w:numPr>
        <w:spacing w:after="0" w:line="240" w:lineRule="auto"/>
        <w:rPr>
          <w:rFonts w:ascii="Arial" w:eastAsia="Times New Roman" w:hAnsi="Arial" w:cs="Arial"/>
          <w:sz w:val="20"/>
          <w:szCs w:val="20"/>
        </w:rPr>
      </w:pPr>
      <w:r w:rsidRPr="00096FF8">
        <w:rPr>
          <w:rFonts w:ascii="Arial" w:eastAsia="Times New Roman" w:hAnsi="Arial" w:cs="Arial"/>
          <w:sz w:val="20"/>
          <w:szCs w:val="20"/>
        </w:rPr>
        <w:t>Evaluate Quit Line to determine how service is meeting needs of culturally specific groups</w:t>
      </w:r>
    </w:p>
    <w:p w:rsidR="00096FF8" w:rsidRPr="00096FF8" w:rsidRDefault="00096FF8" w:rsidP="00096FF8">
      <w:pPr>
        <w:pStyle w:val="ListParagraph"/>
        <w:numPr>
          <w:ilvl w:val="0"/>
          <w:numId w:val="12"/>
        </w:numPr>
        <w:spacing w:after="0" w:line="240" w:lineRule="auto"/>
        <w:rPr>
          <w:rFonts w:ascii="Arial" w:eastAsia="Times New Roman" w:hAnsi="Arial" w:cs="Arial"/>
          <w:sz w:val="20"/>
          <w:szCs w:val="20"/>
        </w:rPr>
      </w:pPr>
      <w:r w:rsidRPr="00096FF8">
        <w:rPr>
          <w:rFonts w:ascii="Arial" w:eastAsia="Times New Roman" w:hAnsi="Arial" w:cs="Arial"/>
          <w:sz w:val="20"/>
          <w:szCs w:val="20"/>
        </w:rPr>
        <w:t>Evaluate how existing cessation services support culturally specific communities to quit</w:t>
      </w:r>
    </w:p>
    <w:p w:rsidR="00096FF8" w:rsidRPr="00096FF8" w:rsidRDefault="00096FF8" w:rsidP="00096FF8">
      <w:pPr>
        <w:pStyle w:val="ListParagraph"/>
        <w:numPr>
          <w:ilvl w:val="0"/>
          <w:numId w:val="12"/>
        </w:numPr>
        <w:spacing w:after="0" w:line="240" w:lineRule="auto"/>
        <w:rPr>
          <w:rFonts w:ascii="Arial" w:eastAsia="Times New Roman" w:hAnsi="Arial" w:cs="Arial"/>
          <w:sz w:val="20"/>
          <w:szCs w:val="20"/>
        </w:rPr>
      </w:pPr>
      <w:r w:rsidRPr="00096FF8">
        <w:rPr>
          <w:rFonts w:ascii="Arial" w:eastAsia="Times New Roman" w:hAnsi="Arial" w:cs="Arial"/>
          <w:sz w:val="20"/>
          <w:szCs w:val="20"/>
        </w:rPr>
        <w:t>Evaluate health care system interventions to support CCO members to quit tobacco</w:t>
      </w:r>
    </w:p>
    <w:p w:rsidR="00096FF8" w:rsidRPr="00096FF8" w:rsidRDefault="00096FF8" w:rsidP="00096FF8">
      <w:pPr>
        <w:pStyle w:val="ListParagraph"/>
        <w:numPr>
          <w:ilvl w:val="0"/>
          <w:numId w:val="12"/>
        </w:numPr>
        <w:spacing w:after="0" w:line="240" w:lineRule="auto"/>
        <w:rPr>
          <w:rFonts w:ascii="Arial" w:eastAsia="Times New Roman" w:hAnsi="Arial" w:cs="Arial"/>
          <w:sz w:val="20"/>
          <w:szCs w:val="20"/>
        </w:rPr>
      </w:pPr>
      <w:r w:rsidRPr="00096FF8">
        <w:rPr>
          <w:rFonts w:ascii="Arial" w:eastAsia="Times New Roman" w:hAnsi="Arial" w:cs="Arial"/>
          <w:sz w:val="20"/>
          <w:szCs w:val="20"/>
        </w:rPr>
        <w:t>Evaluate Native Quit Line promotional campaign (</w:t>
      </w:r>
      <w:r>
        <w:rPr>
          <w:rFonts w:ascii="Arial" w:eastAsia="Times New Roman" w:hAnsi="Arial" w:cs="Arial"/>
          <w:sz w:val="20"/>
          <w:szCs w:val="20"/>
        </w:rPr>
        <w:t xml:space="preserve">contract </w:t>
      </w:r>
      <w:r w:rsidRPr="00096FF8">
        <w:rPr>
          <w:rFonts w:ascii="Arial" w:eastAsia="Times New Roman" w:hAnsi="Arial" w:cs="Arial"/>
          <w:sz w:val="20"/>
          <w:szCs w:val="20"/>
        </w:rPr>
        <w:t>with Northwest Portland Area Indian Health Board)</w:t>
      </w:r>
    </w:p>
    <w:p w:rsidR="00096FF8" w:rsidRPr="006A160E" w:rsidRDefault="00096FF8" w:rsidP="00592AB3">
      <w:pPr>
        <w:pStyle w:val="ListParagraph"/>
        <w:numPr>
          <w:ilvl w:val="0"/>
          <w:numId w:val="12"/>
        </w:numPr>
        <w:spacing w:after="0" w:line="240" w:lineRule="auto"/>
        <w:rPr>
          <w:rFonts w:ascii="Arial" w:eastAsia="Times New Roman" w:hAnsi="Arial" w:cs="Arial"/>
          <w:sz w:val="20"/>
          <w:szCs w:val="20"/>
        </w:rPr>
        <w:sectPr w:rsidR="00096FF8" w:rsidRPr="006A160E" w:rsidSect="00096FF8">
          <w:type w:val="continuous"/>
          <w:pgSz w:w="12240" w:h="15840"/>
          <w:pgMar w:top="1080" w:right="1080" w:bottom="1080" w:left="1080" w:header="720" w:footer="720" w:gutter="0"/>
          <w:cols w:num="3" w:space="144"/>
          <w:docGrid w:linePitch="360"/>
        </w:sectPr>
      </w:pPr>
      <w:r w:rsidRPr="00096FF8">
        <w:rPr>
          <w:rFonts w:ascii="Arial" w:eastAsia="Times New Roman" w:hAnsi="Arial" w:cs="Arial"/>
          <w:sz w:val="20"/>
          <w:szCs w:val="20"/>
        </w:rPr>
        <w:t>Evaluate Community Policy Leadership Institute (CPLI)</w:t>
      </w:r>
    </w:p>
    <w:p w:rsidR="001D24A8" w:rsidRDefault="001D24A8" w:rsidP="002A4E17">
      <w:pPr>
        <w:tabs>
          <w:tab w:val="left" w:pos="5850"/>
        </w:tabs>
        <w:spacing w:after="120" w:line="240" w:lineRule="auto"/>
        <w:ind w:right="720"/>
        <w:rPr>
          <w:rFonts w:ascii="Arial" w:eastAsia="Times New Roman" w:hAnsi="Arial" w:cs="Arial"/>
        </w:rPr>
      </w:pPr>
      <w:r w:rsidRPr="001D24A8">
        <w:rPr>
          <w:rFonts w:ascii="Arial" w:eastAsia="Times New Roman" w:hAnsi="Arial" w:cs="Arial"/>
          <w:b/>
          <w:bCs/>
        </w:rPr>
        <w:t>Table</w:t>
      </w:r>
      <w:r w:rsidR="00B91AF2">
        <w:rPr>
          <w:rFonts w:ascii="Arial" w:eastAsia="Times New Roman" w:hAnsi="Arial" w:cs="Arial"/>
          <w:b/>
          <w:bCs/>
        </w:rPr>
        <w:t xml:space="preserve"> 1</w:t>
      </w:r>
      <w:r w:rsidRPr="001D24A8">
        <w:rPr>
          <w:rFonts w:ascii="Arial" w:eastAsia="Times New Roman" w:hAnsi="Arial" w:cs="Arial"/>
          <w:b/>
          <w:bCs/>
        </w:rPr>
        <w:t>.</w:t>
      </w:r>
      <w:r w:rsidRPr="001D24A8">
        <w:rPr>
          <w:rFonts w:ascii="Arial" w:eastAsia="Times New Roman" w:hAnsi="Arial" w:cs="Arial"/>
        </w:rPr>
        <w:t xml:space="preserve"> Funding Allocations to Counties using TPEP Tiered Funding</w:t>
      </w:r>
      <w:r w:rsidR="00B91AF2">
        <w:rPr>
          <w:rFonts w:ascii="Arial" w:eastAsia="Times New Roman" w:hAnsi="Arial" w:cs="Arial"/>
        </w:rPr>
        <w:t xml:space="preserve"> (Scenario 2)</w:t>
      </w:r>
    </w:p>
    <w:p w:rsidR="002A4E17" w:rsidRPr="002A4E17" w:rsidRDefault="002A4E17" w:rsidP="000072D8">
      <w:pPr>
        <w:tabs>
          <w:tab w:val="left" w:pos="5850"/>
        </w:tabs>
        <w:spacing w:after="120" w:line="240" w:lineRule="auto"/>
        <w:ind w:right="720"/>
        <w:rPr>
          <w:rFonts w:ascii="Arial" w:eastAsia="Times New Roman" w:hAnsi="Arial" w:cs="Arial"/>
          <w:i/>
          <w:iCs/>
        </w:rPr>
      </w:pPr>
      <w:r w:rsidRPr="002A4E17">
        <w:rPr>
          <w:rFonts w:ascii="Arial" w:eastAsia="Times New Roman" w:hAnsi="Arial" w:cs="Arial"/>
          <w:i/>
          <w:iCs/>
        </w:rPr>
        <w:t>These are example dollar amounts for planning and conversation</w:t>
      </w:r>
      <w:r>
        <w:rPr>
          <w:rFonts w:ascii="Arial" w:eastAsia="Times New Roman" w:hAnsi="Arial" w:cs="Arial"/>
          <w:i/>
          <w:iCs/>
        </w:rPr>
        <w:t>.</w:t>
      </w:r>
    </w:p>
    <w:tbl>
      <w:tblPr>
        <w:tblStyle w:val="TableGrid"/>
        <w:tblW w:w="8095" w:type="dxa"/>
        <w:tblLook w:val="04A0" w:firstRow="1" w:lastRow="0" w:firstColumn="1" w:lastColumn="0" w:noHBand="0" w:noVBand="1"/>
      </w:tblPr>
      <w:tblGrid>
        <w:gridCol w:w="2785"/>
        <w:gridCol w:w="1260"/>
        <w:gridCol w:w="1980"/>
        <w:gridCol w:w="2070"/>
      </w:tblGrid>
      <w:tr w:rsidR="001D24A8" w:rsidRPr="001014B8" w:rsidTr="001D24A8">
        <w:tc>
          <w:tcPr>
            <w:tcW w:w="2785" w:type="dxa"/>
            <w:shd w:val="clear" w:color="auto" w:fill="4472C4" w:themeFill="accent1"/>
            <w:vAlign w:val="bottom"/>
          </w:tcPr>
          <w:p w:rsidR="001D24A8" w:rsidRPr="00DC4E14" w:rsidRDefault="001D24A8" w:rsidP="00066454">
            <w:pPr>
              <w:rPr>
                <w:rFonts w:ascii="Arial" w:eastAsia="Times New Roman" w:hAnsi="Arial" w:cs="Arial"/>
                <w:b/>
                <w:bCs/>
                <w:color w:val="FFFFFF" w:themeColor="background1"/>
                <w:sz w:val="24"/>
                <w:szCs w:val="24"/>
              </w:rPr>
            </w:pPr>
            <w:r w:rsidRPr="00DC4E14">
              <w:rPr>
                <w:rFonts w:ascii="Arial" w:eastAsia="Times New Roman" w:hAnsi="Arial" w:cs="Arial"/>
                <w:b/>
                <w:bCs/>
                <w:color w:val="FFFFFF" w:themeColor="background1"/>
                <w:sz w:val="24"/>
                <w:szCs w:val="24"/>
              </w:rPr>
              <w:t>County</w:t>
            </w:r>
          </w:p>
        </w:tc>
        <w:tc>
          <w:tcPr>
            <w:tcW w:w="1260" w:type="dxa"/>
            <w:shd w:val="clear" w:color="auto" w:fill="4472C4" w:themeFill="accent1"/>
            <w:vAlign w:val="bottom"/>
          </w:tcPr>
          <w:p w:rsidR="001D24A8" w:rsidRPr="00DC4E14" w:rsidRDefault="001D24A8" w:rsidP="00066454">
            <w:pPr>
              <w:rPr>
                <w:rFonts w:ascii="Arial" w:eastAsia="Times New Roman" w:hAnsi="Arial" w:cs="Arial"/>
                <w:b/>
                <w:bCs/>
                <w:color w:val="FFFFFF" w:themeColor="background1"/>
                <w:sz w:val="24"/>
                <w:szCs w:val="24"/>
              </w:rPr>
            </w:pPr>
            <w:r w:rsidRPr="00DC4E14">
              <w:rPr>
                <w:rFonts w:ascii="Arial" w:eastAsia="Times New Roman" w:hAnsi="Arial" w:cs="Arial"/>
                <w:b/>
                <w:bCs/>
                <w:color w:val="FFFFFF" w:themeColor="background1"/>
                <w:sz w:val="24"/>
                <w:szCs w:val="24"/>
              </w:rPr>
              <w:t>Tier</w:t>
            </w:r>
          </w:p>
        </w:tc>
        <w:tc>
          <w:tcPr>
            <w:tcW w:w="1980" w:type="dxa"/>
            <w:tcBorders>
              <w:bottom w:val="single" w:sz="4" w:space="0" w:color="auto"/>
            </w:tcBorders>
            <w:shd w:val="clear" w:color="auto" w:fill="4472C4" w:themeFill="accent1"/>
            <w:vAlign w:val="bottom"/>
          </w:tcPr>
          <w:p w:rsidR="001D24A8" w:rsidRPr="00F6782A" w:rsidRDefault="001D24A8" w:rsidP="00066454">
            <w:pPr>
              <w:rPr>
                <w:rFonts w:ascii="Arial" w:eastAsia="Times New Roman" w:hAnsi="Arial" w:cs="Arial"/>
                <w:b/>
                <w:bCs/>
                <w:color w:val="FFFFFF" w:themeColor="background1"/>
                <w:sz w:val="24"/>
                <w:szCs w:val="24"/>
              </w:rPr>
            </w:pPr>
            <w:r w:rsidRPr="00F6782A">
              <w:rPr>
                <w:rFonts w:ascii="Arial" w:eastAsia="Times New Roman" w:hAnsi="Arial" w:cs="Arial"/>
                <w:b/>
                <w:bCs/>
                <w:color w:val="FFFFFF" w:themeColor="background1"/>
                <w:sz w:val="24"/>
                <w:szCs w:val="24"/>
              </w:rPr>
              <w:t>Allocation with $7 million total</w:t>
            </w:r>
          </w:p>
        </w:tc>
        <w:tc>
          <w:tcPr>
            <w:tcW w:w="2070" w:type="dxa"/>
            <w:tcBorders>
              <w:bottom w:val="single" w:sz="4" w:space="0" w:color="auto"/>
            </w:tcBorders>
            <w:shd w:val="clear" w:color="auto" w:fill="4472C4" w:themeFill="accent1"/>
            <w:vAlign w:val="bottom"/>
          </w:tcPr>
          <w:p w:rsidR="001D24A8" w:rsidRPr="00F6782A" w:rsidRDefault="001D24A8" w:rsidP="00066454">
            <w:pPr>
              <w:rPr>
                <w:rFonts w:ascii="Arial" w:eastAsia="Times New Roman" w:hAnsi="Arial" w:cs="Arial"/>
                <w:b/>
                <w:bCs/>
                <w:color w:val="FFFFFF" w:themeColor="background1"/>
                <w:sz w:val="24"/>
                <w:szCs w:val="24"/>
              </w:rPr>
            </w:pPr>
            <w:r w:rsidRPr="00F6782A">
              <w:rPr>
                <w:rFonts w:ascii="Arial" w:eastAsia="Times New Roman" w:hAnsi="Arial" w:cs="Arial"/>
                <w:b/>
                <w:bCs/>
                <w:color w:val="FFFFFF" w:themeColor="background1"/>
                <w:sz w:val="24"/>
                <w:szCs w:val="24"/>
              </w:rPr>
              <w:t>Allocation with $10 million total</w:t>
            </w:r>
          </w:p>
        </w:tc>
      </w:tr>
      <w:tr w:rsidR="001D24A8" w:rsidRPr="001014B8" w:rsidTr="001D24A8">
        <w:tc>
          <w:tcPr>
            <w:tcW w:w="2785" w:type="dxa"/>
          </w:tcPr>
          <w:p w:rsidR="001D24A8" w:rsidRPr="001014B8" w:rsidRDefault="001D24A8" w:rsidP="00066454">
            <w:pPr>
              <w:rPr>
                <w:rFonts w:ascii="Arial" w:eastAsia="Times New Roman" w:hAnsi="Arial" w:cs="Arial"/>
              </w:rPr>
            </w:pPr>
            <w:r w:rsidRPr="001014B8">
              <w:rPr>
                <w:rFonts w:ascii="Arial" w:eastAsia="Times New Roman" w:hAnsi="Arial" w:cs="Arial"/>
                <w:color w:val="000000"/>
              </w:rPr>
              <w:t>Baker</w:t>
            </w:r>
          </w:p>
        </w:tc>
        <w:tc>
          <w:tcPr>
            <w:tcW w:w="1260" w:type="dxa"/>
            <w:tcBorders>
              <w:top w:val="single" w:sz="4" w:space="0" w:color="auto"/>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rPr>
            </w:pPr>
            <w:r w:rsidRPr="00033AA7">
              <w:rPr>
                <w:rFonts w:ascii="Arial" w:hAnsi="Arial" w:cs="Arial"/>
                <w:color w:val="000000"/>
              </w:rPr>
              <w:t>$110,241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rPr>
            </w:pPr>
            <w:r w:rsidRPr="00033AA7">
              <w:rPr>
                <w:rFonts w:ascii="Arial" w:hAnsi="Arial" w:cs="Arial"/>
                <w:color w:val="000000"/>
              </w:rPr>
              <w:t>$157,487</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Benton</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$271,631</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$388,044</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Clackamas</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$665,109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$950,156</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Clatsop</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$312,528</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$446,469</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Columbia</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1</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$73,769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$105,384</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Coos</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$114,993</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$164,276</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Crook</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$203,370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$290,528</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Curry</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1</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$65,448</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$93,497</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Deschutes</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$382,959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$547,084</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Douglas</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ICAA only</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$27,401</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$39,144</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Gilliam, Sherman, Wasco</w:t>
            </w:r>
          </w:p>
        </w:tc>
        <w:tc>
          <w:tcPr>
            <w:tcW w:w="1260" w:type="dxa"/>
            <w:tcBorders>
              <w:right w:val="single" w:sz="4" w:space="0" w:color="auto"/>
            </w:tcBorders>
          </w:tcPr>
          <w:p w:rsidR="001D24A8" w:rsidRPr="00F6782A" w:rsidRDefault="001D24A8" w:rsidP="00066454">
            <w:pPr>
              <w:rPr>
                <w:rFonts w:ascii="Arial" w:eastAsia="Times New Roman" w:hAnsi="Arial" w:cs="Arial"/>
                <w:color w:val="000000"/>
              </w:rPr>
            </w:pPr>
            <w:r w:rsidRPr="00F6782A">
              <w:rPr>
                <w:rFonts w:ascii="Arial" w:eastAsia="Times New Roman"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$180,906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$258,437</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Grant</w:t>
            </w:r>
          </w:p>
        </w:tc>
        <w:tc>
          <w:tcPr>
            <w:tcW w:w="1260"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1</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$52,607</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$75,152</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Harney</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$93,388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$133,412</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Hood River</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$244,659</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$349,512</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Jackson</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$183,208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$261,725</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Jefferson</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$195,718</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$279,597</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Josephine</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$158,190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$225,986</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Klamath</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$152,237</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$217,482</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Lake</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ICAA only</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$11,743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$16,776</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Lane</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$665,442</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$950,631</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Lincoln</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$195,509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$279,299</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Linn</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$321,482</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$459,260</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Malheur</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$149,662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$213,803</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Marion</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$195,718</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$279,597</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Morrow</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ICAA only</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$11,743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$16,776</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Multnomah</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$665,442</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$950,631</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Polk</w:t>
            </w:r>
          </w:p>
        </w:tc>
        <w:tc>
          <w:tcPr>
            <w:tcW w:w="1260" w:type="dxa"/>
            <w:tcBorders>
              <w:top w:val="single" w:sz="4" w:space="0" w:color="auto"/>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ICAA only</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$11,743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$16,776</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Tillamook</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$146,807</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$209,725</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Umatilla</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$267,171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$381,673</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Union</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1</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$84,550</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$120,786</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Wallowa</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eastAsia="Times New Roman" w:hAnsi="Arial" w:cs="Arial"/>
                <w:color w:val="000000"/>
              </w:rPr>
              <w:t>N/A</w:t>
            </w:r>
          </w:p>
        </w:tc>
        <w:tc>
          <w:tcPr>
            <w:tcW w:w="1980" w:type="dxa"/>
            <w:tcBorders>
              <w:top w:val="single" w:sz="4" w:space="0" w:color="auto"/>
              <w:left w:val="single" w:sz="4" w:space="0" w:color="auto"/>
              <w:bottom w:val="single" w:sz="4" w:space="0" w:color="auto"/>
              <w:right w:val="nil"/>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eastAsia="Times New Roman" w:hAnsi="Arial" w:cs="Arial"/>
                <w:color w:val="000000"/>
              </w:rPr>
              <w:t>N/A</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eastAsia="Times New Roman" w:hAnsi="Arial" w:cs="Arial"/>
                <w:color w:val="000000"/>
              </w:rPr>
              <w:t>N/A</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Washington</w:t>
            </w:r>
          </w:p>
        </w:tc>
        <w:tc>
          <w:tcPr>
            <w:tcW w:w="1260" w:type="dxa"/>
            <w:tcBorders>
              <w:top w:val="nil"/>
              <w:left w:val="single" w:sz="8" w:space="0" w:color="auto"/>
              <w:bottom w:val="single" w:sz="4" w:space="0" w:color="auto"/>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3</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$584,946</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$835,637</w:t>
            </w:r>
          </w:p>
        </w:tc>
      </w:tr>
      <w:tr w:rsidR="001D24A8" w:rsidRPr="001014B8" w:rsidTr="001D24A8">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Wheeler</w:t>
            </w:r>
          </w:p>
        </w:tc>
        <w:tc>
          <w:tcPr>
            <w:tcW w:w="1260" w:type="dxa"/>
            <w:tcBorders>
              <w:top w:val="nil"/>
              <w:left w:val="single" w:sz="8" w:space="0" w:color="auto"/>
              <w:bottom w:val="single" w:sz="4" w:space="0" w:color="auto"/>
              <w:right w:val="single" w:sz="4" w:space="0" w:color="auto"/>
            </w:tcBorders>
            <w:shd w:val="clear" w:color="auto" w:fill="auto"/>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ICAA only</w:t>
            </w:r>
          </w:p>
        </w:tc>
        <w:tc>
          <w:tcPr>
            <w:tcW w:w="1980" w:type="dxa"/>
            <w:tcBorders>
              <w:top w:val="single" w:sz="4" w:space="0" w:color="auto"/>
              <w:left w:val="nil"/>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$11,743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$16,776</w:t>
            </w:r>
          </w:p>
        </w:tc>
      </w:tr>
      <w:tr w:rsidR="001D24A8" w:rsidRPr="001014B8" w:rsidTr="001D24A8">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Yamhill</w:t>
            </w:r>
          </w:p>
        </w:tc>
        <w:tc>
          <w:tcPr>
            <w:tcW w:w="1260" w:type="dxa"/>
            <w:tcBorders>
              <w:right w:val="single" w:sz="4" w:space="0" w:color="auto"/>
            </w:tcBorders>
            <w:shd w:val="clear" w:color="auto" w:fill="DEEAF6" w:themeFill="accent5" w:themeFillTint="33"/>
            <w:vAlign w:val="bottom"/>
          </w:tcPr>
          <w:p w:rsidR="001D24A8" w:rsidRPr="00F6782A" w:rsidRDefault="001D24A8" w:rsidP="00066454">
            <w:pPr>
              <w:rPr>
                <w:rFonts w:ascii="Arial" w:eastAsia="Times New Roman" w:hAnsi="Arial" w:cs="Arial"/>
                <w:color w:val="000000"/>
              </w:rPr>
            </w:pPr>
            <w:r w:rsidRPr="00F6782A">
              <w:rPr>
                <w:rFonts w:ascii="Arial" w:hAnsi="Arial" w:cs="Arial"/>
                <w:color w:val="000000"/>
              </w:rPr>
              <w:t>Tier 2</w:t>
            </w:r>
          </w:p>
        </w:tc>
        <w:tc>
          <w:tcPr>
            <w:tcW w:w="1980" w:type="dxa"/>
            <w:tcBorders>
              <w:top w:val="single" w:sz="4" w:space="0" w:color="auto"/>
              <w:left w:val="nil"/>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$187,937</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033AA7" w:rsidRDefault="001D24A8" w:rsidP="00066454">
            <w:pPr>
              <w:rPr>
                <w:rFonts w:ascii="Arial" w:eastAsia="Times New Roman" w:hAnsi="Arial" w:cs="Arial"/>
                <w:color w:val="000000"/>
              </w:rPr>
            </w:pPr>
            <w:r w:rsidRPr="00033AA7">
              <w:rPr>
                <w:rFonts w:ascii="Arial" w:hAnsi="Arial" w:cs="Arial"/>
                <w:color w:val="000000"/>
              </w:rPr>
              <w:t>$268,482</w:t>
            </w:r>
          </w:p>
        </w:tc>
      </w:tr>
      <w:tr w:rsidR="001D24A8" w:rsidRPr="001014B8" w:rsidTr="001D24A8">
        <w:trPr>
          <w:trHeight w:val="300"/>
        </w:trPr>
        <w:tc>
          <w:tcPr>
            <w:tcW w:w="2785" w:type="dxa"/>
            <w:shd w:val="clear" w:color="auto" w:fill="4472C4" w:themeFill="accent1"/>
            <w:noWrap/>
          </w:tcPr>
          <w:p w:rsidR="001D24A8" w:rsidRPr="001014B8" w:rsidRDefault="001D24A8" w:rsidP="00066454">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Total</w:t>
            </w:r>
          </w:p>
        </w:tc>
        <w:tc>
          <w:tcPr>
            <w:tcW w:w="1260" w:type="dxa"/>
            <w:tcBorders>
              <w:right w:val="single" w:sz="4" w:space="0" w:color="auto"/>
            </w:tcBorders>
            <w:shd w:val="clear" w:color="auto" w:fill="4472C4" w:themeFill="accent1"/>
          </w:tcPr>
          <w:p w:rsidR="001D24A8" w:rsidRPr="00270C9E" w:rsidRDefault="001D24A8" w:rsidP="00066454">
            <w:pPr>
              <w:rPr>
                <w:rFonts w:ascii="Arial" w:hAnsi="Arial" w:cs="Arial"/>
                <w:b/>
                <w:bCs/>
                <w:color w:val="FFFFFF" w:themeColor="background1"/>
                <w:sz w:val="24"/>
                <w:szCs w:val="24"/>
              </w:rPr>
            </w:pPr>
          </w:p>
        </w:tc>
        <w:tc>
          <w:tcPr>
            <w:tcW w:w="1980" w:type="dxa"/>
            <w:tcBorders>
              <w:top w:val="single" w:sz="4" w:space="0" w:color="auto"/>
              <w:left w:val="single" w:sz="4" w:space="0" w:color="auto"/>
              <w:bottom w:val="single" w:sz="4" w:space="0" w:color="auto"/>
              <w:right w:val="nil"/>
            </w:tcBorders>
            <w:shd w:val="clear" w:color="auto" w:fill="4472C4" w:themeFill="accent1"/>
            <w:vAlign w:val="bottom"/>
          </w:tcPr>
          <w:p w:rsidR="001D24A8" w:rsidRPr="00270C9E" w:rsidRDefault="001D24A8" w:rsidP="00066454">
            <w:pPr>
              <w:rPr>
                <w:rFonts w:ascii="Arial" w:eastAsia="Times New Roman" w:hAnsi="Arial" w:cs="Arial"/>
                <w:b/>
                <w:bCs/>
                <w:color w:val="FFFFFF" w:themeColor="background1"/>
                <w:sz w:val="24"/>
                <w:szCs w:val="24"/>
              </w:rPr>
            </w:pPr>
            <w:r w:rsidRPr="00270C9E">
              <w:rPr>
                <w:rFonts w:ascii="Arial" w:hAnsi="Arial" w:cs="Arial"/>
                <w:b/>
                <w:bCs/>
                <w:color w:val="FFFFFF" w:themeColor="background1"/>
                <w:sz w:val="24"/>
                <w:szCs w:val="24"/>
              </w:rPr>
              <w:t>$7,000,000</w:t>
            </w:r>
          </w:p>
        </w:tc>
        <w:tc>
          <w:tcPr>
            <w:tcW w:w="2070" w:type="dxa"/>
            <w:tcBorders>
              <w:top w:val="single" w:sz="4" w:space="0" w:color="auto"/>
              <w:left w:val="single" w:sz="4" w:space="0" w:color="auto"/>
              <w:bottom w:val="single" w:sz="4" w:space="0" w:color="auto"/>
              <w:right w:val="single" w:sz="4" w:space="0" w:color="auto"/>
            </w:tcBorders>
            <w:shd w:val="clear" w:color="auto" w:fill="4472C4" w:themeFill="accent1"/>
            <w:vAlign w:val="bottom"/>
          </w:tcPr>
          <w:p w:rsidR="001D24A8" w:rsidRPr="00270C9E" w:rsidRDefault="001D24A8" w:rsidP="00066454">
            <w:pPr>
              <w:rPr>
                <w:rFonts w:ascii="Arial" w:eastAsia="Times New Roman" w:hAnsi="Arial" w:cs="Arial"/>
                <w:b/>
                <w:bCs/>
                <w:color w:val="FFFFFF" w:themeColor="background1"/>
                <w:sz w:val="24"/>
                <w:szCs w:val="24"/>
              </w:rPr>
            </w:pPr>
            <w:r w:rsidRPr="00270C9E">
              <w:rPr>
                <w:rFonts w:ascii="Arial" w:hAnsi="Arial" w:cs="Arial"/>
                <w:b/>
                <w:bCs/>
                <w:color w:val="FFFFFF" w:themeColor="background1"/>
                <w:sz w:val="24"/>
                <w:szCs w:val="24"/>
              </w:rPr>
              <w:t>$10,000,000</w:t>
            </w:r>
          </w:p>
        </w:tc>
      </w:tr>
    </w:tbl>
    <w:p w:rsidR="001D24A8" w:rsidRDefault="001D24A8" w:rsidP="001D24A8">
      <w:pPr>
        <w:spacing w:after="0" w:line="360" w:lineRule="auto"/>
        <w:rPr>
          <w:rFonts w:ascii="Arial" w:eastAsia="Times New Roman" w:hAnsi="Arial" w:cs="Arial"/>
          <w:b/>
          <w:bCs/>
        </w:rPr>
      </w:pPr>
    </w:p>
    <w:p w:rsidR="001D24A8" w:rsidRDefault="00B355CB" w:rsidP="002A4E17">
      <w:pPr>
        <w:spacing w:after="120" w:line="240" w:lineRule="auto"/>
        <w:ind w:right="2434"/>
        <w:rPr>
          <w:rFonts w:ascii="Arial" w:eastAsia="Times New Roman" w:hAnsi="Arial" w:cs="Arial"/>
        </w:rPr>
      </w:pPr>
      <w:r>
        <w:rPr>
          <w:rFonts w:ascii="Arial" w:eastAsia="Times New Roman" w:hAnsi="Arial" w:cs="Arial"/>
          <w:b/>
          <w:bCs/>
        </w:rPr>
        <w:t xml:space="preserve">Table 2. </w:t>
      </w:r>
      <w:r w:rsidR="001D24A8" w:rsidRPr="001D24A8">
        <w:rPr>
          <w:rFonts w:ascii="Arial" w:eastAsia="Times New Roman" w:hAnsi="Arial" w:cs="Arial"/>
        </w:rPr>
        <w:t>Funding Allocations to Counties using Public Health Modernization Funding Formula</w:t>
      </w:r>
      <w:r w:rsidR="00B91AF2">
        <w:rPr>
          <w:rFonts w:ascii="Arial" w:eastAsia="Times New Roman" w:hAnsi="Arial" w:cs="Arial"/>
        </w:rPr>
        <w:t xml:space="preserve"> (Scenario 3)</w:t>
      </w:r>
    </w:p>
    <w:p w:rsidR="002A4E17" w:rsidRPr="002A4E17" w:rsidRDefault="002A4E17" w:rsidP="000072D8">
      <w:pPr>
        <w:tabs>
          <w:tab w:val="left" w:pos="5850"/>
        </w:tabs>
        <w:spacing w:after="120" w:line="240" w:lineRule="auto"/>
        <w:ind w:right="720"/>
        <w:rPr>
          <w:rFonts w:ascii="Arial" w:eastAsia="Times New Roman" w:hAnsi="Arial" w:cs="Arial"/>
          <w:i/>
          <w:iCs/>
        </w:rPr>
      </w:pPr>
      <w:r w:rsidRPr="002A4E17">
        <w:rPr>
          <w:rFonts w:ascii="Arial" w:eastAsia="Times New Roman" w:hAnsi="Arial" w:cs="Arial"/>
          <w:i/>
          <w:iCs/>
        </w:rPr>
        <w:t>These are example dollar amounts for planning and conversation</w:t>
      </w:r>
      <w:r>
        <w:rPr>
          <w:rFonts w:ascii="Arial" w:eastAsia="Times New Roman" w:hAnsi="Arial" w:cs="Arial"/>
          <w:i/>
          <w:iCs/>
        </w:rPr>
        <w:t>.</w:t>
      </w:r>
    </w:p>
    <w:tbl>
      <w:tblPr>
        <w:tblStyle w:val="TableGrid"/>
        <w:tblW w:w="0" w:type="auto"/>
        <w:tblLook w:val="04A0" w:firstRow="1" w:lastRow="0" w:firstColumn="1" w:lastColumn="0" w:noHBand="0" w:noVBand="1"/>
      </w:tblPr>
      <w:tblGrid>
        <w:gridCol w:w="2785"/>
        <w:gridCol w:w="2070"/>
        <w:gridCol w:w="2070"/>
      </w:tblGrid>
      <w:tr w:rsidR="001D24A8" w:rsidRPr="001014B8" w:rsidTr="00066454">
        <w:tc>
          <w:tcPr>
            <w:tcW w:w="2785" w:type="dxa"/>
            <w:shd w:val="clear" w:color="auto" w:fill="4472C4" w:themeFill="accent1"/>
            <w:vAlign w:val="bottom"/>
          </w:tcPr>
          <w:p w:rsidR="001D24A8" w:rsidRPr="00270C9E" w:rsidRDefault="001D24A8" w:rsidP="00066454">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County</w:t>
            </w:r>
          </w:p>
        </w:tc>
        <w:tc>
          <w:tcPr>
            <w:tcW w:w="2070" w:type="dxa"/>
            <w:tcBorders>
              <w:bottom w:val="single" w:sz="4" w:space="0" w:color="auto"/>
            </w:tcBorders>
            <w:shd w:val="clear" w:color="auto" w:fill="4472C4" w:themeFill="accent1"/>
            <w:vAlign w:val="bottom"/>
          </w:tcPr>
          <w:p w:rsidR="001D24A8" w:rsidRPr="00270C9E" w:rsidRDefault="001D24A8" w:rsidP="00066454">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Allocation with $7 million total</w:t>
            </w:r>
          </w:p>
        </w:tc>
        <w:tc>
          <w:tcPr>
            <w:tcW w:w="2070" w:type="dxa"/>
            <w:tcBorders>
              <w:bottom w:val="single" w:sz="4" w:space="0" w:color="auto"/>
            </w:tcBorders>
            <w:shd w:val="clear" w:color="auto" w:fill="4472C4" w:themeFill="accent1"/>
            <w:vAlign w:val="bottom"/>
          </w:tcPr>
          <w:p w:rsidR="001D24A8" w:rsidRPr="00270C9E" w:rsidRDefault="001D24A8" w:rsidP="00066454">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Allocation with $10 million total</w:t>
            </w:r>
          </w:p>
        </w:tc>
      </w:tr>
      <w:tr w:rsidR="001D24A8" w:rsidRPr="001014B8" w:rsidTr="00066454">
        <w:tc>
          <w:tcPr>
            <w:tcW w:w="2785" w:type="dxa"/>
          </w:tcPr>
          <w:p w:rsidR="001D24A8" w:rsidRPr="001014B8" w:rsidRDefault="001D24A8" w:rsidP="00066454">
            <w:pPr>
              <w:rPr>
                <w:rFonts w:ascii="Arial" w:eastAsia="Times New Roman" w:hAnsi="Arial" w:cs="Arial"/>
              </w:rPr>
            </w:pPr>
            <w:r w:rsidRPr="001014B8">
              <w:rPr>
                <w:rFonts w:ascii="Arial" w:eastAsia="Times New Roman" w:hAnsi="Arial" w:cs="Arial"/>
                <w:color w:val="000000"/>
              </w:rPr>
              <w:t>Baker</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rPr>
            </w:pPr>
            <w:r w:rsidRPr="00B108F3">
              <w:rPr>
                <w:rFonts w:ascii="Arial" w:hAnsi="Arial" w:cs="Arial"/>
                <w:color w:val="000000"/>
              </w:rPr>
              <w:t>$51,941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rPr>
            </w:pPr>
            <w:r w:rsidRPr="00B108F3">
              <w:rPr>
                <w:rFonts w:ascii="Arial" w:hAnsi="Arial" w:cs="Arial"/>
                <w:color w:val="000000"/>
              </w:rPr>
              <w:t>$64,570</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Benton</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$152,764</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$206,693</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Clackamas</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$502,889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$744,354</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Clatsop</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$94,684</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$123,465</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Columbia</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$112,551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$151,813</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Coos</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$135,038</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$187,489</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Crook</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$78,641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$98,012</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Curry</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$76,084</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$93,955</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Deschutes</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$258,796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$366,001</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Douglas</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$216,827</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$308,334</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Gilliam, Sherman, Wasco</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$150,087</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$175,688</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Grant</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$43,437</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$51,078</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Harney</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$39,581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$44,960</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Hood River</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$93,581</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$121,715</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Jackson</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$326,992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$474,199</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Jefferson</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$91,533</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$118,466</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Josephine</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$185,356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$258,403</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Klamath</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$144,245</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$202,097</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Lake</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$43,244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$50,771</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Lane</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$497,355</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$735,574</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Lincoln</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$112,782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$152,179</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Linn</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$214,140</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$304,070</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Malheur</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$104,430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$138,927</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Marion</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$577,765</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$872,069</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Morrow</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$57,291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$73,058</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Multnomah</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$1,056,526</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$1,622,741</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Polk</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$156,419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$212,492</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Tillamook</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$88,069</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$112,969</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Umatilla</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$191,484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$268,126</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Union</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$76,990</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$95,392</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Wallowa</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$42,574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$49,708</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Washington</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$802,114</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$1,219,096</w:t>
            </w:r>
          </w:p>
        </w:tc>
      </w:tr>
      <w:tr w:rsidR="001D24A8" w:rsidRPr="001014B8" w:rsidTr="00066454">
        <w:trPr>
          <w:trHeight w:val="300"/>
        </w:trPr>
        <w:tc>
          <w:tcPr>
            <w:tcW w:w="2785" w:type="dxa"/>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Wheeler</w:t>
            </w:r>
          </w:p>
        </w:tc>
        <w:tc>
          <w:tcPr>
            <w:tcW w:w="2070" w:type="dxa"/>
            <w:tcBorders>
              <w:top w:val="single" w:sz="4" w:space="0" w:color="auto"/>
              <w:left w:val="single" w:sz="4" w:space="0" w:color="auto"/>
              <w:bottom w:val="single" w:sz="4" w:space="0" w:color="auto"/>
              <w:right w:val="nil"/>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$32,868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$34,308</w:t>
            </w:r>
          </w:p>
        </w:tc>
      </w:tr>
      <w:tr w:rsidR="001D24A8" w:rsidRPr="001014B8" w:rsidTr="00066454">
        <w:trPr>
          <w:trHeight w:val="300"/>
        </w:trPr>
        <w:tc>
          <w:tcPr>
            <w:tcW w:w="2785" w:type="dxa"/>
            <w:shd w:val="clear" w:color="auto" w:fill="DEEAF6" w:themeFill="accent5" w:themeFillTint="33"/>
            <w:noWrap/>
          </w:tcPr>
          <w:p w:rsidR="001D24A8" w:rsidRPr="001014B8" w:rsidRDefault="001D24A8" w:rsidP="00066454">
            <w:pPr>
              <w:rPr>
                <w:rFonts w:ascii="Arial" w:eastAsia="Times New Roman" w:hAnsi="Arial" w:cs="Arial"/>
                <w:color w:val="000000"/>
              </w:rPr>
            </w:pPr>
            <w:r w:rsidRPr="001014B8">
              <w:rPr>
                <w:rFonts w:ascii="Arial" w:eastAsia="Times New Roman" w:hAnsi="Arial" w:cs="Arial"/>
                <w:color w:val="000000"/>
              </w:rPr>
              <w:t>Yamhill</w:t>
            </w:r>
          </w:p>
        </w:tc>
        <w:tc>
          <w:tcPr>
            <w:tcW w:w="207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$190,920</w:t>
            </w:r>
          </w:p>
        </w:tc>
        <w:tc>
          <w:tcPr>
            <w:tcW w:w="207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D24A8" w:rsidRPr="00B108F3" w:rsidRDefault="001D24A8" w:rsidP="00066454">
            <w:pPr>
              <w:rPr>
                <w:rFonts w:ascii="Arial" w:eastAsia="Times New Roman" w:hAnsi="Arial" w:cs="Arial"/>
                <w:color w:val="000000"/>
              </w:rPr>
            </w:pPr>
            <w:r w:rsidRPr="00B108F3">
              <w:rPr>
                <w:rFonts w:ascii="Arial" w:hAnsi="Arial" w:cs="Arial"/>
                <w:color w:val="000000"/>
              </w:rPr>
              <w:t>$267,231</w:t>
            </w:r>
          </w:p>
        </w:tc>
      </w:tr>
      <w:tr w:rsidR="001D24A8" w:rsidRPr="001014B8" w:rsidTr="00066454">
        <w:trPr>
          <w:trHeight w:val="300"/>
        </w:trPr>
        <w:tc>
          <w:tcPr>
            <w:tcW w:w="2785" w:type="dxa"/>
            <w:shd w:val="clear" w:color="auto" w:fill="4472C4" w:themeFill="accent1"/>
            <w:noWrap/>
          </w:tcPr>
          <w:p w:rsidR="001D24A8" w:rsidRPr="001014B8" w:rsidRDefault="001D24A8" w:rsidP="00066454">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Total</w:t>
            </w:r>
          </w:p>
        </w:tc>
        <w:tc>
          <w:tcPr>
            <w:tcW w:w="2070" w:type="dxa"/>
            <w:tcBorders>
              <w:top w:val="single" w:sz="4" w:space="0" w:color="auto"/>
              <w:left w:val="single" w:sz="4" w:space="0" w:color="auto"/>
              <w:bottom w:val="single" w:sz="4" w:space="0" w:color="auto"/>
              <w:right w:val="nil"/>
            </w:tcBorders>
            <w:shd w:val="clear" w:color="auto" w:fill="4472C4" w:themeFill="accent1"/>
            <w:vAlign w:val="bottom"/>
          </w:tcPr>
          <w:p w:rsidR="001D24A8" w:rsidRPr="00270C9E" w:rsidRDefault="001D24A8" w:rsidP="00066454">
            <w:pPr>
              <w:rPr>
                <w:rFonts w:ascii="Arial" w:eastAsia="Times New Roman" w:hAnsi="Arial" w:cs="Arial"/>
                <w:b/>
                <w:bCs/>
                <w:color w:val="FFFFFF" w:themeColor="background1"/>
                <w:sz w:val="24"/>
                <w:szCs w:val="24"/>
              </w:rPr>
            </w:pPr>
            <w:r w:rsidRPr="00270C9E">
              <w:rPr>
                <w:rFonts w:ascii="Arial" w:hAnsi="Arial" w:cs="Arial"/>
                <w:b/>
                <w:bCs/>
                <w:color w:val="FFFFFF" w:themeColor="background1"/>
                <w:sz w:val="24"/>
                <w:szCs w:val="24"/>
              </w:rPr>
              <w:t>$7,000,000</w:t>
            </w:r>
          </w:p>
        </w:tc>
        <w:tc>
          <w:tcPr>
            <w:tcW w:w="2070" w:type="dxa"/>
            <w:tcBorders>
              <w:top w:val="single" w:sz="4" w:space="0" w:color="auto"/>
              <w:left w:val="single" w:sz="4" w:space="0" w:color="auto"/>
              <w:bottom w:val="single" w:sz="4" w:space="0" w:color="auto"/>
              <w:right w:val="single" w:sz="4" w:space="0" w:color="auto"/>
            </w:tcBorders>
            <w:shd w:val="clear" w:color="auto" w:fill="4472C4" w:themeFill="accent1"/>
            <w:vAlign w:val="bottom"/>
          </w:tcPr>
          <w:p w:rsidR="001D24A8" w:rsidRPr="00270C9E" w:rsidRDefault="001D24A8" w:rsidP="00066454">
            <w:pPr>
              <w:rPr>
                <w:rFonts w:ascii="Arial" w:eastAsia="Times New Roman" w:hAnsi="Arial" w:cs="Arial"/>
                <w:b/>
                <w:bCs/>
                <w:color w:val="FFFFFF" w:themeColor="background1"/>
                <w:sz w:val="24"/>
                <w:szCs w:val="24"/>
              </w:rPr>
            </w:pPr>
            <w:r w:rsidRPr="00270C9E">
              <w:rPr>
                <w:rFonts w:ascii="Arial" w:hAnsi="Arial" w:cs="Arial"/>
                <w:b/>
                <w:bCs/>
                <w:color w:val="FFFFFF" w:themeColor="background1"/>
                <w:sz w:val="24"/>
                <w:szCs w:val="24"/>
              </w:rPr>
              <w:t>$10,000,000</w:t>
            </w:r>
          </w:p>
        </w:tc>
      </w:tr>
    </w:tbl>
    <w:p w:rsidR="00873E8E" w:rsidRDefault="00873E8E" w:rsidP="001D24A8">
      <w:pPr>
        <w:spacing w:after="0" w:line="240" w:lineRule="auto"/>
        <w:rPr>
          <w:rFonts w:ascii="Arial" w:eastAsia="Times New Roman" w:hAnsi="Arial" w:cs="Arial"/>
        </w:rPr>
      </w:pPr>
    </w:p>
    <w:p w:rsidR="00B355CB" w:rsidRDefault="00B355CB" w:rsidP="00FB4F7F">
      <w:pPr>
        <w:spacing w:after="120" w:line="240" w:lineRule="auto"/>
        <w:ind w:right="2520"/>
        <w:rPr>
          <w:rFonts w:ascii="Arial" w:eastAsia="Times New Roman" w:hAnsi="Arial" w:cs="Arial"/>
        </w:rPr>
      </w:pPr>
      <w:r>
        <w:rPr>
          <w:rFonts w:ascii="Arial" w:eastAsia="Times New Roman" w:hAnsi="Arial" w:cs="Arial"/>
          <w:b/>
          <w:bCs/>
        </w:rPr>
        <w:t xml:space="preserve">Table 3. </w:t>
      </w:r>
      <w:r w:rsidRPr="001D24A8">
        <w:rPr>
          <w:rFonts w:ascii="Arial" w:eastAsia="Times New Roman" w:hAnsi="Arial" w:cs="Arial"/>
        </w:rPr>
        <w:t xml:space="preserve">Funding Allocations to Counties </w:t>
      </w:r>
      <w:r w:rsidR="00F15EAC">
        <w:rPr>
          <w:rFonts w:ascii="Arial" w:eastAsia="Times New Roman" w:hAnsi="Arial" w:cs="Arial"/>
        </w:rPr>
        <w:t xml:space="preserve">to </w:t>
      </w:r>
      <w:r w:rsidR="00790DFF">
        <w:rPr>
          <w:rFonts w:ascii="Arial" w:eastAsia="Times New Roman" w:hAnsi="Arial" w:cs="Arial"/>
        </w:rPr>
        <w:t>Achieve Per Capita Funding Equal to State Average</w:t>
      </w:r>
      <w:r w:rsidRPr="00B355CB">
        <w:rPr>
          <w:rFonts w:ascii="Arial" w:eastAsia="Times New Roman" w:hAnsi="Arial" w:cs="Arial"/>
        </w:rPr>
        <w:t xml:space="preserve"> (Scenario 4)</w:t>
      </w:r>
    </w:p>
    <w:p w:rsidR="00B355CB" w:rsidRPr="002A4E17" w:rsidRDefault="00B355CB" w:rsidP="000072D8">
      <w:pPr>
        <w:tabs>
          <w:tab w:val="left" w:pos="5850"/>
        </w:tabs>
        <w:spacing w:after="120" w:line="240" w:lineRule="auto"/>
        <w:ind w:right="2520"/>
        <w:rPr>
          <w:rFonts w:ascii="Arial" w:eastAsia="Times New Roman" w:hAnsi="Arial" w:cs="Arial"/>
          <w:i/>
          <w:iCs/>
        </w:rPr>
      </w:pPr>
      <w:r w:rsidRPr="002A4E17">
        <w:rPr>
          <w:rFonts w:ascii="Arial" w:eastAsia="Times New Roman" w:hAnsi="Arial" w:cs="Arial"/>
          <w:i/>
          <w:iCs/>
        </w:rPr>
        <w:t>These are example dollar amounts for planning and conversation</w:t>
      </w:r>
      <w:r>
        <w:rPr>
          <w:rFonts w:ascii="Arial" w:eastAsia="Times New Roman" w:hAnsi="Arial" w:cs="Arial"/>
          <w:i/>
          <w:iCs/>
        </w:rPr>
        <w:t>.</w:t>
      </w:r>
    </w:p>
    <w:tbl>
      <w:tblPr>
        <w:tblStyle w:val="TableGrid"/>
        <w:tblW w:w="0" w:type="auto"/>
        <w:tblLook w:val="04A0" w:firstRow="1" w:lastRow="0" w:firstColumn="1" w:lastColumn="0" w:noHBand="0" w:noVBand="1"/>
      </w:tblPr>
      <w:tblGrid>
        <w:gridCol w:w="2785"/>
        <w:gridCol w:w="1710"/>
        <w:gridCol w:w="2340"/>
      </w:tblGrid>
      <w:tr w:rsidR="00AE5ECC" w:rsidRPr="00270C9E" w:rsidTr="00FB4F7F">
        <w:tc>
          <w:tcPr>
            <w:tcW w:w="2785" w:type="dxa"/>
            <w:shd w:val="clear" w:color="auto" w:fill="4472C4" w:themeFill="accent1"/>
            <w:vAlign w:val="bottom"/>
          </w:tcPr>
          <w:p w:rsidR="00AE5ECC" w:rsidRPr="00270C9E" w:rsidRDefault="00AE5ECC" w:rsidP="00066454">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County</w:t>
            </w:r>
          </w:p>
        </w:tc>
        <w:tc>
          <w:tcPr>
            <w:tcW w:w="1710" w:type="dxa"/>
            <w:tcBorders>
              <w:bottom w:val="single" w:sz="4" w:space="0" w:color="auto"/>
            </w:tcBorders>
            <w:shd w:val="clear" w:color="auto" w:fill="4472C4" w:themeFill="accent1"/>
            <w:vAlign w:val="bottom"/>
          </w:tcPr>
          <w:p w:rsidR="00AE5ECC" w:rsidRPr="00270C9E" w:rsidRDefault="00B13DCF" w:rsidP="00066454">
            <w:pPr>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CBO funding per capita</w:t>
            </w:r>
          </w:p>
        </w:tc>
        <w:tc>
          <w:tcPr>
            <w:tcW w:w="2340" w:type="dxa"/>
            <w:tcBorders>
              <w:bottom w:val="single" w:sz="4" w:space="0" w:color="auto"/>
            </w:tcBorders>
            <w:shd w:val="clear" w:color="auto" w:fill="4472C4" w:themeFill="accent1"/>
            <w:vAlign w:val="bottom"/>
          </w:tcPr>
          <w:p w:rsidR="00AE5ECC" w:rsidRPr="00270C9E" w:rsidRDefault="00B13DCF" w:rsidP="00066454">
            <w:pPr>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 xml:space="preserve">Additional funding to equal </w:t>
            </w:r>
            <w:r w:rsidR="00F15EAC">
              <w:rPr>
                <w:rFonts w:ascii="Arial" w:eastAsia="Times New Roman" w:hAnsi="Arial" w:cs="Arial"/>
                <w:b/>
                <w:bCs/>
                <w:color w:val="FFFFFF" w:themeColor="background1"/>
                <w:sz w:val="24"/>
                <w:szCs w:val="24"/>
              </w:rPr>
              <w:t xml:space="preserve">state average </w:t>
            </w:r>
            <w:r w:rsidR="003E1011">
              <w:rPr>
                <w:rFonts w:ascii="Arial" w:eastAsia="Times New Roman" w:hAnsi="Arial" w:cs="Arial"/>
                <w:b/>
                <w:bCs/>
                <w:color w:val="FFFFFF" w:themeColor="background1"/>
                <w:sz w:val="24"/>
                <w:szCs w:val="24"/>
              </w:rPr>
              <w:t>($4.44)</w:t>
            </w:r>
          </w:p>
        </w:tc>
      </w:tr>
      <w:tr w:rsidR="003E1011" w:rsidRPr="00B108F3" w:rsidTr="00FB4F7F">
        <w:tc>
          <w:tcPr>
            <w:tcW w:w="2785" w:type="dxa"/>
          </w:tcPr>
          <w:p w:rsidR="003E1011" w:rsidRPr="001014B8" w:rsidRDefault="003E1011" w:rsidP="003E1011">
            <w:pPr>
              <w:rPr>
                <w:rFonts w:ascii="Arial" w:eastAsia="Times New Roman" w:hAnsi="Arial" w:cs="Arial"/>
              </w:rPr>
            </w:pPr>
            <w:r w:rsidRPr="001014B8">
              <w:rPr>
                <w:rFonts w:ascii="Arial" w:eastAsia="Times New Roman" w:hAnsi="Arial" w:cs="Arial"/>
                <w:color w:val="000000"/>
              </w:rPr>
              <w:t>Baker</w:t>
            </w:r>
          </w:p>
        </w:tc>
        <w:tc>
          <w:tcPr>
            <w:tcW w:w="1710" w:type="dxa"/>
            <w:vAlign w:val="bottom"/>
          </w:tcPr>
          <w:p w:rsidR="003E1011" w:rsidRPr="009361CE" w:rsidRDefault="009361CE" w:rsidP="003E1011">
            <w:pPr>
              <w:rPr>
                <w:rFonts w:ascii="Arial" w:hAnsi="Arial" w:cs="Arial"/>
                <w:color w:val="000000"/>
              </w:rPr>
            </w:pPr>
            <w:r>
              <w:rPr>
                <w:rFonts w:ascii="Arial" w:hAnsi="Arial" w:cs="Arial"/>
                <w:color w:val="000000"/>
              </w:rPr>
              <w:t>$</w:t>
            </w:r>
            <w:r w:rsidR="003E1011" w:rsidRPr="009361CE">
              <w:rPr>
                <w:rFonts w:ascii="Arial" w:hAnsi="Arial" w:cs="Arial"/>
                <w:color w:val="000000"/>
              </w:rPr>
              <w:t xml:space="preserve">5.19 </w:t>
            </w:r>
          </w:p>
        </w:tc>
        <w:tc>
          <w:tcPr>
            <w:tcW w:w="2340" w:type="dxa"/>
            <w:vAlign w:val="bottom"/>
          </w:tcPr>
          <w:p w:rsidR="003E1011" w:rsidRPr="009361CE" w:rsidRDefault="009361CE" w:rsidP="003E1011">
            <w:pPr>
              <w:rPr>
                <w:rFonts w:ascii="Arial" w:hAnsi="Arial" w:cs="Arial"/>
                <w:color w:val="000000"/>
              </w:rPr>
            </w:pPr>
            <w:r>
              <w:rPr>
                <w:rFonts w:ascii="Arial" w:hAnsi="Arial" w:cs="Arial"/>
                <w:color w:val="000000"/>
              </w:rPr>
              <w:t>N/A</w:t>
            </w:r>
          </w:p>
        </w:tc>
      </w:tr>
      <w:tr w:rsidR="000210CE" w:rsidRPr="00B108F3" w:rsidTr="000210CE">
        <w:trPr>
          <w:trHeight w:val="300"/>
        </w:trPr>
        <w:tc>
          <w:tcPr>
            <w:tcW w:w="2785" w:type="dxa"/>
            <w:shd w:val="clear" w:color="auto" w:fill="DEEAF6" w:themeFill="accent5" w:themeFillTint="33"/>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Benton</w:t>
            </w:r>
          </w:p>
        </w:tc>
        <w:tc>
          <w:tcPr>
            <w:tcW w:w="171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$2.20 </w:t>
            </w:r>
          </w:p>
        </w:tc>
        <w:tc>
          <w:tcPr>
            <w:tcW w:w="234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$212,057 </w:t>
            </w:r>
          </w:p>
        </w:tc>
      </w:tr>
      <w:tr w:rsidR="003E1011" w:rsidRPr="00B108F3" w:rsidTr="00FB4F7F">
        <w:trPr>
          <w:trHeight w:val="300"/>
        </w:trPr>
        <w:tc>
          <w:tcPr>
            <w:tcW w:w="2785" w:type="dxa"/>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Clackamas</w:t>
            </w:r>
          </w:p>
        </w:tc>
        <w:tc>
          <w:tcPr>
            <w:tcW w:w="1710" w:type="dxa"/>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$5.62 </w:t>
            </w:r>
          </w:p>
        </w:tc>
        <w:tc>
          <w:tcPr>
            <w:tcW w:w="2340" w:type="dxa"/>
            <w:vAlign w:val="bottom"/>
          </w:tcPr>
          <w:p w:rsidR="003E1011" w:rsidRPr="009361CE" w:rsidRDefault="009361CE" w:rsidP="003E1011">
            <w:pPr>
              <w:rPr>
                <w:rFonts w:ascii="Arial" w:hAnsi="Arial" w:cs="Arial"/>
                <w:color w:val="000000"/>
              </w:rPr>
            </w:pPr>
            <w:r>
              <w:rPr>
                <w:rFonts w:ascii="Arial" w:hAnsi="Arial" w:cs="Arial"/>
                <w:color w:val="000000"/>
              </w:rPr>
              <w:t>N/A</w:t>
            </w:r>
          </w:p>
        </w:tc>
      </w:tr>
      <w:tr w:rsidR="000210CE" w:rsidRPr="00B108F3" w:rsidTr="000210CE">
        <w:trPr>
          <w:trHeight w:val="300"/>
        </w:trPr>
        <w:tc>
          <w:tcPr>
            <w:tcW w:w="2785" w:type="dxa"/>
            <w:shd w:val="clear" w:color="auto" w:fill="DEEAF6" w:themeFill="accent5" w:themeFillTint="33"/>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Clatsop</w:t>
            </w:r>
          </w:p>
        </w:tc>
        <w:tc>
          <w:tcPr>
            <w:tcW w:w="171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$0.44 </w:t>
            </w:r>
          </w:p>
        </w:tc>
        <w:tc>
          <w:tcPr>
            <w:tcW w:w="234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$157,750 </w:t>
            </w:r>
          </w:p>
        </w:tc>
      </w:tr>
      <w:tr w:rsidR="003E1011" w:rsidRPr="00B108F3" w:rsidTr="00FB4F7F">
        <w:trPr>
          <w:trHeight w:val="300"/>
        </w:trPr>
        <w:tc>
          <w:tcPr>
            <w:tcW w:w="2785" w:type="dxa"/>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Columbia</w:t>
            </w:r>
          </w:p>
        </w:tc>
        <w:tc>
          <w:tcPr>
            <w:tcW w:w="1710" w:type="dxa"/>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$1.59 </w:t>
            </w:r>
          </w:p>
        </w:tc>
        <w:tc>
          <w:tcPr>
            <w:tcW w:w="2340" w:type="dxa"/>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$151,698 </w:t>
            </w:r>
          </w:p>
        </w:tc>
      </w:tr>
      <w:tr w:rsidR="000210CE" w:rsidRPr="00B108F3" w:rsidTr="000210CE">
        <w:trPr>
          <w:trHeight w:val="300"/>
        </w:trPr>
        <w:tc>
          <w:tcPr>
            <w:tcW w:w="2785" w:type="dxa"/>
            <w:shd w:val="clear" w:color="auto" w:fill="DEEAF6" w:themeFill="accent5" w:themeFillTint="33"/>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Coos</w:t>
            </w:r>
          </w:p>
        </w:tc>
        <w:tc>
          <w:tcPr>
            <w:tcW w:w="171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$3.22 </w:t>
            </w:r>
          </w:p>
        </w:tc>
        <w:tc>
          <w:tcPr>
            <w:tcW w:w="234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$77,263 </w:t>
            </w:r>
          </w:p>
        </w:tc>
      </w:tr>
      <w:tr w:rsidR="003E1011" w:rsidRPr="00B108F3" w:rsidTr="00FB4F7F">
        <w:trPr>
          <w:trHeight w:val="300"/>
        </w:trPr>
        <w:tc>
          <w:tcPr>
            <w:tcW w:w="2785" w:type="dxa"/>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Crook</w:t>
            </w:r>
          </w:p>
        </w:tc>
        <w:tc>
          <w:tcPr>
            <w:tcW w:w="1710" w:type="dxa"/>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$0.13 </w:t>
            </w:r>
          </w:p>
        </w:tc>
        <w:tc>
          <w:tcPr>
            <w:tcW w:w="2340" w:type="dxa"/>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$100,916 </w:t>
            </w:r>
          </w:p>
        </w:tc>
      </w:tr>
      <w:tr w:rsidR="000210CE" w:rsidRPr="00B108F3" w:rsidTr="000210CE">
        <w:trPr>
          <w:trHeight w:val="300"/>
        </w:trPr>
        <w:tc>
          <w:tcPr>
            <w:tcW w:w="2785" w:type="dxa"/>
            <w:shd w:val="clear" w:color="auto" w:fill="DEEAF6" w:themeFill="accent5" w:themeFillTint="33"/>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Curry</w:t>
            </w:r>
          </w:p>
        </w:tc>
        <w:tc>
          <w:tcPr>
            <w:tcW w:w="171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$0.13 </w:t>
            </w:r>
          </w:p>
        </w:tc>
        <w:tc>
          <w:tcPr>
            <w:tcW w:w="234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$99,043 </w:t>
            </w:r>
          </w:p>
        </w:tc>
      </w:tr>
      <w:tr w:rsidR="003E1011" w:rsidRPr="00B108F3" w:rsidTr="00FB4F7F">
        <w:trPr>
          <w:trHeight w:val="300"/>
        </w:trPr>
        <w:tc>
          <w:tcPr>
            <w:tcW w:w="2785" w:type="dxa"/>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Deschutes</w:t>
            </w:r>
          </w:p>
        </w:tc>
        <w:tc>
          <w:tcPr>
            <w:tcW w:w="1710" w:type="dxa"/>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$0.45 </w:t>
            </w:r>
          </w:p>
        </w:tc>
        <w:tc>
          <w:tcPr>
            <w:tcW w:w="2340" w:type="dxa"/>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$786,894 </w:t>
            </w:r>
          </w:p>
        </w:tc>
      </w:tr>
      <w:tr w:rsidR="000210CE" w:rsidRPr="00B108F3" w:rsidTr="000210CE">
        <w:trPr>
          <w:trHeight w:val="300"/>
        </w:trPr>
        <w:tc>
          <w:tcPr>
            <w:tcW w:w="2785" w:type="dxa"/>
            <w:shd w:val="clear" w:color="auto" w:fill="DEEAF6" w:themeFill="accent5" w:themeFillTint="33"/>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Douglas</w:t>
            </w:r>
          </w:p>
        </w:tc>
        <w:tc>
          <w:tcPr>
            <w:tcW w:w="171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$0.42 </w:t>
            </w:r>
          </w:p>
        </w:tc>
        <w:tc>
          <w:tcPr>
            <w:tcW w:w="2340" w:type="dxa"/>
            <w:shd w:val="clear" w:color="auto" w:fill="DEEAF6" w:themeFill="accent5" w:themeFillTint="33"/>
            <w:vAlign w:val="bottom"/>
          </w:tcPr>
          <w:p w:rsidR="003E1011" w:rsidRPr="009361CE" w:rsidRDefault="003E1011" w:rsidP="003E1011">
            <w:pPr>
              <w:rPr>
                <w:rFonts w:ascii="Arial" w:hAnsi="Arial" w:cs="Arial"/>
                <w:color w:val="000000"/>
              </w:rPr>
            </w:pPr>
            <w:r w:rsidRPr="009361CE">
              <w:rPr>
                <w:rFonts w:ascii="Arial" w:hAnsi="Arial" w:cs="Arial"/>
                <w:color w:val="000000"/>
              </w:rPr>
              <w:t xml:space="preserve">$451,976 </w:t>
            </w:r>
          </w:p>
        </w:tc>
      </w:tr>
      <w:tr w:rsidR="003E1011" w:rsidRPr="00B108F3" w:rsidTr="00FB4F7F">
        <w:trPr>
          <w:trHeight w:val="300"/>
        </w:trPr>
        <w:tc>
          <w:tcPr>
            <w:tcW w:w="2785" w:type="dxa"/>
            <w:noWrap/>
          </w:tcPr>
          <w:p w:rsidR="003E1011" w:rsidRPr="001014B8" w:rsidRDefault="003E1011" w:rsidP="003E1011">
            <w:pPr>
              <w:rPr>
                <w:rFonts w:ascii="Arial" w:eastAsia="Times New Roman" w:hAnsi="Arial" w:cs="Arial"/>
                <w:color w:val="000000"/>
              </w:rPr>
            </w:pPr>
            <w:r w:rsidRPr="001014B8">
              <w:rPr>
                <w:rFonts w:ascii="Arial" w:eastAsia="Times New Roman" w:hAnsi="Arial" w:cs="Arial"/>
                <w:color w:val="000000"/>
              </w:rPr>
              <w:t>Gilliam, Sherman, Wasco</w:t>
            </w:r>
          </w:p>
        </w:tc>
        <w:tc>
          <w:tcPr>
            <w:tcW w:w="1710" w:type="dxa"/>
            <w:tcBorders>
              <w:top w:val="single" w:sz="4" w:space="0" w:color="auto"/>
              <w:left w:val="single" w:sz="4" w:space="0" w:color="auto"/>
              <w:bottom w:val="single" w:sz="4" w:space="0" w:color="auto"/>
              <w:right w:val="nil"/>
            </w:tcBorders>
            <w:shd w:val="clear" w:color="auto" w:fill="auto"/>
            <w:vAlign w:val="bottom"/>
          </w:tcPr>
          <w:p w:rsidR="003E1011" w:rsidRPr="009361CE" w:rsidRDefault="00403599" w:rsidP="003E1011">
            <w:pPr>
              <w:rPr>
                <w:rFonts w:ascii="Arial" w:hAnsi="Arial" w:cs="Arial"/>
                <w:color w:val="000000"/>
              </w:rPr>
            </w:pPr>
            <w:r>
              <w:rPr>
                <w:rFonts w:ascii="Arial" w:hAnsi="Arial" w:cs="Arial"/>
                <w:color w:val="000000"/>
              </w:rPr>
              <w:t>$5.78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3E1011" w:rsidRPr="009361CE" w:rsidRDefault="009361CE" w:rsidP="003E1011">
            <w:pPr>
              <w:rPr>
                <w:rFonts w:ascii="Arial" w:hAnsi="Arial" w:cs="Arial"/>
                <w:color w:val="000000"/>
              </w:rPr>
            </w:pPr>
            <w:r>
              <w:rPr>
                <w:rFonts w:ascii="Arial" w:hAnsi="Arial" w:cs="Arial"/>
                <w:color w:val="000000"/>
              </w:rPr>
              <w:t>N/A</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Grant</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$2.13 </w:t>
            </w:r>
          </w:p>
        </w:tc>
        <w:tc>
          <w:tcPr>
            <w:tcW w:w="234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$16,868 </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Harney</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$2.13 </w:t>
            </w:r>
          </w:p>
        </w:tc>
        <w:tc>
          <w:tcPr>
            <w:tcW w:w="234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$16,788 </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Hood River</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$5.68 </w:t>
            </w:r>
          </w:p>
        </w:tc>
        <w:tc>
          <w:tcPr>
            <w:tcW w:w="2340" w:type="dxa"/>
            <w:shd w:val="clear" w:color="auto" w:fill="DEEAF6" w:themeFill="accent5" w:themeFillTint="33"/>
            <w:vAlign w:val="bottom"/>
          </w:tcPr>
          <w:p w:rsidR="009C0D88" w:rsidRPr="009361CE" w:rsidRDefault="00FB4F7F" w:rsidP="009C0D88">
            <w:pPr>
              <w:rPr>
                <w:rFonts w:ascii="Arial" w:hAnsi="Arial" w:cs="Arial"/>
                <w:color w:val="000000"/>
              </w:rPr>
            </w:pPr>
            <w:r>
              <w:rPr>
                <w:rFonts w:ascii="Arial" w:hAnsi="Arial" w:cs="Arial"/>
                <w:color w:val="000000"/>
              </w:rPr>
              <w:t>N/A</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Jackson</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$3.67 </w:t>
            </w:r>
          </w:p>
        </w:tc>
        <w:tc>
          <w:tcPr>
            <w:tcW w:w="234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$171,672 </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Jefferson</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$0.21 </w:t>
            </w:r>
          </w:p>
        </w:tc>
        <w:tc>
          <w:tcPr>
            <w:tcW w:w="234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$102,048 </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Josephine</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$2.95 </w:t>
            </w:r>
          </w:p>
        </w:tc>
        <w:tc>
          <w:tcPr>
            <w:tcW w:w="234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$128,671 </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Klamath</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$3.46 </w:t>
            </w:r>
          </w:p>
        </w:tc>
        <w:tc>
          <w:tcPr>
            <w:tcW w:w="234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$66,622 </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Lake</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$0.13 </w:t>
            </w:r>
          </w:p>
        </w:tc>
        <w:tc>
          <w:tcPr>
            <w:tcW w:w="234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$34,765 </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Lane</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$0.62 </w:t>
            </w:r>
          </w:p>
        </w:tc>
        <w:tc>
          <w:tcPr>
            <w:tcW w:w="234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$1,456,195 </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Lincoln</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$8.97 </w:t>
            </w:r>
          </w:p>
        </w:tc>
        <w:tc>
          <w:tcPr>
            <w:tcW w:w="2340" w:type="dxa"/>
            <w:vAlign w:val="bottom"/>
          </w:tcPr>
          <w:p w:rsidR="009C0D88" w:rsidRPr="009361CE" w:rsidRDefault="009361CE" w:rsidP="009C0D88">
            <w:pPr>
              <w:rPr>
                <w:rFonts w:ascii="Arial" w:hAnsi="Arial" w:cs="Arial"/>
                <w:color w:val="000000"/>
              </w:rPr>
            </w:pPr>
            <w:r>
              <w:rPr>
                <w:rFonts w:ascii="Arial" w:hAnsi="Arial" w:cs="Arial"/>
                <w:color w:val="000000"/>
              </w:rPr>
              <w:t>N/A</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Linn</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$1.34 </w:t>
            </w:r>
          </w:p>
        </w:tc>
        <w:tc>
          <w:tcPr>
            <w:tcW w:w="234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$394,252 </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Malheur</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$2.33 </w:t>
            </w:r>
          </w:p>
        </w:tc>
        <w:tc>
          <w:tcPr>
            <w:tcW w:w="234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$67,817 </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Marion</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$2.33 </w:t>
            </w:r>
          </w:p>
        </w:tc>
        <w:tc>
          <w:tcPr>
            <w:tcW w:w="234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$737,789 </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Morrow</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$2.21 </w:t>
            </w:r>
          </w:p>
        </w:tc>
        <w:tc>
          <w:tcPr>
            <w:tcW w:w="234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$28,653 </w:t>
            </w:r>
          </w:p>
        </w:tc>
      </w:tr>
      <w:tr w:rsidR="000210CE" w:rsidRPr="00B108F3" w:rsidTr="000210CE">
        <w:trPr>
          <w:trHeight w:val="300"/>
        </w:trPr>
        <w:tc>
          <w:tcPr>
            <w:tcW w:w="2785" w:type="dxa"/>
            <w:shd w:val="clear" w:color="auto" w:fill="DEEAF6" w:themeFill="accent5" w:themeFillTint="33"/>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Multnomah</w:t>
            </w:r>
          </w:p>
        </w:tc>
        <w:tc>
          <w:tcPr>
            <w:tcW w:w="1710" w:type="dxa"/>
            <w:shd w:val="clear" w:color="auto" w:fill="DEEAF6" w:themeFill="accent5" w:themeFillTint="33"/>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$9.93 </w:t>
            </w:r>
          </w:p>
        </w:tc>
        <w:tc>
          <w:tcPr>
            <w:tcW w:w="2340" w:type="dxa"/>
            <w:shd w:val="clear" w:color="auto" w:fill="DEEAF6" w:themeFill="accent5" w:themeFillTint="33"/>
            <w:vAlign w:val="bottom"/>
          </w:tcPr>
          <w:p w:rsidR="009C0D88" w:rsidRPr="009361CE" w:rsidRDefault="00FB4F7F" w:rsidP="009C0D88">
            <w:pPr>
              <w:rPr>
                <w:rFonts w:ascii="Arial" w:hAnsi="Arial" w:cs="Arial"/>
                <w:color w:val="000000"/>
              </w:rPr>
            </w:pPr>
            <w:r>
              <w:rPr>
                <w:rFonts w:ascii="Arial" w:hAnsi="Arial" w:cs="Arial"/>
                <w:color w:val="000000"/>
              </w:rPr>
              <w:t>N/A</w:t>
            </w:r>
            <w:r w:rsidR="009C0D88" w:rsidRPr="009361CE">
              <w:rPr>
                <w:rFonts w:ascii="Arial" w:hAnsi="Arial" w:cs="Arial"/>
                <w:color w:val="000000"/>
              </w:rPr>
              <w:t xml:space="preserve"> </w:t>
            </w:r>
          </w:p>
        </w:tc>
      </w:tr>
      <w:tr w:rsidR="009C0D88" w:rsidRPr="00B108F3" w:rsidTr="00FB4F7F">
        <w:trPr>
          <w:trHeight w:val="300"/>
        </w:trPr>
        <w:tc>
          <w:tcPr>
            <w:tcW w:w="2785" w:type="dxa"/>
            <w:noWrap/>
          </w:tcPr>
          <w:p w:rsidR="009C0D88" w:rsidRPr="001014B8" w:rsidRDefault="009C0D88" w:rsidP="009C0D88">
            <w:pPr>
              <w:rPr>
                <w:rFonts w:ascii="Arial" w:eastAsia="Times New Roman" w:hAnsi="Arial" w:cs="Arial"/>
                <w:color w:val="000000"/>
              </w:rPr>
            </w:pPr>
            <w:r w:rsidRPr="001014B8">
              <w:rPr>
                <w:rFonts w:ascii="Arial" w:eastAsia="Times New Roman" w:hAnsi="Arial" w:cs="Arial"/>
                <w:color w:val="000000"/>
              </w:rPr>
              <w:t>Polk</w:t>
            </w:r>
          </w:p>
        </w:tc>
        <w:tc>
          <w:tcPr>
            <w:tcW w:w="171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$0.55 </w:t>
            </w:r>
          </w:p>
        </w:tc>
        <w:tc>
          <w:tcPr>
            <w:tcW w:w="2340" w:type="dxa"/>
            <w:vAlign w:val="bottom"/>
          </w:tcPr>
          <w:p w:rsidR="009C0D88" w:rsidRPr="009361CE" w:rsidRDefault="009C0D88" w:rsidP="009C0D88">
            <w:pPr>
              <w:rPr>
                <w:rFonts w:ascii="Arial" w:hAnsi="Arial" w:cs="Arial"/>
                <w:color w:val="000000"/>
              </w:rPr>
            </w:pPr>
            <w:r w:rsidRPr="009361CE">
              <w:rPr>
                <w:rFonts w:ascii="Arial" w:hAnsi="Arial" w:cs="Arial"/>
                <w:color w:val="000000"/>
              </w:rPr>
              <w:t xml:space="preserve">$325,685 </w:t>
            </w:r>
          </w:p>
        </w:tc>
      </w:tr>
      <w:tr w:rsidR="000210CE" w:rsidRPr="00B108F3" w:rsidTr="000210CE">
        <w:trPr>
          <w:trHeight w:val="300"/>
        </w:trPr>
        <w:tc>
          <w:tcPr>
            <w:tcW w:w="2785" w:type="dxa"/>
            <w:shd w:val="clear" w:color="auto" w:fill="DEEAF6" w:themeFill="accent5" w:themeFillTint="33"/>
            <w:noWrap/>
          </w:tcPr>
          <w:p w:rsidR="009361CE" w:rsidRPr="001014B8" w:rsidRDefault="009361CE" w:rsidP="009361CE">
            <w:pPr>
              <w:rPr>
                <w:rFonts w:ascii="Arial" w:eastAsia="Times New Roman" w:hAnsi="Arial" w:cs="Arial"/>
                <w:color w:val="000000"/>
              </w:rPr>
            </w:pPr>
            <w:r w:rsidRPr="001014B8">
              <w:rPr>
                <w:rFonts w:ascii="Arial" w:eastAsia="Times New Roman" w:hAnsi="Arial" w:cs="Arial"/>
                <w:color w:val="000000"/>
              </w:rPr>
              <w:t>Tillamook</w:t>
            </w:r>
          </w:p>
        </w:tc>
        <w:tc>
          <w:tcPr>
            <w:tcW w:w="1710" w:type="dxa"/>
            <w:shd w:val="clear" w:color="auto" w:fill="DEEAF6" w:themeFill="accent5" w:themeFillTint="33"/>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$0.25 </w:t>
            </w:r>
          </w:p>
        </w:tc>
        <w:tc>
          <w:tcPr>
            <w:tcW w:w="2340" w:type="dxa"/>
            <w:shd w:val="clear" w:color="auto" w:fill="DEEAF6" w:themeFill="accent5" w:themeFillTint="33"/>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$111,092 </w:t>
            </w:r>
          </w:p>
        </w:tc>
      </w:tr>
      <w:tr w:rsidR="009361CE" w:rsidRPr="00B108F3" w:rsidTr="00FB4F7F">
        <w:trPr>
          <w:trHeight w:val="300"/>
        </w:trPr>
        <w:tc>
          <w:tcPr>
            <w:tcW w:w="2785" w:type="dxa"/>
            <w:noWrap/>
          </w:tcPr>
          <w:p w:rsidR="009361CE" w:rsidRPr="001014B8" w:rsidRDefault="009361CE" w:rsidP="009361CE">
            <w:pPr>
              <w:rPr>
                <w:rFonts w:ascii="Arial" w:eastAsia="Times New Roman" w:hAnsi="Arial" w:cs="Arial"/>
                <w:color w:val="000000"/>
              </w:rPr>
            </w:pPr>
            <w:r w:rsidRPr="001014B8">
              <w:rPr>
                <w:rFonts w:ascii="Arial" w:eastAsia="Times New Roman" w:hAnsi="Arial" w:cs="Arial"/>
                <w:color w:val="000000"/>
              </w:rPr>
              <w:t>Umatilla</w:t>
            </w:r>
          </w:p>
        </w:tc>
        <w:tc>
          <w:tcPr>
            <w:tcW w:w="1710" w:type="dxa"/>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$2.21 </w:t>
            </w:r>
          </w:p>
        </w:tc>
        <w:tc>
          <w:tcPr>
            <w:tcW w:w="2340" w:type="dxa"/>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$182,075 </w:t>
            </w:r>
          </w:p>
        </w:tc>
      </w:tr>
      <w:tr w:rsidR="000210CE" w:rsidRPr="00B108F3" w:rsidTr="000210CE">
        <w:trPr>
          <w:trHeight w:val="300"/>
        </w:trPr>
        <w:tc>
          <w:tcPr>
            <w:tcW w:w="2785" w:type="dxa"/>
            <w:shd w:val="clear" w:color="auto" w:fill="DEEAF6" w:themeFill="accent5" w:themeFillTint="33"/>
            <w:noWrap/>
          </w:tcPr>
          <w:p w:rsidR="009361CE" w:rsidRPr="001014B8" w:rsidRDefault="009361CE" w:rsidP="009361CE">
            <w:pPr>
              <w:rPr>
                <w:rFonts w:ascii="Arial" w:eastAsia="Times New Roman" w:hAnsi="Arial" w:cs="Arial"/>
                <w:color w:val="000000"/>
              </w:rPr>
            </w:pPr>
            <w:r w:rsidRPr="001014B8">
              <w:rPr>
                <w:rFonts w:ascii="Arial" w:eastAsia="Times New Roman" w:hAnsi="Arial" w:cs="Arial"/>
                <w:color w:val="000000"/>
              </w:rPr>
              <w:t>Union</w:t>
            </w:r>
          </w:p>
        </w:tc>
        <w:tc>
          <w:tcPr>
            <w:tcW w:w="1710" w:type="dxa"/>
            <w:shd w:val="clear" w:color="auto" w:fill="DEEAF6" w:themeFill="accent5" w:themeFillTint="33"/>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$5.43 </w:t>
            </w:r>
          </w:p>
        </w:tc>
        <w:tc>
          <w:tcPr>
            <w:tcW w:w="2340" w:type="dxa"/>
            <w:shd w:val="clear" w:color="auto" w:fill="DEEAF6" w:themeFill="accent5" w:themeFillTint="33"/>
            <w:vAlign w:val="bottom"/>
          </w:tcPr>
          <w:p w:rsidR="009361CE" w:rsidRPr="009361CE" w:rsidRDefault="00FB4F7F" w:rsidP="009361CE">
            <w:pPr>
              <w:rPr>
                <w:rFonts w:ascii="Arial" w:hAnsi="Arial" w:cs="Arial"/>
                <w:color w:val="000000"/>
              </w:rPr>
            </w:pPr>
            <w:r>
              <w:rPr>
                <w:rFonts w:ascii="Arial" w:hAnsi="Arial" w:cs="Arial"/>
                <w:color w:val="000000"/>
              </w:rPr>
              <w:t>N/A</w:t>
            </w:r>
          </w:p>
        </w:tc>
      </w:tr>
      <w:tr w:rsidR="009361CE" w:rsidRPr="00B108F3" w:rsidTr="00FB4F7F">
        <w:trPr>
          <w:trHeight w:val="300"/>
        </w:trPr>
        <w:tc>
          <w:tcPr>
            <w:tcW w:w="2785" w:type="dxa"/>
            <w:noWrap/>
          </w:tcPr>
          <w:p w:rsidR="009361CE" w:rsidRPr="001014B8" w:rsidRDefault="009361CE" w:rsidP="009361CE">
            <w:pPr>
              <w:rPr>
                <w:rFonts w:ascii="Arial" w:eastAsia="Times New Roman" w:hAnsi="Arial" w:cs="Arial"/>
                <w:color w:val="000000"/>
              </w:rPr>
            </w:pPr>
            <w:r w:rsidRPr="001014B8">
              <w:rPr>
                <w:rFonts w:ascii="Arial" w:eastAsia="Times New Roman" w:hAnsi="Arial" w:cs="Arial"/>
                <w:color w:val="000000"/>
              </w:rPr>
              <w:t>Wallowa</w:t>
            </w:r>
          </w:p>
        </w:tc>
        <w:tc>
          <w:tcPr>
            <w:tcW w:w="1710" w:type="dxa"/>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$5.04 </w:t>
            </w:r>
          </w:p>
        </w:tc>
        <w:tc>
          <w:tcPr>
            <w:tcW w:w="2340" w:type="dxa"/>
            <w:vAlign w:val="bottom"/>
          </w:tcPr>
          <w:p w:rsidR="009361CE" w:rsidRPr="009361CE" w:rsidRDefault="00FB4F7F" w:rsidP="009361CE">
            <w:pPr>
              <w:rPr>
                <w:rFonts w:ascii="Arial" w:hAnsi="Arial" w:cs="Arial"/>
                <w:color w:val="000000"/>
              </w:rPr>
            </w:pPr>
            <w:r>
              <w:rPr>
                <w:rFonts w:ascii="Arial" w:hAnsi="Arial" w:cs="Arial"/>
                <w:color w:val="000000"/>
              </w:rPr>
              <w:t>N/A</w:t>
            </w:r>
          </w:p>
        </w:tc>
      </w:tr>
      <w:tr w:rsidR="000210CE" w:rsidRPr="00B108F3" w:rsidTr="000210CE">
        <w:trPr>
          <w:trHeight w:val="300"/>
        </w:trPr>
        <w:tc>
          <w:tcPr>
            <w:tcW w:w="2785" w:type="dxa"/>
            <w:shd w:val="clear" w:color="auto" w:fill="DEEAF6" w:themeFill="accent5" w:themeFillTint="33"/>
            <w:noWrap/>
          </w:tcPr>
          <w:p w:rsidR="009361CE" w:rsidRPr="001014B8" w:rsidRDefault="009361CE" w:rsidP="009361CE">
            <w:pPr>
              <w:rPr>
                <w:rFonts w:ascii="Arial" w:eastAsia="Times New Roman" w:hAnsi="Arial" w:cs="Arial"/>
                <w:color w:val="000000"/>
              </w:rPr>
            </w:pPr>
            <w:r w:rsidRPr="001014B8">
              <w:rPr>
                <w:rFonts w:ascii="Arial" w:eastAsia="Times New Roman" w:hAnsi="Arial" w:cs="Arial"/>
                <w:color w:val="000000"/>
              </w:rPr>
              <w:t>Washington</w:t>
            </w:r>
          </w:p>
        </w:tc>
        <w:tc>
          <w:tcPr>
            <w:tcW w:w="1710" w:type="dxa"/>
            <w:shd w:val="clear" w:color="auto" w:fill="DEEAF6" w:themeFill="accent5" w:themeFillTint="33"/>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$5.82 </w:t>
            </w:r>
          </w:p>
        </w:tc>
        <w:tc>
          <w:tcPr>
            <w:tcW w:w="2340" w:type="dxa"/>
            <w:shd w:val="clear" w:color="auto" w:fill="DEEAF6" w:themeFill="accent5" w:themeFillTint="33"/>
            <w:vAlign w:val="bottom"/>
          </w:tcPr>
          <w:p w:rsidR="009361CE" w:rsidRPr="009361CE" w:rsidRDefault="00FB4F7F" w:rsidP="009361CE">
            <w:pPr>
              <w:rPr>
                <w:rFonts w:ascii="Arial" w:hAnsi="Arial" w:cs="Arial"/>
                <w:color w:val="000000"/>
              </w:rPr>
            </w:pPr>
            <w:r>
              <w:rPr>
                <w:rFonts w:ascii="Arial" w:hAnsi="Arial" w:cs="Arial"/>
                <w:color w:val="000000"/>
              </w:rPr>
              <w:t>N/A</w:t>
            </w:r>
          </w:p>
        </w:tc>
      </w:tr>
      <w:tr w:rsidR="009361CE" w:rsidRPr="00B108F3" w:rsidTr="00FB4F7F">
        <w:trPr>
          <w:trHeight w:val="300"/>
        </w:trPr>
        <w:tc>
          <w:tcPr>
            <w:tcW w:w="2785" w:type="dxa"/>
            <w:noWrap/>
          </w:tcPr>
          <w:p w:rsidR="009361CE" w:rsidRPr="001014B8" w:rsidRDefault="009361CE" w:rsidP="009361CE">
            <w:pPr>
              <w:rPr>
                <w:rFonts w:ascii="Arial" w:eastAsia="Times New Roman" w:hAnsi="Arial" w:cs="Arial"/>
                <w:color w:val="000000"/>
              </w:rPr>
            </w:pPr>
            <w:r w:rsidRPr="001014B8">
              <w:rPr>
                <w:rFonts w:ascii="Arial" w:eastAsia="Times New Roman" w:hAnsi="Arial" w:cs="Arial"/>
                <w:color w:val="000000"/>
              </w:rPr>
              <w:t>Wheeler</w:t>
            </w:r>
          </w:p>
        </w:tc>
        <w:tc>
          <w:tcPr>
            <w:tcW w:w="1710" w:type="dxa"/>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$5.37 </w:t>
            </w:r>
          </w:p>
        </w:tc>
        <w:tc>
          <w:tcPr>
            <w:tcW w:w="2340" w:type="dxa"/>
            <w:vAlign w:val="bottom"/>
          </w:tcPr>
          <w:p w:rsidR="009361CE" w:rsidRPr="009361CE" w:rsidRDefault="00FB4F7F" w:rsidP="009361CE">
            <w:pPr>
              <w:rPr>
                <w:rFonts w:ascii="Arial" w:hAnsi="Arial" w:cs="Arial"/>
                <w:color w:val="000000"/>
              </w:rPr>
            </w:pPr>
            <w:r>
              <w:rPr>
                <w:rFonts w:ascii="Arial" w:hAnsi="Arial" w:cs="Arial"/>
                <w:color w:val="000000"/>
              </w:rPr>
              <w:t>N/A</w:t>
            </w:r>
          </w:p>
        </w:tc>
      </w:tr>
      <w:tr w:rsidR="000210CE" w:rsidRPr="00B108F3" w:rsidTr="000210CE">
        <w:trPr>
          <w:trHeight w:val="300"/>
        </w:trPr>
        <w:tc>
          <w:tcPr>
            <w:tcW w:w="2785" w:type="dxa"/>
            <w:shd w:val="clear" w:color="auto" w:fill="DEEAF6" w:themeFill="accent5" w:themeFillTint="33"/>
            <w:noWrap/>
          </w:tcPr>
          <w:p w:rsidR="009361CE" w:rsidRPr="001014B8" w:rsidRDefault="009361CE" w:rsidP="009361CE">
            <w:pPr>
              <w:rPr>
                <w:rFonts w:ascii="Arial" w:eastAsia="Times New Roman" w:hAnsi="Arial" w:cs="Arial"/>
                <w:color w:val="000000"/>
              </w:rPr>
            </w:pPr>
            <w:r w:rsidRPr="001014B8">
              <w:rPr>
                <w:rFonts w:ascii="Arial" w:eastAsia="Times New Roman" w:hAnsi="Arial" w:cs="Arial"/>
                <w:color w:val="000000"/>
              </w:rPr>
              <w:t>Yamhill</w:t>
            </w:r>
          </w:p>
        </w:tc>
        <w:tc>
          <w:tcPr>
            <w:tcW w:w="1710" w:type="dxa"/>
            <w:shd w:val="clear" w:color="auto" w:fill="DEEAF6" w:themeFill="accent5" w:themeFillTint="33"/>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$1.20 </w:t>
            </w:r>
          </w:p>
        </w:tc>
        <w:tc>
          <w:tcPr>
            <w:tcW w:w="2340" w:type="dxa"/>
            <w:shd w:val="clear" w:color="auto" w:fill="DEEAF6" w:themeFill="accent5" w:themeFillTint="33"/>
            <w:vAlign w:val="bottom"/>
          </w:tcPr>
          <w:p w:rsidR="009361CE" w:rsidRPr="009361CE" w:rsidRDefault="009361CE" w:rsidP="009361CE">
            <w:pPr>
              <w:rPr>
                <w:rFonts w:ascii="Arial" w:hAnsi="Arial" w:cs="Arial"/>
                <w:color w:val="000000"/>
              </w:rPr>
            </w:pPr>
            <w:r w:rsidRPr="009361CE">
              <w:rPr>
                <w:rFonts w:ascii="Arial" w:hAnsi="Arial" w:cs="Arial"/>
                <w:color w:val="000000"/>
              </w:rPr>
              <w:t xml:space="preserve">$352,024 </w:t>
            </w:r>
          </w:p>
        </w:tc>
      </w:tr>
      <w:tr w:rsidR="009361CE" w:rsidRPr="00270C9E" w:rsidTr="00FB4F7F">
        <w:trPr>
          <w:trHeight w:val="300"/>
        </w:trPr>
        <w:tc>
          <w:tcPr>
            <w:tcW w:w="2785" w:type="dxa"/>
            <w:shd w:val="clear" w:color="auto" w:fill="4472C4" w:themeFill="accent1"/>
            <w:noWrap/>
          </w:tcPr>
          <w:p w:rsidR="009361CE" w:rsidRPr="001014B8" w:rsidRDefault="009361CE" w:rsidP="009361CE">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Total</w:t>
            </w:r>
          </w:p>
        </w:tc>
        <w:tc>
          <w:tcPr>
            <w:tcW w:w="1710" w:type="dxa"/>
            <w:tcBorders>
              <w:top w:val="single" w:sz="4" w:space="0" w:color="auto"/>
              <w:left w:val="single" w:sz="4" w:space="0" w:color="auto"/>
              <w:bottom w:val="single" w:sz="4" w:space="0" w:color="auto"/>
              <w:right w:val="nil"/>
            </w:tcBorders>
            <w:shd w:val="clear" w:color="auto" w:fill="4472C4" w:themeFill="accent1"/>
            <w:vAlign w:val="bottom"/>
          </w:tcPr>
          <w:p w:rsidR="009361CE" w:rsidRPr="00270C9E" w:rsidRDefault="009361CE" w:rsidP="009361CE">
            <w:pPr>
              <w:rPr>
                <w:rFonts w:ascii="Arial" w:eastAsia="Times New Roman" w:hAnsi="Arial" w:cs="Arial"/>
                <w:b/>
                <w:bCs/>
                <w:color w:val="FFFFFF" w:themeColor="background1"/>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4472C4" w:themeFill="accent1"/>
            <w:vAlign w:val="bottom"/>
          </w:tcPr>
          <w:p w:rsidR="009361CE" w:rsidRPr="00270C9E" w:rsidRDefault="00480EB5" w:rsidP="009361CE">
            <w:pPr>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$6,230,612</w:t>
            </w:r>
          </w:p>
        </w:tc>
      </w:tr>
    </w:tbl>
    <w:p w:rsidR="00B355CB" w:rsidRDefault="00B355CB" w:rsidP="00403599">
      <w:pPr>
        <w:spacing w:after="0" w:line="240" w:lineRule="auto"/>
        <w:rPr>
          <w:rFonts w:ascii="Arial" w:eastAsia="Times New Roman" w:hAnsi="Arial" w:cs="Arial"/>
        </w:rPr>
      </w:pPr>
    </w:p>
    <w:p w:rsidR="0033699E" w:rsidRDefault="0033699E" w:rsidP="0033699E">
      <w:pPr>
        <w:spacing w:after="120" w:line="240" w:lineRule="auto"/>
        <w:rPr>
          <w:rFonts w:ascii="Arial" w:eastAsia="Times New Roman" w:hAnsi="Arial" w:cs="Arial"/>
        </w:rPr>
      </w:pPr>
      <w:r w:rsidRPr="0033699E">
        <w:rPr>
          <w:rFonts w:ascii="Arial" w:eastAsia="Times New Roman" w:hAnsi="Arial" w:cs="Arial"/>
          <w:b/>
          <w:bCs/>
          <w:highlight w:val="cyan"/>
        </w:rPr>
        <w:t>[NEW]</w:t>
      </w:r>
      <w:r>
        <w:rPr>
          <w:rFonts w:ascii="Arial" w:eastAsia="Times New Roman" w:hAnsi="Arial" w:cs="Arial"/>
          <w:b/>
          <w:bCs/>
        </w:rPr>
        <w:t xml:space="preserve"> Table 4. </w:t>
      </w:r>
      <w:r w:rsidRPr="001D24A8">
        <w:rPr>
          <w:rFonts w:ascii="Arial" w:eastAsia="Times New Roman" w:hAnsi="Arial" w:cs="Arial"/>
        </w:rPr>
        <w:t xml:space="preserve">Funding Allocations to Counties using </w:t>
      </w:r>
      <w:r>
        <w:rPr>
          <w:rFonts w:ascii="Arial" w:eastAsia="Times New Roman" w:hAnsi="Arial" w:cs="Arial"/>
        </w:rPr>
        <w:t xml:space="preserve">Modified </w:t>
      </w:r>
      <w:r w:rsidRPr="001D24A8">
        <w:rPr>
          <w:rFonts w:ascii="Arial" w:eastAsia="Times New Roman" w:hAnsi="Arial" w:cs="Arial"/>
        </w:rPr>
        <w:t>Public Health Modernization Funding Formula</w:t>
      </w:r>
      <w:r>
        <w:rPr>
          <w:rFonts w:ascii="Arial" w:eastAsia="Times New Roman" w:hAnsi="Arial" w:cs="Arial"/>
        </w:rPr>
        <w:t xml:space="preserve"> (Scenario 5) </w:t>
      </w:r>
    </w:p>
    <w:p w:rsidR="0033699E" w:rsidRPr="002A4E17" w:rsidRDefault="0033699E" w:rsidP="0033699E">
      <w:pPr>
        <w:tabs>
          <w:tab w:val="left" w:pos="5850"/>
        </w:tabs>
        <w:spacing w:after="120" w:line="240" w:lineRule="auto"/>
        <w:ind w:right="720"/>
        <w:rPr>
          <w:rFonts w:ascii="Arial" w:eastAsia="Times New Roman" w:hAnsi="Arial" w:cs="Arial"/>
          <w:i/>
          <w:iCs/>
        </w:rPr>
      </w:pPr>
      <w:r w:rsidRPr="002A4E17">
        <w:rPr>
          <w:rFonts w:ascii="Arial" w:eastAsia="Times New Roman" w:hAnsi="Arial" w:cs="Arial"/>
          <w:i/>
          <w:iCs/>
        </w:rPr>
        <w:t>These are example dollar amounts for planning and conversation</w:t>
      </w:r>
      <w:r>
        <w:rPr>
          <w:rFonts w:ascii="Arial" w:eastAsia="Times New Roman" w:hAnsi="Arial" w:cs="Arial"/>
          <w:i/>
          <w:iCs/>
        </w:rPr>
        <w:t>.</w:t>
      </w:r>
    </w:p>
    <w:tbl>
      <w:tblPr>
        <w:tblStyle w:val="TableGrid"/>
        <w:tblW w:w="9355" w:type="dxa"/>
        <w:tblLook w:val="04A0" w:firstRow="1" w:lastRow="0" w:firstColumn="1" w:lastColumn="0" w:noHBand="0" w:noVBand="1"/>
      </w:tblPr>
      <w:tblGrid>
        <w:gridCol w:w="2785"/>
        <w:gridCol w:w="2190"/>
        <w:gridCol w:w="2190"/>
        <w:gridCol w:w="2190"/>
      </w:tblGrid>
      <w:tr w:rsidR="0033699E" w:rsidRPr="001014B8" w:rsidTr="00860EE6">
        <w:tc>
          <w:tcPr>
            <w:tcW w:w="2785" w:type="dxa"/>
            <w:shd w:val="clear" w:color="auto" w:fill="4472C4" w:themeFill="accent1"/>
            <w:vAlign w:val="bottom"/>
          </w:tcPr>
          <w:p w:rsidR="0033699E" w:rsidRPr="0033699E" w:rsidRDefault="0033699E" w:rsidP="00EA0CF9">
            <w:pPr>
              <w:rPr>
                <w:rFonts w:ascii="Arial" w:eastAsia="Times New Roman" w:hAnsi="Arial" w:cs="Arial"/>
                <w:b/>
                <w:bCs/>
                <w:color w:val="FFFFFF" w:themeColor="background1"/>
              </w:rPr>
            </w:pPr>
            <w:r w:rsidRPr="0033699E">
              <w:rPr>
                <w:rFonts w:ascii="Arial" w:eastAsia="Times New Roman" w:hAnsi="Arial" w:cs="Arial"/>
                <w:b/>
                <w:bCs/>
                <w:color w:val="FFFFFF" w:themeColor="background1"/>
              </w:rPr>
              <w:t>County</w:t>
            </w:r>
          </w:p>
        </w:tc>
        <w:tc>
          <w:tcPr>
            <w:tcW w:w="2190" w:type="dxa"/>
            <w:tcBorders>
              <w:bottom w:val="single" w:sz="4" w:space="0" w:color="auto"/>
            </w:tcBorders>
            <w:shd w:val="clear" w:color="auto" w:fill="4472C4" w:themeFill="accent1"/>
            <w:vAlign w:val="bottom"/>
          </w:tcPr>
          <w:p w:rsidR="0033699E" w:rsidRPr="0033699E" w:rsidRDefault="0033699E" w:rsidP="00EA0CF9">
            <w:pPr>
              <w:rPr>
                <w:rFonts w:ascii="Arial" w:eastAsia="Times New Roman" w:hAnsi="Arial" w:cs="Arial"/>
                <w:b/>
                <w:bCs/>
                <w:color w:val="FFFFFF" w:themeColor="background1"/>
              </w:rPr>
            </w:pPr>
            <w:r w:rsidRPr="0033699E">
              <w:rPr>
                <w:rFonts w:ascii="Arial" w:eastAsia="Times New Roman" w:hAnsi="Arial" w:cs="Arial"/>
                <w:b/>
                <w:bCs/>
                <w:color w:val="FFFFFF" w:themeColor="background1"/>
              </w:rPr>
              <w:t>Allocation with $7 million total</w:t>
            </w:r>
          </w:p>
        </w:tc>
        <w:tc>
          <w:tcPr>
            <w:tcW w:w="2190" w:type="dxa"/>
            <w:tcBorders>
              <w:bottom w:val="single" w:sz="4" w:space="0" w:color="auto"/>
            </w:tcBorders>
            <w:shd w:val="clear" w:color="auto" w:fill="4472C4" w:themeFill="accent1"/>
            <w:vAlign w:val="bottom"/>
          </w:tcPr>
          <w:p w:rsidR="0033699E" w:rsidRPr="0033699E" w:rsidRDefault="0033699E" w:rsidP="00EA0CF9">
            <w:pPr>
              <w:rPr>
                <w:rFonts w:ascii="Arial" w:eastAsia="Times New Roman" w:hAnsi="Arial" w:cs="Arial"/>
                <w:b/>
                <w:bCs/>
                <w:color w:val="FFFFFF" w:themeColor="background1"/>
              </w:rPr>
            </w:pPr>
            <w:r w:rsidRPr="0033699E">
              <w:rPr>
                <w:rFonts w:ascii="Arial" w:eastAsia="Times New Roman" w:hAnsi="Arial" w:cs="Arial"/>
                <w:b/>
                <w:bCs/>
                <w:color w:val="FFFFFF" w:themeColor="background1"/>
              </w:rPr>
              <w:t>Allocation with $10 million total</w:t>
            </w:r>
          </w:p>
        </w:tc>
        <w:tc>
          <w:tcPr>
            <w:tcW w:w="2190" w:type="dxa"/>
            <w:tcBorders>
              <w:bottom w:val="single" w:sz="4" w:space="0" w:color="auto"/>
            </w:tcBorders>
            <w:shd w:val="clear" w:color="auto" w:fill="4472C4" w:themeFill="accent1"/>
          </w:tcPr>
          <w:p w:rsidR="0033699E" w:rsidRPr="0033699E" w:rsidRDefault="0033699E" w:rsidP="00EA0CF9">
            <w:pPr>
              <w:rPr>
                <w:rFonts w:ascii="Arial" w:eastAsia="Times New Roman" w:hAnsi="Arial" w:cs="Arial"/>
                <w:b/>
                <w:bCs/>
                <w:color w:val="FFFFFF" w:themeColor="background1"/>
              </w:rPr>
            </w:pPr>
            <w:r w:rsidRPr="0033699E">
              <w:rPr>
                <w:rFonts w:ascii="Arial" w:eastAsia="Times New Roman" w:hAnsi="Arial" w:cs="Arial"/>
                <w:b/>
                <w:bCs/>
                <w:color w:val="FFFFFF" w:themeColor="background1"/>
              </w:rPr>
              <w:t>Allocation with $14.5 million total</w:t>
            </w:r>
          </w:p>
        </w:tc>
      </w:tr>
      <w:tr w:rsidR="0014209C" w:rsidRPr="001014B8" w:rsidTr="00860EE6">
        <w:tc>
          <w:tcPr>
            <w:tcW w:w="2785" w:type="dxa"/>
          </w:tcPr>
          <w:p w:rsidR="0014209C" w:rsidRPr="001014B8" w:rsidRDefault="0014209C" w:rsidP="0014209C">
            <w:pPr>
              <w:rPr>
                <w:rFonts w:ascii="Arial" w:eastAsia="Times New Roman" w:hAnsi="Arial" w:cs="Arial"/>
              </w:rPr>
            </w:pPr>
            <w:r w:rsidRPr="001014B8">
              <w:rPr>
                <w:rFonts w:ascii="Arial" w:eastAsia="Times New Roman" w:hAnsi="Arial" w:cs="Arial"/>
                <w:color w:val="000000"/>
              </w:rPr>
              <w:t>Baker</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$52,951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B108F3" w:rsidRDefault="0014209C" w:rsidP="0014209C">
            <w:pPr>
              <w:rPr>
                <w:rFonts w:ascii="Arial" w:eastAsia="Times New Roman" w:hAnsi="Arial" w:cs="Arial"/>
              </w:rPr>
            </w:pPr>
            <w:r w:rsidRPr="00141EF0">
              <w:rPr>
                <w:rFonts w:ascii="Arial" w:hAnsi="Arial" w:cs="Arial"/>
                <w:color w:val="000000"/>
              </w:rPr>
              <w:t xml:space="preserve"> $66,172</w:t>
            </w:r>
            <w:r>
              <w:rPr>
                <w:rFonts w:ascii="Calibri" w:hAnsi="Calibri" w:cs="Calibri"/>
                <w:b/>
                <w:bCs/>
                <w:color w:val="000000"/>
              </w:rPr>
              <w:t xml:space="preserve">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$95,950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Benton</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$149,466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$201,460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$292,117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Clackamas</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$505,399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$748,336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$1,085,087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Clatsop</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$96,563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$126,445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$183,346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Columbia</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$113,149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$152,761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$221,504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Coos</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$135,579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$188,347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$273,104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Crook</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$81,596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$102,699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$148,914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Curry</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$74,809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$91,932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$133,301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Deschutes</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$269,145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$382,422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$554,511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Douglas</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$206,427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$291,834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$423,159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Gilliam, Sherman, Wasco</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$150,140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$175,772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$254,869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Grant</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$42,936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$50,282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$72,908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Harney</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$39,959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$45,559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$66,061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Hood River</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$92,603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$120,164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$174,237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Jackson</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$321,265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$465,113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$674,413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Jefferson</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$91,233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$117,989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$171,085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Josephine</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$184,614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$257,225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$372,977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Klamath</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$143,480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$200,883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$291,280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Lake</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$42,588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$49,729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$72,107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Lane</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$497,257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$735,419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$1,066,357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Lincoln</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$113,232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$152,892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$221,693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Linn</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$218,308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$310,685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$450,493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Malheur</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$103,246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$137,049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$198,721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Marion</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$575,777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$868,916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$1,259,928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Morrow</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$57,540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$73,452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$106,505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Multnomah</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$1,047,410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$1,608,277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$2,332,002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Polk</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$158,953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$216,513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$313,944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Tillamook</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$87,993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$112,848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$163,630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Umatilla</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$190,498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$266,561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$386,514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Union</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$76,234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$94,192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$136,579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Wallowa</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$42,048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$48,872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$70,865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Washington</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$807,681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$1,227,930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$1,780,498 </w:t>
            </w:r>
          </w:p>
        </w:tc>
      </w:tr>
      <w:tr w:rsidR="0014209C" w:rsidRPr="001014B8" w:rsidTr="00860EE6">
        <w:trPr>
          <w:trHeight w:val="300"/>
        </w:trPr>
        <w:tc>
          <w:tcPr>
            <w:tcW w:w="2785" w:type="dxa"/>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Wheeler</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$33,161 </w:t>
            </w:r>
          </w:p>
        </w:tc>
        <w:tc>
          <w:tcPr>
            <w:tcW w:w="2190" w:type="dxa"/>
            <w:tcBorders>
              <w:top w:val="single" w:sz="4" w:space="0" w:color="auto"/>
              <w:left w:val="single" w:sz="4" w:space="0" w:color="auto"/>
              <w:bottom w:val="single" w:sz="4" w:space="0" w:color="auto"/>
              <w:right w:val="nil"/>
            </w:tcBorders>
            <w:shd w:val="clear" w:color="auto" w:fill="auto"/>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$34,774 </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$50,422 </w:t>
            </w:r>
          </w:p>
        </w:tc>
      </w:tr>
      <w:tr w:rsidR="0014209C" w:rsidRPr="001014B8" w:rsidTr="00860EE6">
        <w:trPr>
          <w:trHeight w:val="300"/>
        </w:trPr>
        <w:tc>
          <w:tcPr>
            <w:tcW w:w="2785" w:type="dxa"/>
            <w:shd w:val="clear" w:color="auto" w:fill="DEEAF6" w:themeFill="accent5" w:themeFillTint="33"/>
            <w:noWrap/>
          </w:tcPr>
          <w:p w:rsidR="0014209C" w:rsidRPr="001014B8" w:rsidRDefault="0014209C" w:rsidP="0014209C">
            <w:pPr>
              <w:rPr>
                <w:rFonts w:ascii="Arial" w:eastAsia="Times New Roman" w:hAnsi="Arial" w:cs="Arial"/>
                <w:color w:val="000000"/>
              </w:rPr>
            </w:pPr>
            <w:r w:rsidRPr="001014B8">
              <w:rPr>
                <w:rFonts w:ascii="Arial" w:eastAsia="Times New Roman" w:hAnsi="Arial" w:cs="Arial"/>
                <w:color w:val="000000"/>
              </w:rPr>
              <w:t>Yamhill</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$196,760 </w:t>
            </w:r>
          </w:p>
        </w:tc>
        <w:tc>
          <w:tcPr>
            <w:tcW w:w="2190" w:type="dxa"/>
            <w:tcBorders>
              <w:top w:val="single" w:sz="4" w:space="0" w:color="auto"/>
              <w:left w:val="single" w:sz="4" w:space="0" w:color="auto"/>
              <w:bottom w:val="single" w:sz="4" w:space="0" w:color="auto"/>
              <w:right w:val="nil"/>
            </w:tcBorders>
            <w:shd w:val="clear" w:color="auto" w:fill="DEEAF6" w:themeFill="accent5" w:themeFillTint="33"/>
            <w:vAlign w:val="bottom"/>
          </w:tcPr>
          <w:p w:rsidR="0014209C" w:rsidRPr="00141EF0" w:rsidRDefault="0014209C" w:rsidP="0014209C">
            <w:pPr>
              <w:rPr>
                <w:rFonts w:ascii="Arial" w:hAnsi="Arial" w:cs="Arial"/>
                <w:color w:val="000000"/>
              </w:rPr>
            </w:pPr>
            <w:r w:rsidRPr="00141EF0">
              <w:rPr>
                <w:rFonts w:ascii="Arial" w:hAnsi="Arial" w:cs="Arial"/>
                <w:color w:val="000000"/>
              </w:rPr>
              <w:t xml:space="preserve"> $276,496 </w:t>
            </w:r>
          </w:p>
        </w:tc>
        <w:tc>
          <w:tcPr>
            <w:tcW w:w="219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tcPr>
          <w:p w:rsidR="0014209C" w:rsidRPr="00B108F3" w:rsidRDefault="0014209C" w:rsidP="0014209C">
            <w:pPr>
              <w:rPr>
                <w:rFonts w:ascii="Arial" w:hAnsi="Arial" w:cs="Arial"/>
                <w:color w:val="000000"/>
              </w:rPr>
            </w:pPr>
            <w:r w:rsidRPr="0014209C">
              <w:rPr>
                <w:rFonts w:ascii="Arial" w:hAnsi="Arial" w:cs="Arial"/>
                <w:color w:val="000000"/>
              </w:rPr>
              <w:t xml:space="preserve"> $400,919 </w:t>
            </w:r>
          </w:p>
        </w:tc>
      </w:tr>
      <w:tr w:rsidR="0014209C" w:rsidRPr="001014B8" w:rsidTr="00860EE6">
        <w:trPr>
          <w:trHeight w:val="300"/>
        </w:trPr>
        <w:tc>
          <w:tcPr>
            <w:tcW w:w="2785" w:type="dxa"/>
            <w:shd w:val="clear" w:color="auto" w:fill="4472C4" w:themeFill="accent1"/>
            <w:noWrap/>
          </w:tcPr>
          <w:p w:rsidR="0014209C" w:rsidRPr="001014B8" w:rsidRDefault="0014209C" w:rsidP="0014209C">
            <w:pPr>
              <w:rPr>
                <w:rFonts w:ascii="Arial" w:eastAsia="Times New Roman" w:hAnsi="Arial" w:cs="Arial"/>
                <w:b/>
                <w:bCs/>
                <w:color w:val="FFFFFF" w:themeColor="background1"/>
                <w:sz w:val="24"/>
                <w:szCs w:val="24"/>
              </w:rPr>
            </w:pPr>
            <w:r w:rsidRPr="00270C9E">
              <w:rPr>
                <w:rFonts w:ascii="Arial" w:eastAsia="Times New Roman" w:hAnsi="Arial" w:cs="Arial"/>
                <w:b/>
                <w:bCs/>
                <w:color w:val="FFFFFF" w:themeColor="background1"/>
                <w:sz w:val="24"/>
                <w:szCs w:val="24"/>
              </w:rPr>
              <w:t>Total</w:t>
            </w:r>
          </w:p>
        </w:tc>
        <w:tc>
          <w:tcPr>
            <w:tcW w:w="2190" w:type="dxa"/>
            <w:tcBorders>
              <w:top w:val="single" w:sz="4" w:space="0" w:color="auto"/>
              <w:left w:val="single" w:sz="4" w:space="0" w:color="auto"/>
              <w:bottom w:val="single" w:sz="4" w:space="0" w:color="auto"/>
              <w:right w:val="nil"/>
            </w:tcBorders>
            <w:shd w:val="clear" w:color="auto" w:fill="4472C4" w:themeFill="accent1"/>
            <w:vAlign w:val="bottom"/>
          </w:tcPr>
          <w:p w:rsidR="0014209C" w:rsidRPr="00270C9E" w:rsidRDefault="0014209C" w:rsidP="0014209C">
            <w:pPr>
              <w:rPr>
                <w:rFonts w:ascii="Arial" w:eastAsia="Times New Roman" w:hAnsi="Arial" w:cs="Arial"/>
                <w:b/>
                <w:bCs/>
                <w:color w:val="FFFFFF" w:themeColor="background1"/>
                <w:sz w:val="24"/>
                <w:szCs w:val="24"/>
              </w:rPr>
            </w:pPr>
            <w:r w:rsidRPr="00270C9E">
              <w:rPr>
                <w:rFonts w:ascii="Arial" w:hAnsi="Arial" w:cs="Arial"/>
                <w:b/>
                <w:bCs/>
                <w:color w:val="FFFFFF" w:themeColor="background1"/>
                <w:sz w:val="24"/>
                <w:szCs w:val="24"/>
              </w:rPr>
              <w:t>$7,000,000</w:t>
            </w:r>
          </w:p>
        </w:tc>
        <w:tc>
          <w:tcPr>
            <w:tcW w:w="2190" w:type="dxa"/>
            <w:tcBorders>
              <w:top w:val="single" w:sz="4" w:space="0" w:color="auto"/>
              <w:left w:val="single" w:sz="4" w:space="0" w:color="auto"/>
              <w:bottom w:val="single" w:sz="4" w:space="0" w:color="auto"/>
              <w:right w:val="single" w:sz="4" w:space="0" w:color="auto"/>
            </w:tcBorders>
            <w:shd w:val="clear" w:color="auto" w:fill="4472C4" w:themeFill="accent1"/>
            <w:vAlign w:val="bottom"/>
          </w:tcPr>
          <w:p w:rsidR="0014209C" w:rsidRPr="00270C9E" w:rsidRDefault="0014209C" w:rsidP="0014209C">
            <w:pPr>
              <w:rPr>
                <w:rFonts w:ascii="Arial" w:eastAsia="Times New Roman" w:hAnsi="Arial" w:cs="Arial"/>
                <w:b/>
                <w:bCs/>
                <w:color w:val="FFFFFF" w:themeColor="background1"/>
                <w:sz w:val="24"/>
                <w:szCs w:val="24"/>
              </w:rPr>
            </w:pPr>
            <w:r w:rsidRPr="00270C9E">
              <w:rPr>
                <w:rFonts w:ascii="Arial" w:hAnsi="Arial" w:cs="Arial"/>
                <w:b/>
                <w:bCs/>
                <w:color w:val="FFFFFF" w:themeColor="background1"/>
                <w:sz w:val="24"/>
                <w:szCs w:val="24"/>
              </w:rPr>
              <w:t>$10,000,000</w:t>
            </w:r>
          </w:p>
        </w:tc>
        <w:tc>
          <w:tcPr>
            <w:tcW w:w="2190" w:type="dxa"/>
            <w:tcBorders>
              <w:top w:val="single" w:sz="4" w:space="0" w:color="auto"/>
              <w:left w:val="single" w:sz="4" w:space="0" w:color="auto"/>
              <w:bottom w:val="single" w:sz="4" w:space="0" w:color="auto"/>
              <w:right w:val="single" w:sz="4" w:space="0" w:color="auto"/>
            </w:tcBorders>
            <w:shd w:val="clear" w:color="auto" w:fill="4472C4" w:themeFill="accent1"/>
          </w:tcPr>
          <w:p w:rsidR="0014209C" w:rsidRPr="00270C9E" w:rsidRDefault="0014209C" w:rsidP="0014209C">
            <w:pPr>
              <w:rPr>
                <w:rFonts w:ascii="Arial" w:hAnsi="Arial" w:cs="Arial"/>
                <w:b/>
                <w:bCs/>
                <w:color w:val="FFFFFF" w:themeColor="background1"/>
                <w:sz w:val="24"/>
                <w:szCs w:val="24"/>
              </w:rPr>
            </w:pPr>
            <w:r>
              <w:rPr>
                <w:rFonts w:ascii="Arial" w:hAnsi="Arial" w:cs="Arial"/>
                <w:b/>
                <w:bCs/>
                <w:color w:val="FFFFFF" w:themeColor="background1"/>
                <w:sz w:val="24"/>
                <w:szCs w:val="24"/>
              </w:rPr>
              <w:t>$14,500,000</w:t>
            </w:r>
          </w:p>
        </w:tc>
      </w:tr>
    </w:tbl>
    <w:p w:rsidR="0033699E" w:rsidRPr="001D24A8" w:rsidRDefault="0033699E" w:rsidP="00403599">
      <w:pPr>
        <w:spacing w:after="0" w:line="240" w:lineRule="auto"/>
        <w:rPr>
          <w:rFonts w:ascii="Arial" w:eastAsia="Times New Roman" w:hAnsi="Arial" w:cs="Arial"/>
        </w:rPr>
      </w:pPr>
    </w:p>
    <w:sectPr w:rsidR="0033699E" w:rsidRPr="001D24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248" w:rsidRDefault="009F0248" w:rsidP="000E7921">
      <w:pPr>
        <w:spacing w:after="0" w:line="240" w:lineRule="auto"/>
      </w:pPr>
      <w:r>
        <w:separator/>
      </w:r>
    </w:p>
  </w:endnote>
  <w:endnote w:type="continuationSeparator" w:id="0">
    <w:p w:rsidR="009F0248" w:rsidRDefault="009F0248" w:rsidP="000E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3053708"/>
      <w:docPartObj>
        <w:docPartGallery w:val="Page Numbers (Bottom of Page)"/>
        <w:docPartUnique/>
      </w:docPartObj>
    </w:sdtPr>
    <w:sdtEndPr>
      <w:rPr>
        <w:rStyle w:val="PageNumber"/>
      </w:rPr>
    </w:sdtEndPr>
    <w:sdtContent>
      <w:p w:rsidR="000E7921" w:rsidRDefault="000E7921" w:rsidP="001330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E7921" w:rsidRDefault="000E7921" w:rsidP="000E79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5599484"/>
      <w:docPartObj>
        <w:docPartGallery w:val="Page Numbers (Bottom of Page)"/>
        <w:docPartUnique/>
      </w:docPartObj>
    </w:sdtPr>
    <w:sdtEndPr>
      <w:rPr>
        <w:rStyle w:val="PageNumber"/>
      </w:rPr>
    </w:sdtEndPr>
    <w:sdtContent>
      <w:p w:rsidR="000E7921" w:rsidRDefault="000E7921" w:rsidP="001330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E7921" w:rsidRDefault="000E7921" w:rsidP="000E79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248" w:rsidRDefault="009F0248" w:rsidP="000E7921">
      <w:pPr>
        <w:spacing w:after="0" w:line="240" w:lineRule="auto"/>
      </w:pPr>
      <w:r>
        <w:separator/>
      </w:r>
    </w:p>
  </w:footnote>
  <w:footnote w:type="continuationSeparator" w:id="0">
    <w:p w:rsidR="009F0248" w:rsidRDefault="009F0248" w:rsidP="000E7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22DE"/>
    <w:multiLevelType w:val="hybridMultilevel"/>
    <w:tmpl w:val="76E248AE"/>
    <w:lvl w:ilvl="0" w:tplc="A0A087CA">
      <w:start w:val="1"/>
      <w:numFmt w:val="bullet"/>
      <w:lvlText w:val=""/>
      <w:lvlJc w:val="left"/>
      <w:pPr>
        <w:ind w:left="720" w:hanging="360"/>
      </w:pPr>
      <w:rPr>
        <w:rFonts w:ascii="Symbol" w:hAnsi="Symbol" w:hint="default"/>
        <w:sz w:val="20"/>
        <w:szCs w:val="20"/>
      </w:rPr>
    </w:lvl>
    <w:lvl w:ilvl="1" w:tplc="BED0BA4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A64DD"/>
    <w:multiLevelType w:val="multilevel"/>
    <w:tmpl w:val="59A0DE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D4F15"/>
    <w:multiLevelType w:val="hybridMultilevel"/>
    <w:tmpl w:val="467C8808"/>
    <w:lvl w:ilvl="0" w:tplc="3E0494CE">
      <w:start w:val="1"/>
      <w:numFmt w:val="bullet"/>
      <w:lvlText w:val=""/>
      <w:lvlJc w:val="left"/>
      <w:pPr>
        <w:ind w:left="776" w:hanging="360"/>
      </w:pPr>
      <w:rPr>
        <w:rFonts w:ascii="Symbol" w:hAnsi="Symbol" w:hint="default"/>
        <w:sz w:val="20"/>
        <w:szCs w:val="20"/>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2E0A6676"/>
    <w:multiLevelType w:val="hybridMultilevel"/>
    <w:tmpl w:val="ECB2F1E8"/>
    <w:lvl w:ilvl="0" w:tplc="1616B88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341EC3"/>
    <w:multiLevelType w:val="hybridMultilevel"/>
    <w:tmpl w:val="C94A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36738"/>
    <w:multiLevelType w:val="hybridMultilevel"/>
    <w:tmpl w:val="22F0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5C20"/>
    <w:multiLevelType w:val="hybridMultilevel"/>
    <w:tmpl w:val="A9C444A0"/>
    <w:lvl w:ilvl="0" w:tplc="3E0494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52007"/>
    <w:multiLevelType w:val="multilevel"/>
    <w:tmpl w:val="DB2813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CE477D"/>
    <w:multiLevelType w:val="hybridMultilevel"/>
    <w:tmpl w:val="1FB493EE"/>
    <w:lvl w:ilvl="0" w:tplc="A0A087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A5A03"/>
    <w:multiLevelType w:val="hybridMultilevel"/>
    <w:tmpl w:val="FE98A61A"/>
    <w:lvl w:ilvl="0" w:tplc="1616B88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2026A"/>
    <w:multiLevelType w:val="hybridMultilevel"/>
    <w:tmpl w:val="77E06306"/>
    <w:lvl w:ilvl="0" w:tplc="1616B88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01C94"/>
    <w:multiLevelType w:val="hybridMultilevel"/>
    <w:tmpl w:val="3A94AF84"/>
    <w:lvl w:ilvl="0" w:tplc="3E0494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F92BA9"/>
    <w:multiLevelType w:val="hybridMultilevel"/>
    <w:tmpl w:val="7336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11A24"/>
    <w:multiLevelType w:val="hybridMultilevel"/>
    <w:tmpl w:val="FBA450BA"/>
    <w:lvl w:ilvl="0" w:tplc="3E0494CE">
      <w:start w:val="1"/>
      <w:numFmt w:val="bullet"/>
      <w:lvlText w:val=""/>
      <w:lvlJc w:val="left"/>
      <w:pPr>
        <w:ind w:left="776" w:hanging="360"/>
      </w:pPr>
      <w:rPr>
        <w:rFonts w:ascii="Symbol" w:hAnsi="Symbol" w:hint="default"/>
        <w:sz w:val="20"/>
        <w:szCs w:val="20"/>
      </w:rPr>
    </w:lvl>
    <w:lvl w:ilvl="1" w:tplc="04090003">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6A6A2355"/>
    <w:multiLevelType w:val="hybridMultilevel"/>
    <w:tmpl w:val="56D2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11"/>
  </w:num>
  <w:num w:numId="6">
    <w:abstractNumId w:val="2"/>
  </w:num>
  <w:num w:numId="7">
    <w:abstractNumId w:val="13"/>
  </w:num>
  <w:num w:numId="8">
    <w:abstractNumId w:val="14"/>
  </w:num>
  <w:num w:numId="9">
    <w:abstractNumId w:val="4"/>
  </w:num>
  <w:num w:numId="10">
    <w:abstractNumId w:val="3"/>
  </w:num>
  <w:num w:numId="11">
    <w:abstractNumId w:val="9"/>
  </w:num>
  <w:num w:numId="12">
    <w:abstractNumId w:val="10"/>
  </w:num>
  <w:num w:numId="13">
    <w:abstractNumId w:val="1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A9"/>
    <w:rsid w:val="000053E8"/>
    <w:rsid w:val="000072D8"/>
    <w:rsid w:val="0001791E"/>
    <w:rsid w:val="000210CE"/>
    <w:rsid w:val="00022DC1"/>
    <w:rsid w:val="0002351E"/>
    <w:rsid w:val="00024A43"/>
    <w:rsid w:val="000342C4"/>
    <w:rsid w:val="00045DE8"/>
    <w:rsid w:val="000654A9"/>
    <w:rsid w:val="0008303C"/>
    <w:rsid w:val="00094F07"/>
    <w:rsid w:val="00096FF8"/>
    <w:rsid w:val="00097F9F"/>
    <w:rsid w:val="000B1725"/>
    <w:rsid w:val="000B64C4"/>
    <w:rsid w:val="000C1F4B"/>
    <w:rsid w:val="000C280B"/>
    <w:rsid w:val="000C6F18"/>
    <w:rsid w:val="000E7921"/>
    <w:rsid w:val="000F4033"/>
    <w:rsid w:val="000F75F7"/>
    <w:rsid w:val="001014B8"/>
    <w:rsid w:val="001136F3"/>
    <w:rsid w:val="001222E9"/>
    <w:rsid w:val="00132C84"/>
    <w:rsid w:val="00141EF0"/>
    <w:rsid w:val="0014209C"/>
    <w:rsid w:val="001464CB"/>
    <w:rsid w:val="001532E6"/>
    <w:rsid w:val="0015450A"/>
    <w:rsid w:val="00155B15"/>
    <w:rsid w:val="001A576F"/>
    <w:rsid w:val="001B2055"/>
    <w:rsid w:val="001C6656"/>
    <w:rsid w:val="001D24A8"/>
    <w:rsid w:val="001D3290"/>
    <w:rsid w:val="001F5FF9"/>
    <w:rsid w:val="00212D1B"/>
    <w:rsid w:val="00214861"/>
    <w:rsid w:val="00221526"/>
    <w:rsid w:val="002378C9"/>
    <w:rsid w:val="002423B5"/>
    <w:rsid w:val="002463F9"/>
    <w:rsid w:val="00254720"/>
    <w:rsid w:val="00270C9E"/>
    <w:rsid w:val="00277A9B"/>
    <w:rsid w:val="002A4E17"/>
    <w:rsid w:val="002A6E04"/>
    <w:rsid w:val="002B2E90"/>
    <w:rsid w:val="002B639B"/>
    <w:rsid w:val="002C644D"/>
    <w:rsid w:val="002D6DA8"/>
    <w:rsid w:val="002E43E1"/>
    <w:rsid w:val="002F3D21"/>
    <w:rsid w:val="00311DBE"/>
    <w:rsid w:val="0033699E"/>
    <w:rsid w:val="00344428"/>
    <w:rsid w:val="0034652D"/>
    <w:rsid w:val="00357E2A"/>
    <w:rsid w:val="00371CBE"/>
    <w:rsid w:val="00386284"/>
    <w:rsid w:val="003B0161"/>
    <w:rsid w:val="003B7ED8"/>
    <w:rsid w:val="003C3FF5"/>
    <w:rsid w:val="003D4C59"/>
    <w:rsid w:val="003E1011"/>
    <w:rsid w:val="00400911"/>
    <w:rsid w:val="00403599"/>
    <w:rsid w:val="0041036D"/>
    <w:rsid w:val="00411D3E"/>
    <w:rsid w:val="00414F2A"/>
    <w:rsid w:val="00417798"/>
    <w:rsid w:val="00430D6C"/>
    <w:rsid w:val="00454DEE"/>
    <w:rsid w:val="0047305F"/>
    <w:rsid w:val="0047410D"/>
    <w:rsid w:val="00474D15"/>
    <w:rsid w:val="00480EB5"/>
    <w:rsid w:val="004832D1"/>
    <w:rsid w:val="004A73D7"/>
    <w:rsid w:val="004B2417"/>
    <w:rsid w:val="004C34E4"/>
    <w:rsid w:val="004D2852"/>
    <w:rsid w:val="004D648F"/>
    <w:rsid w:val="004D66B3"/>
    <w:rsid w:val="004F75BF"/>
    <w:rsid w:val="0050186C"/>
    <w:rsid w:val="0052008A"/>
    <w:rsid w:val="00580941"/>
    <w:rsid w:val="00592AB3"/>
    <w:rsid w:val="00594192"/>
    <w:rsid w:val="005A5601"/>
    <w:rsid w:val="005C0056"/>
    <w:rsid w:val="006132E7"/>
    <w:rsid w:val="00615711"/>
    <w:rsid w:val="006344DF"/>
    <w:rsid w:val="00640022"/>
    <w:rsid w:val="00646415"/>
    <w:rsid w:val="006573F1"/>
    <w:rsid w:val="00693649"/>
    <w:rsid w:val="006A160E"/>
    <w:rsid w:val="006C0DF8"/>
    <w:rsid w:val="006C180A"/>
    <w:rsid w:val="006C2BBD"/>
    <w:rsid w:val="006C49B5"/>
    <w:rsid w:val="006D0A2C"/>
    <w:rsid w:val="006E3C20"/>
    <w:rsid w:val="006F2B63"/>
    <w:rsid w:val="007068F4"/>
    <w:rsid w:val="007220A3"/>
    <w:rsid w:val="00731222"/>
    <w:rsid w:val="00741E61"/>
    <w:rsid w:val="00741F72"/>
    <w:rsid w:val="00777DAE"/>
    <w:rsid w:val="00780B2E"/>
    <w:rsid w:val="00790DFF"/>
    <w:rsid w:val="007B7BD7"/>
    <w:rsid w:val="007D1728"/>
    <w:rsid w:val="007F2FD3"/>
    <w:rsid w:val="00804635"/>
    <w:rsid w:val="00806BFF"/>
    <w:rsid w:val="008105B8"/>
    <w:rsid w:val="00820E31"/>
    <w:rsid w:val="0082415B"/>
    <w:rsid w:val="00826A73"/>
    <w:rsid w:val="00831D5E"/>
    <w:rsid w:val="00835606"/>
    <w:rsid w:val="0084497B"/>
    <w:rsid w:val="0085515E"/>
    <w:rsid w:val="00860EE6"/>
    <w:rsid w:val="0086230F"/>
    <w:rsid w:val="00867314"/>
    <w:rsid w:val="00867D15"/>
    <w:rsid w:val="00873E8E"/>
    <w:rsid w:val="00897A60"/>
    <w:rsid w:val="008B13D7"/>
    <w:rsid w:val="008B5EE5"/>
    <w:rsid w:val="008C4727"/>
    <w:rsid w:val="00904CB2"/>
    <w:rsid w:val="00910B91"/>
    <w:rsid w:val="00922394"/>
    <w:rsid w:val="00925CDD"/>
    <w:rsid w:val="00932ADD"/>
    <w:rsid w:val="00935CF0"/>
    <w:rsid w:val="009361CE"/>
    <w:rsid w:val="009724FF"/>
    <w:rsid w:val="009864D1"/>
    <w:rsid w:val="009A6C74"/>
    <w:rsid w:val="009B0D26"/>
    <w:rsid w:val="009B6884"/>
    <w:rsid w:val="009C0D88"/>
    <w:rsid w:val="009E460B"/>
    <w:rsid w:val="009F0248"/>
    <w:rsid w:val="009F773E"/>
    <w:rsid w:val="00A04A91"/>
    <w:rsid w:val="00A07EBA"/>
    <w:rsid w:val="00A13DBB"/>
    <w:rsid w:val="00A4334F"/>
    <w:rsid w:val="00A6063A"/>
    <w:rsid w:val="00A82382"/>
    <w:rsid w:val="00A853F8"/>
    <w:rsid w:val="00A97E81"/>
    <w:rsid w:val="00AA2C5D"/>
    <w:rsid w:val="00AC0010"/>
    <w:rsid w:val="00AC56C1"/>
    <w:rsid w:val="00AD649E"/>
    <w:rsid w:val="00AE2561"/>
    <w:rsid w:val="00AE5ECC"/>
    <w:rsid w:val="00B01598"/>
    <w:rsid w:val="00B07C9C"/>
    <w:rsid w:val="00B108F3"/>
    <w:rsid w:val="00B13DCF"/>
    <w:rsid w:val="00B177B1"/>
    <w:rsid w:val="00B25E21"/>
    <w:rsid w:val="00B355CB"/>
    <w:rsid w:val="00B420D1"/>
    <w:rsid w:val="00B55872"/>
    <w:rsid w:val="00B610F8"/>
    <w:rsid w:val="00B63144"/>
    <w:rsid w:val="00B73349"/>
    <w:rsid w:val="00B82445"/>
    <w:rsid w:val="00B91AF2"/>
    <w:rsid w:val="00B93CB7"/>
    <w:rsid w:val="00BA67BF"/>
    <w:rsid w:val="00BC09FB"/>
    <w:rsid w:val="00BC2E2B"/>
    <w:rsid w:val="00BC4D67"/>
    <w:rsid w:val="00BC4D7B"/>
    <w:rsid w:val="00BD1D54"/>
    <w:rsid w:val="00BE0BE1"/>
    <w:rsid w:val="00BE0EAF"/>
    <w:rsid w:val="00C033FB"/>
    <w:rsid w:val="00C21A3A"/>
    <w:rsid w:val="00C21C85"/>
    <w:rsid w:val="00C2223F"/>
    <w:rsid w:val="00C52BB7"/>
    <w:rsid w:val="00C554EF"/>
    <w:rsid w:val="00CA3EC8"/>
    <w:rsid w:val="00CB2853"/>
    <w:rsid w:val="00CC58FC"/>
    <w:rsid w:val="00CC7073"/>
    <w:rsid w:val="00CE3FD0"/>
    <w:rsid w:val="00CE5CCD"/>
    <w:rsid w:val="00D01D38"/>
    <w:rsid w:val="00D05D45"/>
    <w:rsid w:val="00D10AAB"/>
    <w:rsid w:val="00D204B0"/>
    <w:rsid w:val="00D328C1"/>
    <w:rsid w:val="00D47203"/>
    <w:rsid w:val="00D52F03"/>
    <w:rsid w:val="00D56B24"/>
    <w:rsid w:val="00D62CF6"/>
    <w:rsid w:val="00D63D12"/>
    <w:rsid w:val="00D90F5B"/>
    <w:rsid w:val="00DA0099"/>
    <w:rsid w:val="00DB1D11"/>
    <w:rsid w:val="00DB3468"/>
    <w:rsid w:val="00DC6904"/>
    <w:rsid w:val="00DC7F1C"/>
    <w:rsid w:val="00DD2390"/>
    <w:rsid w:val="00DF1FA9"/>
    <w:rsid w:val="00DF6CE2"/>
    <w:rsid w:val="00E10B51"/>
    <w:rsid w:val="00E136BA"/>
    <w:rsid w:val="00E324EF"/>
    <w:rsid w:val="00E40169"/>
    <w:rsid w:val="00E4239C"/>
    <w:rsid w:val="00E72EFF"/>
    <w:rsid w:val="00E87CA9"/>
    <w:rsid w:val="00E91F0E"/>
    <w:rsid w:val="00E940CE"/>
    <w:rsid w:val="00ED4052"/>
    <w:rsid w:val="00F04BAC"/>
    <w:rsid w:val="00F07E94"/>
    <w:rsid w:val="00F15EAC"/>
    <w:rsid w:val="00F26A59"/>
    <w:rsid w:val="00F4273C"/>
    <w:rsid w:val="00F47662"/>
    <w:rsid w:val="00F5773A"/>
    <w:rsid w:val="00F73128"/>
    <w:rsid w:val="00FB2AFA"/>
    <w:rsid w:val="00FB4F7F"/>
    <w:rsid w:val="00FD4680"/>
    <w:rsid w:val="00FE0048"/>
    <w:rsid w:val="00FE66F2"/>
    <w:rsid w:val="00FF55C3"/>
    <w:rsid w:val="00FF5C9C"/>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9369"/>
  <w15:chartTrackingRefBased/>
  <w15:docId w15:val="{05599BC4-B16B-4582-9531-5C45058D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F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3CB7"/>
    <w:pPr>
      <w:ind w:left="720"/>
      <w:contextualSpacing/>
    </w:pPr>
  </w:style>
  <w:style w:type="table" w:styleId="TableGrid">
    <w:name w:val="Table Grid"/>
    <w:basedOn w:val="TableNormal"/>
    <w:uiPriority w:val="39"/>
    <w:rsid w:val="00F73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BE1"/>
    <w:rPr>
      <w:sz w:val="16"/>
      <w:szCs w:val="16"/>
    </w:rPr>
  </w:style>
  <w:style w:type="paragraph" w:styleId="CommentText">
    <w:name w:val="annotation text"/>
    <w:basedOn w:val="Normal"/>
    <w:link w:val="CommentTextChar"/>
    <w:uiPriority w:val="99"/>
    <w:unhideWhenUsed/>
    <w:rsid w:val="00BE0BE1"/>
    <w:pPr>
      <w:spacing w:line="240" w:lineRule="auto"/>
    </w:pPr>
    <w:rPr>
      <w:sz w:val="20"/>
      <w:szCs w:val="20"/>
    </w:rPr>
  </w:style>
  <w:style w:type="character" w:customStyle="1" w:styleId="CommentTextChar">
    <w:name w:val="Comment Text Char"/>
    <w:basedOn w:val="DefaultParagraphFont"/>
    <w:link w:val="CommentText"/>
    <w:uiPriority w:val="99"/>
    <w:rsid w:val="00BE0BE1"/>
    <w:rPr>
      <w:sz w:val="20"/>
      <w:szCs w:val="20"/>
    </w:rPr>
  </w:style>
  <w:style w:type="paragraph" w:styleId="CommentSubject">
    <w:name w:val="annotation subject"/>
    <w:basedOn w:val="CommentText"/>
    <w:next w:val="CommentText"/>
    <w:link w:val="CommentSubjectChar"/>
    <w:uiPriority w:val="99"/>
    <w:semiHidden/>
    <w:unhideWhenUsed/>
    <w:rsid w:val="00BE0BE1"/>
    <w:rPr>
      <w:b/>
      <w:bCs/>
    </w:rPr>
  </w:style>
  <w:style w:type="character" w:customStyle="1" w:styleId="CommentSubjectChar">
    <w:name w:val="Comment Subject Char"/>
    <w:basedOn w:val="CommentTextChar"/>
    <w:link w:val="CommentSubject"/>
    <w:uiPriority w:val="99"/>
    <w:semiHidden/>
    <w:rsid w:val="00BE0BE1"/>
    <w:rPr>
      <w:b/>
      <w:bCs/>
      <w:sz w:val="20"/>
      <w:szCs w:val="20"/>
    </w:rPr>
  </w:style>
  <w:style w:type="paragraph" w:styleId="Footer">
    <w:name w:val="footer"/>
    <w:basedOn w:val="Normal"/>
    <w:link w:val="FooterChar"/>
    <w:uiPriority w:val="99"/>
    <w:unhideWhenUsed/>
    <w:rsid w:val="000E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21"/>
  </w:style>
  <w:style w:type="character" w:styleId="PageNumber">
    <w:name w:val="page number"/>
    <w:basedOn w:val="DefaultParagraphFont"/>
    <w:uiPriority w:val="99"/>
    <w:semiHidden/>
    <w:unhideWhenUsed/>
    <w:rsid w:val="000E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6883">
      <w:bodyDiv w:val="1"/>
      <w:marLeft w:val="0"/>
      <w:marRight w:val="0"/>
      <w:marTop w:val="0"/>
      <w:marBottom w:val="0"/>
      <w:divBdr>
        <w:top w:val="none" w:sz="0" w:space="0" w:color="auto"/>
        <w:left w:val="none" w:sz="0" w:space="0" w:color="auto"/>
        <w:bottom w:val="none" w:sz="0" w:space="0" w:color="auto"/>
        <w:right w:val="none" w:sz="0" w:space="0" w:color="auto"/>
      </w:divBdr>
    </w:div>
    <w:div w:id="704982631">
      <w:bodyDiv w:val="1"/>
      <w:marLeft w:val="0"/>
      <w:marRight w:val="0"/>
      <w:marTop w:val="0"/>
      <w:marBottom w:val="0"/>
      <w:divBdr>
        <w:top w:val="none" w:sz="0" w:space="0" w:color="auto"/>
        <w:left w:val="none" w:sz="0" w:space="0" w:color="auto"/>
        <w:bottom w:val="none" w:sz="0" w:space="0" w:color="auto"/>
        <w:right w:val="none" w:sz="0" w:space="0" w:color="auto"/>
      </w:divBdr>
    </w:div>
    <w:div w:id="826283024">
      <w:bodyDiv w:val="1"/>
      <w:marLeft w:val="0"/>
      <w:marRight w:val="0"/>
      <w:marTop w:val="0"/>
      <w:marBottom w:val="0"/>
      <w:divBdr>
        <w:top w:val="none" w:sz="0" w:space="0" w:color="auto"/>
        <w:left w:val="none" w:sz="0" w:space="0" w:color="auto"/>
        <w:bottom w:val="none" w:sz="0" w:space="0" w:color="auto"/>
        <w:right w:val="none" w:sz="0" w:space="0" w:color="auto"/>
      </w:divBdr>
    </w:div>
    <w:div w:id="1050419412">
      <w:bodyDiv w:val="1"/>
      <w:marLeft w:val="0"/>
      <w:marRight w:val="0"/>
      <w:marTop w:val="0"/>
      <w:marBottom w:val="0"/>
      <w:divBdr>
        <w:top w:val="none" w:sz="0" w:space="0" w:color="auto"/>
        <w:left w:val="none" w:sz="0" w:space="0" w:color="auto"/>
        <w:bottom w:val="none" w:sz="0" w:space="0" w:color="auto"/>
        <w:right w:val="none" w:sz="0" w:space="0" w:color="auto"/>
      </w:divBdr>
    </w:div>
    <w:div w:id="1188517754">
      <w:bodyDiv w:val="1"/>
      <w:marLeft w:val="0"/>
      <w:marRight w:val="0"/>
      <w:marTop w:val="0"/>
      <w:marBottom w:val="0"/>
      <w:divBdr>
        <w:top w:val="none" w:sz="0" w:space="0" w:color="auto"/>
        <w:left w:val="none" w:sz="0" w:space="0" w:color="auto"/>
        <w:bottom w:val="none" w:sz="0" w:space="0" w:color="auto"/>
        <w:right w:val="none" w:sz="0" w:space="0" w:color="auto"/>
      </w:divBdr>
    </w:div>
    <w:div w:id="1430152959">
      <w:bodyDiv w:val="1"/>
      <w:marLeft w:val="0"/>
      <w:marRight w:val="0"/>
      <w:marTop w:val="0"/>
      <w:marBottom w:val="0"/>
      <w:divBdr>
        <w:top w:val="none" w:sz="0" w:space="0" w:color="auto"/>
        <w:left w:val="none" w:sz="0" w:space="0" w:color="auto"/>
        <w:bottom w:val="none" w:sz="0" w:space="0" w:color="auto"/>
        <w:right w:val="none" w:sz="0" w:space="0" w:color="auto"/>
      </w:divBdr>
    </w:div>
    <w:div w:id="1729298511">
      <w:bodyDiv w:val="1"/>
      <w:marLeft w:val="0"/>
      <w:marRight w:val="0"/>
      <w:marTop w:val="0"/>
      <w:marBottom w:val="0"/>
      <w:divBdr>
        <w:top w:val="none" w:sz="0" w:space="0" w:color="auto"/>
        <w:left w:val="none" w:sz="0" w:space="0" w:color="auto"/>
        <w:bottom w:val="none" w:sz="0" w:space="0" w:color="auto"/>
        <w:right w:val="none" w:sz="0" w:space="0" w:color="auto"/>
      </w:divBdr>
    </w:div>
    <w:div w:id="1801412866">
      <w:bodyDiv w:val="1"/>
      <w:marLeft w:val="0"/>
      <w:marRight w:val="0"/>
      <w:marTop w:val="0"/>
      <w:marBottom w:val="0"/>
      <w:divBdr>
        <w:top w:val="none" w:sz="0" w:space="0" w:color="auto"/>
        <w:left w:val="none" w:sz="0" w:space="0" w:color="auto"/>
        <w:bottom w:val="none" w:sz="0" w:space="0" w:color="auto"/>
        <w:right w:val="none" w:sz="0" w:space="0" w:color="auto"/>
      </w:divBdr>
    </w:div>
    <w:div w:id="2120179628">
      <w:bodyDiv w:val="1"/>
      <w:marLeft w:val="0"/>
      <w:marRight w:val="0"/>
      <w:marTop w:val="0"/>
      <w:marBottom w:val="0"/>
      <w:divBdr>
        <w:top w:val="none" w:sz="0" w:space="0" w:color="auto"/>
        <w:left w:val="none" w:sz="0" w:space="0" w:color="auto"/>
        <w:bottom w:val="none" w:sz="0" w:space="0" w:color="auto"/>
        <w:right w:val="none" w:sz="0" w:space="0" w:color="auto"/>
      </w:divBdr>
      <w:divsChild>
        <w:div w:id="1690598999">
          <w:marLeft w:val="0"/>
          <w:marRight w:val="0"/>
          <w:marTop w:val="0"/>
          <w:marBottom w:val="0"/>
          <w:divBdr>
            <w:top w:val="none" w:sz="0" w:space="0" w:color="auto"/>
            <w:left w:val="none" w:sz="0" w:space="0" w:color="auto"/>
            <w:bottom w:val="none" w:sz="0" w:space="0" w:color="auto"/>
            <w:right w:val="none" w:sz="0" w:space="0" w:color="auto"/>
          </w:divBdr>
          <w:divsChild>
            <w:div w:id="621765208">
              <w:marLeft w:val="0"/>
              <w:marRight w:val="0"/>
              <w:marTop w:val="0"/>
              <w:marBottom w:val="0"/>
              <w:divBdr>
                <w:top w:val="none" w:sz="0" w:space="0" w:color="auto"/>
                <w:left w:val="none" w:sz="0" w:space="0" w:color="auto"/>
                <w:bottom w:val="none" w:sz="0" w:space="0" w:color="auto"/>
                <w:right w:val="none" w:sz="0" w:space="0" w:color="auto"/>
              </w:divBdr>
              <w:divsChild>
                <w:div w:id="12809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3C08E33BA05946876C29B63CB78D16" ma:contentTypeVersion="13" ma:contentTypeDescription="Create a new document." ma:contentTypeScope="" ma:versionID="22b0312fd4a95272c50afe393b750846">
  <xsd:schema xmlns:xsd="http://www.w3.org/2001/XMLSchema" xmlns:xs="http://www.w3.org/2001/XMLSchema" xmlns:p="http://schemas.microsoft.com/office/2006/metadata/properties" xmlns:ns2="55f958f7-070a-4117-bcb5-b50c0ccba210" xmlns:ns3="d9e2ab17-2cf8-4db7-bdb7-739bd64cf4c7" targetNamespace="http://schemas.microsoft.com/office/2006/metadata/properties" ma:root="true" ma:fieldsID="451150356e77bf32b9de2ab0f3cf129a" ns2:_="" ns3:_="">
    <xsd:import namespace="55f958f7-070a-4117-bcb5-b50c0ccba210"/>
    <xsd:import namespace="d9e2ab17-2cf8-4db7-bdb7-739bd64cf4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58f7-070a-4117-bcb5-b50c0ccba2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d7822-3eb5-42b4-b888-ef30890ae39d}" ma:internalName="TaxCatchAll" ma:showField="CatchAllData" ma:web="55f958f7-070a-4117-bcb5-b50c0ccba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2ab17-2cf8-4db7-bdb7-739bd64cf4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f958f7-070a-4117-bcb5-b50c0ccba210" xsi:nil="true"/>
    <lcf76f155ced4ddcb4097134ff3c332f xmlns="d9e2ab17-2cf8-4db7-bdb7-739bd64cf4c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1543-639F-48A9-88B9-69093E44BDAA}">
  <ds:schemaRefs>
    <ds:schemaRef ds:uri="http://schemas.microsoft.com/sharepoint/v3/contenttype/forms"/>
  </ds:schemaRefs>
</ds:datastoreItem>
</file>

<file path=customXml/itemProps2.xml><?xml version="1.0" encoding="utf-8"?>
<ds:datastoreItem xmlns:ds="http://schemas.openxmlformats.org/officeDocument/2006/customXml" ds:itemID="{320A29DB-FC95-4921-98C9-A7204750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58f7-070a-4117-bcb5-b50c0ccba210"/>
    <ds:schemaRef ds:uri="d9e2ab17-2cf8-4db7-bdb7-739bd64c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7A43-782F-4121-B297-7389ACA6A02C}">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4.xml><?xml version="1.0" encoding="utf-8"?>
<ds:datastoreItem xmlns:ds="http://schemas.openxmlformats.org/officeDocument/2006/customXml" ds:itemID="{8498A532-356C-4F85-9AF6-5177F805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Fiala Steven C</dc:creator>
  <cp:keywords/>
  <dc:description/>
  <cp:lastModifiedBy>Steven Fiala</cp:lastModifiedBy>
  <cp:revision>70</cp:revision>
  <dcterms:created xsi:type="dcterms:W3CDTF">2022-05-03T20:00:00Z</dcterms:created>
  <dcterms:modified xsi:type="dcterms:W3CDTF">2022-05-18T07:13:00Z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0x010100323C08E33BA05946876C29B63CB78D16</vt:lpwstr>
  </property>
  <property fmtid="{D5CDD505-2E9C-101B-9397-08002B2CF9AE}" pid="3" name="MediaServiceImageTags">
    <vt:lpwstr/>
  </property>
</Properties>
</file>