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421FB" w:rsidR="00AF48B0" w:rsidP="000E345E" w:rsidRDefault="006D2748" w14:paraId="592C118A" w14:textId="40A60908">
      <w:pPr>
        <w:spacing w:after="0" w:line="240" w:lineRule="auto"/>
        <w:jc w:val="center"/>
        <w:rPr>
          <w:rFonts w:cstheme="minorHAnsi"/>
          <w:b/>
          <w:bCs/>
          <w:sz w:val="28"/>
          <w:szCs w:val="28"/>
        </w:rPr>
      </w:pPr>
      <w:r>
        <w:rPr>
          <w:rFonts w:cstheme="minorHAnsi"/>
          <w:b/>
          <w:bCs/>
          <w:sz w:val="28"/>
          <w:szCs w:val="28"/>
        </w:rPr>
        <w:t xml:space="preserve"> </w:t>
      </w:r>
      <w:r w:rsidRPr="009421FB" w:rsidR="00AF48B0">
        <w:rPr>
          <w:rFonts w:cstheme="minorHAnsi"/>
          <w:b/>
          <w:bCs/>
          <w:sz w:val="28"/>
          <w:szCs w:val="28"/>
        </w:rPr>
        <w:t xml:space="preserve">Ballot Measure 108 </w:t>
      </w:r>
      <w:r w:rsidRPr="009421FB" w:rsidR="00BD41EC">
        <w:rPr>
          <w:rFonts w:cstheme="minorHAnsi"/>
          <w:b/>
          <w:bCs/>
          <w:sz w:val="28"/>
          <w:szCs w:val="28"/>
        </w:rPr>
        <w:t>/ Oregon Tobacco Tax</w:t>
      </w:r>
    </w:p>
    <w:p w:rsidR="009A632C" w:rsidP="000E345E" w:rsidRDefault="00B1203F" w14:paraId="602F3A93" w14:textId="042829CA">
      <w:pPr>
        <w:spacing w:after="0" w:line="240" w:lineRule="auto"/>
        <w:jc w:val="center"/>
        <w:rPr>
          <w:rFonts w:cstheme="minorHAnsi"/>
          <w:sz w:val="28"/>
          <w:szCs w:val="28"/>
        </w:rPr>
      </w:pPr>
      <w:r w:rsidRPr="002255EA">
        <w:rPr>
          <w:rFonts w:cstheme="minorHAnsi"/>
          <w:sz w:val="28"/>
          <w:szCs w:val="28"/>
        </w:rPr>
        <w:t xml:space="preserve">High level Communications </w:t>
      </w:r>
      <w:r w:rsidRPr="002255EA" w:rsidR="00BD41EC">
        <w:rPr>
          <w:rFonts w:cstheme="minorHAnsi"/>
          <w:sz w:val="28"/>
          <w:szCs w:val="28"/>
        </w:rPr>
        <w:t>Talking Points</w:t>
      </w:r>
      <w:r w:rsidRPr="002255EA" w:rsidR="00AF48B0">
        <w:rPr>
          <w:rFonts w:cstheme="minorHAnsi"/>
          <w:sz w:val="28"/>
          <w:szCs w:val="28"/>
        </w:rPr>
        <w:t xml:space="preserve"> |</w:t>
      </w:r>
      <w:r w:rsidRPr="002255EA" w:rsidR="00AF48B0">
        <w:rPr>
          <w:rFonts w:cstheme="minorHAnsi"/>
          <w:b/>
          <w:bCs/>
          <w:sz w:val="28"/>
          <w:szCs w:val="28"/>
        </w:rPr>
        <w:t xml:space="preserve"> </w:t>
      </w:r>
      <w:r w:rsidRPr="002255EA" w:rsidR="00BD41EC">
        <w:rPr>
          <w:rFonts w:cstheme="minorHAnsi"/>
          <w:sz w:val="28"/>
          <w:szCs w:val="28"/>
        </w:rPr>
        <w:t>April 1</w:t>
      </w:r>
      <w:r w:rsidR="000E345E">
        <w:rPr>
          <w:rFonts w:cstheme="minorHAnsi"/>
          <w:sz w:val="28"/>
          <w:szCs w:val="28"/>
        </w:rPr>
        <w:t>5</w:t>
      </w:r>
      <w:r w:rsidRPr="002255EA" w:rsidR="00BD41EC">
        <w:rPr>
          <w:rFonts w:cstheme="minorHAnsi"/>
          <w:sz w:val="28"/>
          <w:szCs w:val="28"/>
        </w:rPr>
        <w:t xml:space="preserve">, </w:t>
      </w:r>
      <w:r w:rsidRPr="002255EA" w:rsidR="00AF48B0">
        <w:rPr>
          <w:rFonts w:cstheme="minorHAnsi"/>
          <w:sz w:val="28"/>
          <w:szCs w:val="28"/>
        </w:rPr>
        <w:t>2022</w:t>
      </w:r>
    </w:p>
    <w:p w:rsidRPr="002255EA" w:rsidR="007C6E28" w:rsidP="007C6E28" w:rsidRDefault="007C6E28" w14:paraId="5B74FE1F" w14:textId="77777777">
      <w:pPr>
        <w:spacing w:after="0" w:line="240" w:lineRule="auto"/>
        <w:rPr>
          <w:rFonts w:cstheme="minorHAnsi"/>
          <w:b/>
          <w:bCs/>
          <w:sz w:val="28"/>
          <w:szCs w:val="28"/>
        </w:rPr>
      </w:pPr>
    </w:p>
    <w:p w:rsidRPr="002255EA" w:rsidR="009421FB" w:rsidP="007C6E28" w:rsidRDefault="009421FB" w14:paraId="4A09E5E9" w14:textId="7F598FC6">
      <w:pPr>
        <w:spacing w:after="0" w:line="240" w:lineRule="auto"/>
        <w:rPr>
          <w:rFonts w:cstheme="minorHAnsi"/>
          <w:b/>
          <w:bCs/>
          <w:sz w:val="28"/>
          <w:szCs w:val="28"/>
        </w:rPr>
      </w:pPr>
      <w:r w:rsidRPr="002255EA">
        <w:rPr>
          <w:rFonts w:cstheme="minorHAnsi"/>
          <w:b/>
          <w:bCs/>
          <w:sz w:val="28"/>
          <w:szCs w:val="28"/>
        </w:rPr>
        <w:t xml:space="preserve">Addressing Commercial Tobacco Related Health Inequities </w:t>
      </w:r>
    </w:p>
    <w:p w:rsidRPr="00D46015" w:rsidR="00D46015" w:rsidP="007C6E28" w:rsidRDefault="00BF1F64" w14:paraId="2C4088B9" w14:textId="53FE619B">
      <w:pPr>
        <w:pStyle w:val="ListParagraph"/>
        <w:numPr>
          <w:ilvl w:val="0"/>
          <w:numId w:val="6"/>
        </w:numPr>
        <w:spacing w:after="0" w:line="240" w:lineRule="auto"/>
        <w:rPr>
          <w:rFonts w:eastAsia="Times New Roman" w:cstheme="minorHAnsi"/>
          <w:sz w:val="28"/>
          <w:szCs w:val="28"/>
        </w:rPr>
      </w:pPr>
      <w:r w:rsidRPr="00BF1F64">
        <w:rPr>
          <w:rFonts w:eastAsia="Calibri" w:cstheme="minorHAnsi"/>
          <w:color w:val="000000"/>
          <w:sz w:val="28"/>
          <w:szCs w:val="28"/>
        </w:rPr>
        <w:t>O</w:t>
      </w:r>
      <w:r w:rsidR="00764C33">
        <w:rPr>
          <w:rFonts w:eastAsia="Calibri" w:cstheme="minorHAnsi"/>
          <w:color w:val="000000"/>
          <w:sz w:val="28"/>
          <w:szCs w:val="28"/>
        </w:rPr>
        <w:t xml:space="preserve">regon </w:t>
      </w:r>
      <w:r w:rsidRPr="00BF1F64">
        <w:rPr>
          <w:rFonts w:eastAsia="Calibri" w:cstheme="minorHAnsi"/>
          <w:color w:val="000000"/>
          <w:sz w:val="28"/>
          <w:szCs w:val="28"/>
        </w:rPr>
        <w:t>H</w:t>
      </w:r>
      <w:r w:rsidR="00764C33">
        <w:rPr>
          <w:rFonts w:eastAsia="Calibri" w:cstheme="minorHAnsi"/>
          <w:color w:val="000000"/>
          <w:sz w:val="28"/>
          <w:szCs w:val="28"/>
        </w:rPr>
        <w:t xml:space="preserve">ealth </w:t>
      </w:r>
      <w:r w:rsidRPr="00BF1F64">
        <w:rPr>
          <w:rFonts w:eastAsia="Calibri" w:cstheme="minorHAnsi"/>
          <w:color w:val="000000"/>
          <w:sz w:val="28"/>
          <w:szCs w:val="28"/>
        </w:rPr>
        <w:t>A</w:t>
      </w:r>
      <w:r w:rsidR="00764C33">
        <w:rPr>
          <w:rFonts w:eastAsia="Calibri" w:cstheme="minorHAnsi"/>
          <w:color w:val="000000"/>
          <w:sz w:val="28"/>
          <w:szCs w:val="28"/>
        </w:rPr>
        <w:t>uthorit</w:t>
      </w:r>
      <w:r w:rsidR="000E4928">
        <w:rPr>
          <w:rFonts w:eastAsia="Calibri" w:cstheme="minorHAnsi"/>
          <w:color w:val="000000"/>
          <w:sz w:val="28"/>
          <w:szCs w:val="28"/>
        </w:rPr>
        <w:t>y’s</w:t>
      </w:r>
      <w:r w:rsidR="00764C33">
        <w:rPr>
          <w:rFonts w:eastAsia="Calibri" w:cstheme="minorHAnsi"/>
          <w:color w:val="000000"/>
          <w:sz w:val="28"/>
          <w:szCs w:val="28"/>
        </w:rPr>
        <w:t xml:space="preserve"> (OHA) </w:t>
      </w:r>
      <w:r w:rsidRPr="00BF1F64">
        <w:rPr>
          <w:rFonts w:eastAsia="Calibri" w:cstheme="minorHAnsi"/>
          <w:color w:val="000000"/>
          <w:sz w:val="28"/>
          <w:szCs w:val="28"/>
        </w:rPr>
        <w:t xml:space="preserve">10-year strategic </w:t>
      </w:r>
      <w:r w:rsidR="001950B3">
        <w:rPr>
          <w:rFonts w:eastAsia="Calibri" w:cstheme="minorHAnsi"/>
          <w:color w:val="000000"/>
          <w:sz w:val="28"/>
          <w:szCs w:val="28"/>
        </w:rPr>
        <w:t xml:space="preserve">plan </w:t>
      </w:r>
      <w:r w:rsidR="008E14B7">
        <w:rPr>
          <w:rFonts w:eastAsia="Calibri" w:cstheme="minorHAnsi"/>
          <w:color w:val="000000"/>
          <w:sz w:val="28"/>
          <w:szCs w:val="28"/>
        </w:rPr>
        <w:t xml:space="preserve">seeks to </w:t>
      </w:r>
      <w:r w:rsidRPr="00BF1F64">
        <w:rPr>
          <w:rFonts w:eastAsia="Calibri" w:cstheme="minorHAnsi"/>
          <w:color w:val="000000"/>
          <w:sz w:val="28"/>
          <w:szCs w:val="28"/>
        </w:rPr>
        <w:t>eliminat</w:t>
      </w:r>
      <w:r w:rsidR="008E14B7">
        <w:rPr>
          <w:rFonts w:eastAsia="Calibri" w:cstheme="minorHAnsi"/>
          <w:color w:val="000000"/>
          <w:sz w:val="28"/>
          <w:szCs w:val="28"/>
        </w:rPr>
        <w:t>e</w:t>
      </w:r>
      <w:r w:rsidRPr="00BF1F64">
        <w:rPr>
          <w:rFonts w:eastAsia="Calibri" w:cstheme="minorHAnsi"/>
          <w:color w:val="000000"/>
          <w:sz w:val="28"/>
          <w:szCs w:val="28"/>
        </w:rPr>
        <w:t xml:space="preserve"> health inequities by 2030 and </w:t>
      </w:r>
      <w:r w:rsidR="00B07503">
        <w:rPr>
          <w:rFonts w:eastAsia="Calibri" w:cstheme="minorHAnsi"/>
          <w:color w:val="000000"/>
          <w:sz w:val="28"/>
          <w:szCs w:val="28"/>
        </w:rPr>
        <w:t xml:space="preserve">foster </w:t>
      </w:r>
      <w:r w:rsidRPr="00BF1F64" w:rsidR="006215F4">
        <w:rPr>
          <w:rFonts w:eastAsia="Calibri" w:cstheme="minorHAnsi"/>
          <w:color w:val="000000"/>
          <w:sz w:val="28"/>
          <w:szCs w:val="28"/>
        </w:rPr>
        <w:t>racial</w:t>
      </w:r>
      <w:r w:rsidRPr="00BF1F64" w:rsidR="00BD41EC">
        <w:rPr>
          <w:rFonts w:eastAsia="Calibri" w:cstheme="minorHAnsi"/>
          <w:color w:val="000000"/>
          <w:sz w:val="28"/>
          <w:szCs w:val="28"/>
        </w:rPr>
        <w:t xml:space="preserve"> and health</w:t>
      </w:r>
      <w:r w:rsidRPr="00BF1F64" w:rsidR="006215F4">
        <w:rPr>
          <w:rFonts w:eastAsia="Calibri" w:cstheme="minorHAnsi"/>
          <w:color w:val="000000"/>
          <w:sz w:val="28"/>
          <w:szCs w:val="28"/>
        </w:rPr>
        <w:t xml:space="preserve"> equity </w:t>
      </w:r>
      <w:r w:rsidR="00B07503">
        <w:rPr>
          <w:rFonts w:eastAsia="Calibri" w:cstheme="minorHAnsi"/>
          <w:color w:val="000000"/>
          <w:sz w:val="28"/>
          <w:szCs w:val="28"/>
        </w:rPr>
        <w:t xml:space="preserve">to </w:t>
      </w:r>
      <w:r w:rsidRPr="00BF1F64" w:rsidR="006215F4">
        <w:rPr>
          <w:rFonts w:eastAsia="Calibri" w:cstheme="minorHAnsi"/>
          <w:color w:val="000000"/>
          <w:sz w:val="28"/>
          <w:szCs w:val="28"/>
        </w:rPr>
        <w:t>improve health outcomes</w:t>
      </w:r>
      <w:r w:rsidR="00D46015">
        <w:rPr>
          <w:rFonts w:eastAsia="Calibri" w:cstheme="minorHAnsi"/>
          <w:color w:val="000000"/>
          <w:sz w:val="28"/>
          <w:szCs w:val="28"/>
        </w:rPr>
        <w:t xml:space="preserve"> for Oregonians</w:t>
      </w:r>
      <w:r w:rsidRPr="00BF1F64" w:rsidR="006215F4">
        <w:rPr>
          <w:rFonts w:eastAsia="Calibri" w:cstheme="minorHAnsi"/>
          <w:color w:val="000000"/>
          <w:sz w:val="28"/>
          <w:szCs w:val="28"/>
        </w:rPr>
        <w:t>.</w:t>
      </w:r>
    </w:p>
    <w:p w:rsidR="00D503CE" w:rsidP="00D503CE" w:rsidRDefault="00D503CE" w14:paraId="35C82B51" w14:textId="5B3289C2">
      <w:pPr>
        <w:pStyle w:val="ListParagraph"/>
        <w:spacing w:after="0" w:line="240" w:lineRule="auto"/>
        <w:ind w:left="360"/>
        <w:rPr>
          <w:rFonts w:eastAsia="Calibri" w:cstheme="minorHAnsi"/>
          <w:color w:val="000000"/>
          <w:sz w:val="28"/>
          <w:szCs w:val="28"/>
        </w:rPr>
      </w:pPr>
    </w:p>
    <w:p w:rsidRPr="00D503CE" w:rsidR="00AA567C" w:rsidP="00D503CE" w:rsidRDefault="00D503CE" w14:paraId="5D309655" w14:textId="6ED6C437">
      <w:pPr>
        <w:pStyle w:val="ListParagraph"/>
        <w:numPr>
          <w:ilvl w:val="0"/>
          <w:numId w:val="6"/>
        </w:numPr>
        <w:spacing w:after="0" w:line="240" w:lineRule="auto"/>
        <w:rPr>
          <w:rFonts w:eastAsia="Times New Roman" w:cstheme="minorHAnsi"/>
          <w:sz w:val="28"/>
          <w:szCs w:val="28"/>
        </w:rPr>
      </w:pPr>
      <w:r w:rsidRPr="00D503CE">
        <w:rPr>
          <w:rFonts w:eastAsia="Calibri" w:cstheme="minorHAnsi"/>
          <w:color w:val="000000"/>
          <w:sz w:val="28"/>
          <w:szCs w:val="28"/>
        </w:rPr>
        <w:t>M</w:t>
      </w:r>
      <w:r w:rsidRPr="00D503CE" w:rsidR="006215F4">
        <w:rPr>
          <w:rFonts w:eastAsia="Calibri" w:cstheme="minorHAnsi"/>
          <w:color w:val="000000"/>
          <w:sz w:val="28"/>
          <w:szCs w:val="28"/>
        </w:rPr>
        <w:t xml:space="preserve">any communities continue to experience disproportionate harms from </w:t>
      </w:r>
      <w:r w:rsidRPr="00D503CE" w:rsidR="00BD41EC">
        <w:rPr>
          <w:rFonts w:eastAsia="Calibri" w:cstheme="minorHAnsi"/>
          <w:color w:val="000000"/>
          <w:sz w:val="28"/>
          <w:szCs w:val="28"/>
        </w:rPr>
        <w:t xml:space="preserve">commercial </w:t>
      </w:r>
      <w:r w:rsidRPr="00D503CE" w:rsidR="006215F4">
        <w:rPr>
          <w:rFonts w:eastAsia="Calibri" w:cstheme="minorHAnsi"/>
          <w:color w:val="000000"/>
          <w:sz w:val="28"/>
          <w:szCs w:val="28"/>
        </w:rPr>
        <w:t>tobacco</w:t>
      </w:r>
      <w:r w:rsidRPr="00D503CE" w:rsidR="00D46015">
        <w:rPr>
          <w:rFonts w:eastAsia="Calibri" w:cstheme="minorHAnsi"/>
          <w:color w:val="000000"/>
          <w:sz w:val="28"/>
          <w:szCs w:val="28"/>
        </w:rPr>
        <w:t>,</w:t>
      </w:r>
      <w:r w:rsidRPr="00D503CE" w:rsidR="006215F4">
        <w:rPr>
          <w:rFonts w:eastAsia="Calibri" w:cstheme="minorHAnsi"/>
          <w:color w:val="000000"/>
          <w:sz w:val="28"/>
          <w:szCs w:val="28"/>
        </w:rPr>
        <w:t xml:space="preserve"> </w:t>
      </w:r>
      <w:r w:rsidRPr="00D503CE">
        <w:rPr>
          <w:rFonts w:eastAsia="Calibri" w:cstheme="minorHAnsi"/>
          <w:color w:val="000000"/>
          <w:sz w:val="28"/>
          <w:szCs w:val="28"/>
        </w:rPr>
        <w:t>despite steady and significant overall reductions in tobacco</w:t>
      </w:r>
      <w:r w:rsidRPr="00D503CE">
        <w:rPr>
          <w:rFonts w:eastAsia="Calibri" w:cstheme="minorHAnsi"/>
          <w:color w:val="000000"/>
          <w:sz w:val="28"/>
          <w:szCs w:val="28"/>
          <w:vertAlign w:val="superscript"/>
        </w:rPr>
        <w:t xml:space="preserve"> </w:t>
      </w:r>
      <w:r w:rsidRPr="00D503CE">
        <w:rPr>
          <w:rFonts w:eastAsia="Calibri" w:cstheme="minorHAnsi"/>
          <w:color w:val="000000"/>
          <w:sz w:val="28"/>
          <w:szCs w:val="28"/>
        </w:rPr>
        <w:t>use</w:t>
      </w:r>
      <w:r w:rsidR="00922F27">
        <w:rPr>
          <w:rFonts w:eastAsia="Calibri" w:cstheme="minorHAnsi"/>
          <w:color w:val="000000"/>
          <w:sz w:val="28"/>
          <w:szCs w:val="28"/>
        </w:rPr>
        <w:t xml:space="preserve">.  These include </w:t>
      </w:r>
      <w:r w:rsidRPr="00D503CE" w:rsidR="006215F4">
        <w:rPr>
          <w:rFonts w:eastAsia="Calibri" w:cstheme="minorHAnsi"/>
          <w:color w:val="000000"/>
          <w:sz w:val="28"/>
          <w:szCs w:val="28"/>
        </w:rPr>
        <w:t xml:space="preserve">Native American/Alaskan Native, Black/African American/African, Pacific Islander, Latino/a/x, Asian, LGBTQ2SIA+, people with disabilities and people living with mental health issues. </w:t>
      </w:r>
    </w:p>
    <w:p w:rsidRPr="002255EA" w:rsidR="00AA567C" w:rsidP="007C6E28" w:rsidRDefault="00AA567C" w14:paraId="2C041C10" w14:textId="77777777">
      <w:pPr>
        <w:pStyle w:val="ListParagraph"/>
        <w:spacing w:after="0" w:line="240" w:lineRule="auto"/>
        <w:rPr>
          <w:rFonts w:eastAsia="Calibri" w:cstheme="minorHAnsi"/>
          <w:color w:val="000000"/>
          <w:sz w:val="28"/>
          <w:szCs w:val="28"/>
        </w:rPr>
      </w:pPr>
    </w:p>
    <w:p w:rsidRPr="002255EA" w:rsidR="006215F4" w:rsidP="007C6E28" w:rsidRDefault="006215F4" w14:paraId="6458F40B" w14:textId="30337722">
      <w:pPr>
        <w:pStyle w:val="ListParagraph"/>
        <w:numPr>
          <w:ilvl w:val="0"/>
          <w:numId w:val="6"/>
        </w:numPr>
        <w:spacing w:after="0" w:line="240" w:lineRule="auto"/>
        <w:rPr>
          <w:rFonts w:eastAsia="Times New Roman" w:cstheme="minorHAnsi"/>
          <w:sz w:val="28"/>
          <w:szCs w:val="28"/>
        </w:rPr>
      </w:pPr>
      <w:r w:rsidRPr="002255EA">
        <w:rPr>
          <w:rFonts w:eastAsia="Calibri" w:cstheme="minorHAnsi"/>
          <w:color w:val="000000"/>
          <w:sz w:val="28"/>
          <w:szCs w:val="28"/>
        </w:rPr>
        <w:t xml:space="preserve">Tobacco-related health disparities </w:t>
      </w:r>
      <w:r w:rsidRPr="002255EA" w:rsidR="00AA567C">
        <w:rPr>
          <w:rFonts w:eastAsia="Calibri" w:cstheme="minorHAnsi"/>
          <w:color w:val="000000"/>
          <w:sz w:val="28"/>
          <w:szCs w:val="28"/>
        </w:rPr>
        <w:t xml:space="preserve">result from </w:t>
      </w:r>
      <w:r w:rsidRPr="002255EA">
        <w:rPr>
          <w:rFonts w:eastAsia="Calibri" w:cstheme="minorHAnsi"/>
          <w:color w:val="000000"/>
          <w:sz w:val="28"/>
          <w:szCs w:val="28"/>
        </w:rPr>
        <w:t>variations in policy protections; the tobacco industry’s continued targeting of under</w:t>
      </w:r>
      <w:r w:rsidRPr="002255EA" w:rsidR="00AA567C">
        <w:rPr>
          <w:rFonts w:eastAsia="Calibri" w:cstheme="minorHAnsi"/>
          <w:color w:val="000000"/>
          <w:sz w:val="28"/>
          <w:szCs w:val="28"/>
        </w:rPr>
        <w:t xml:space="preserve"> resourced</w:t>
      </w:r>
      <w:r w:rsidRPr="002255EA">
        <w:rPr>
          <w:rFonts w:eastAsia="Calibri" w:cstheme="minorHAnsi"/>
          <w:color w:val="000000"/>
          <w:sz w:val="28"/>
          <w:szCs w:val="28"/>
        </w:rPr>
        <w:t xml:space="preserve"> communities; underlying social and structural inequities, including systemic racism</w:t>
      </w:r>
      <w:r w:rsidRPr="002255EA">
        <w:rPr>
          <w:rFonts w:cstheme="minorHAnsi"/>
          <w:sz w:val="28"/>
          <w:szCs w:val="28"/>
        </w:rPr>
        <w:t>;</w:t>
      </w:r>
      <w:r w:rsidRPr="002255EA">
        <w:rPr>
          <w:rFonts w:eastAsia="Calibri" w:cstheme="minorHAnsi"/>
          <w:color w:val="000000"/>
          <w:sz w:val="28"/>
          <w:szCs w:val="28"/>
        </w:rPr>
        <w:t xml:space="preserve"> and the resulting stressors experienced inequitably by communities of color.</w:t>
      </w:r>
    </w:p>
    <w:p w:rsidRPr="00AB2383" w:rsidR="00D4742B" w:rsidP="007C6E28" w:rsidRDefault="00D4742B" w14:paraId="3A135F5B" w14:textId="77777777">
      <w:pPr>
        <w:pStyle w:val="ListParagraph"/>
        <w:spacing w:after="0" w:line="240" w:lineRule="auto"/>
        <w:rPr>
          <w:rFonts w:cstheme="minorHAnsi"/>
          <w:sz w:val="28"/>
          <w:szCs w:val="28"/>
        </w:rPr>
      </w:pPr>
    </w:p>
    <w:p w:rsidR="00544F23" w:rsidP="007C6E28" w:rsidRDefault="00480AC4" w14:paraId="48B4E205" w14:textId="2DEB2BF5">
      <w:pPr>
        <w:spacing w:after="0" w:line="240" w:lineRule="auto"/>
        <w:rPr>
          <w:rFonts w:cstheme="minorHAnsi"/>
          <w:b/>
          <w:bCs/>
          <w:sz w:val="28"/>
          <w:szCs w:val="28"/>
        </w:rPr>
      </w:pPr>
      <w:r w:rsidRPr="0053173D">
        <w:rPr>
          <w:rFonts w:cstheme="minorHAnsi"/>
          <w:b/>
          <w:bCs/>
          <w:sz w:val="28"/>
          <w:szCs w:val="28"/>
        </w:rPr>
        <w:t xml:space="preserve">Background and </w:t>
      </w:r>
      <w:r w:rsidRPr="0053173D" w:rsidR="0053173D">
        <w:rPr>
          <w:rFonts w:cstheme="minorHAnsi"/>
          <w:b/>
          <w:bCs/>
          <w:sz w:val="28"/>
          <w:szCs w:val="28"/>
        </w:rPr>
        <w:t xml:space="preserve">Current Status of </w:t>
      </w:r>
      <w:r w:rsidRPr="0053173D" w:rsidR="0067754A">
        <w:rPr>
          <w:rFonts w:cstheme="minorHAnsi"/>
          <w:b/>
          <w:bCs/>
          <w:sz w:val="28"/>
          <w:szCs w:val="28"/>
        </w:rPr>
        <w:t>BM108/Tobacco Tax</w:t>
      </w:r>
    </w:p>
    <w:p w:rsidRPr="00544F23" w:rsidR="00B476B9" w:rsidP="007C6E28" w:rsidRDefault="00CF60DB" w14:paraId="46E537E1" w14:textId="609A38AA">
      <w:pPr>
        <w:pStyle w:val="ListParagraph"/>
        <w:numPr>
          <w:ilvl w:val="0"/>
          <w:numId w:val="11"/>
        </w:numPr>
        <w:spacing w:after="0" w:line="240" w:lineRule="auto"/>
        <w:rPr>
          <w:rFonts w:cstheme="minorHAnsi"/>
          <w:sz w:val="28"/>
          <w:szCs w:val="28"/>
        </w:rPr>
      </w:pPr>
      <w:r w:rsidRPr="00544F23">
        <w:rPr>
          <w:rFonts w:cstheme="minorHAnsi"/>
          <w:sz w:val="28"/>
          <w:szCs w:val="28"/>
        </w:rPr>
        <w:t>With the passage of B</w:t>
      </w:r>
      <w:r w:rsidRPr="00544F23" w:rsidR="008279A2">
        <w:rPr>
          <w:rFonts w:cstheme="minorHAnsi"/>
          <w:sz w:val="28"/>
          <w:szCs w:val="28"/>
        </w:rPr>
        <w:t xml:space="preserve">allot Measure </w:t>
      </w:r>
      <w:r w:rsidRPr="00544F23" w:rsidR="00B7470F">
        <w:rPr>
          <w:rFonts w:cstheme="minorHAnsi"/>
          <w:sz w:val="28"/>
          <w:szCs w:val="28"/>
        </w:rPr>
        <w:t xml:space="preserve">(BM) </w:t>
      </w:r>
      <w:r w:rsidRPr="00544F23">
        <w:rPr>
          <w:rFonts w:cstheme="minorHAnsi"/>
          <w:sz w:val="28"/>
          <w:szCs w:val="28"/>
        </w:rPr>
        <w:t xml:space="preserve">108 in November 2020, </w:t>
      </w:r>
      <w:r w:rsidRPr="00544F23" w:rsidR="003B78BF">
        <w:rPr>
          <w:rFonts w:cstheme="minorHAnsi"/>
          <w:sz w:val="28"/>
          <w:szCs w:val="28"/>
        </w:rPr>
        <w:t>Oregon’s</w:t>
      </w:r>
      <w:r w:rsidRPr="00544F23" w:rsidR="00B476B9">
        <w:rPr>
          <w:rFonts w:cstheme="minorHAnsi"/>
          <w:sz w:val="28"/>
          <w:szCs w:val="28"/>
        </w:rPr>
        <w:t xml:space="preserve"> </w:t>
      </w:r>
      <w:r w:rsidRPr="00544F23" w:rsidR="003B78BF">
        <w:rPr>
          <w:rFonts w:cstheme="minorHAnsi"/>
          <w:sz w:val="28"/>
          <w:szCs w:val="28"/>
        </w:rPr>
        <w:t>tobacco prevention system</w:t>
      </w:r>
      <w:r w:rsidRPr="00544F23" w:rsidR="00480AC4">
        <w:rPr>
          <w:rFonts w:cstheme="minorHAnsi"/>
          <w:sz w:val="28"/>
          <w:szCs w:val="28"/>
        </w:rPr>
        <w:t xml:space="preserve"> contributed to the biggest expansion of tobacco and cessation work in a generation</w:t>
      </w:r>
      <w:r w:rsidRPr="00544F23" w:rsidR="00B7470F">
        <w:rPr>
          <w:rFonts w:cstheme="minorHAnsi"/>
          <w:sz w:val="28"/>
          <w:szCs w:val="28"/>
        </w:rPr>
        <w:t xml:space="preserve">. </w:t>
      </w:r>
    </w:p>
    <w:p w:rsidR="00B476B9" w:rsidP="007C6E28" w:rsidRDefault="00B476B9" w14:paraId="2EE2937C" w14:textId="77777777">
      <w:pPr>
        <w:pStyle w:val="ListParagraph"/>
        <w:spacing w:after="0" w:line="240" w:lineRule="auto"/>
        <w:ind w:left="360"/>
        <w:rPr>
          <w:rFonts w:cstheme="minorHAnsi"/>
          <w:sz w:val="28"/>
          <w:szCs w:val="28"/>
        </w:rPr>
      </w:pPr>
    </w:p>
    <w:p w:rsidRPr="00B476B9" w:rsidR="00480AC4" w:rsidP="007C6E28" w:rsidRDefault="00764C33" w14:paraId="1E40E492" w14:textId="02158A93">
      <w:pPr>
        <w:pStyle w:val="ListParagraph"/>
        <w:numPr>
          <w:ilvl w:val="0"/>
          <w:numId w:val="11"/>
        </w:numPr>
        <w:spacing w:after="0" w:line="240" w:lineRule="auto"/>
        <w:rPr>
          <w:rFonts w:cstheme="minorHAnsi"/>
          <w:sz w:val="28"/>
          <w:szCs w:val="28"/>
        </w:rPr>
      </w:pPr>
      <w:r>
        <w:rPr>
          <w:rFonts w:cstheme="minorHAnsi"/>
          <w:sz w:val="28"/>
          <w:szCs w:val="28"/>
        </w:rPr>
        <w:t>Oregon</w:t>
      </w:r>
      <w:r w:rsidR="00907D68">
        <w:rPr>
          <w:rFonts w:cstheme="minorHAnsi"/>
          <w:sz w:val="28"/>
          <w:szCs w:val="28"/>
        </w:rPr>
        <w:t xml:space="preserve">’s tobacco prevention </w:t>
      </w:r>
      <w:r>
        <w:rPr>
          <w:rFonts w:cstheme="minorHAnsi"/>
          <w:sz w:val="28"/>
          <w:szCs w:val="28"/>
        </w:rPr>
        <w:t>s</w:t>
      </w:r>
      <w:r w:rsidRPr="00B476B9" w:rsidR="00B7470F">
        <w:rPr>
          <w:rFonts w:cstheme="minorHAnsi"/>
          <w:sz w:val="28"/>
          <w:szCs w:val="28"/>
        </w:rPr>
        <w:t>ystem includes OHA, local public health authorities</w:t>
      </w:r>
      <w:r w:rsidRPr="00B476B9" w:rsidR="006A31A5">
        <w:rPr>
          <w:rFonts w:cstheme="minorHAnsi"/>
          <w:sz w:val="28"/>
          <w:szCs w:val="28"/>
        </w:rPr>
        <w:t xml:space="preserve"> (LPHAs)</w:t>
      </w:r>
      <w:r w:rsidRPr="00B476B9" w:rsidR="00B7470F">
        <w:rPr>
          <w:rFonts w:cstheme="minorHAnsi"/>
          <w:sz w:val="28"/>
          <w:szCs w:val="28"/>
        </w:rPr>
        <w:t>, community-based organizations</w:t>
      </w:r>
      <w:r w:rsidRPr="00B476B9" w:rsidR="006A31A5">
        <w:rPr>
          <w:rFonts w:cstheme="minorHAnsi"/>
          <w:sz w:val="28"/>
          <w:szCs w:val="28"/>
        </w:rPr>
        <w:t xml:space="preserve"> (CBOs)</w:t>
      </w:r>
      <w:r w:rsidRPr="00B476B9" w:rsidR="00B7470F">
        <w:rPr>
          <w:rFonts w:cstheme="minorHAnsi"/>
          <w:sz w:val="28"/>
          <w:szCs w:val="28"/>
        </w:rPr>
        <w:t>, Tribes, advocacy organizations</w:t>
      </w:r>
      <w:r w:rsidR="00907D68">
        <w:rPr>
          <w:rFonts w:cstheme="minorHAnsi"/>
          <w:sz w:val="28"/>
          <w:szCs w:val="28"/>
        </w:rPr>
        <w:t>, a</w:t>
      </w:r>
      <w:r w:rsidR="00DD2F71">
        <w:rPr>
          <w:rFonts w:cstheme="minorHAnsi"/>
          <w:sz w:val="28"/>
          <w:szCs w:val="28"/>
        </w:rPr>
        <w:t xml:space="preserve">nd other health system partners </w:t>
      </w:r>
      <w:r w:rsidRPr="00B476B9" w:rsidR="00480AC4">
        <w:rPr>
          <w:rFonts w:cstheme="minorHAnsi"/>
          <w:sz w:val="28"/>
          <w:szCs w:val="28"/>
        </w:rPr>
        <w:t>(</w:t>
      </w:r>
      <w:r w:rsidRPr="00B476B9" w:rsidR="003B78BF">
        <w:rPr>
          <w:rFonts w:cstheme="minorHAnsi"/>
          <w:sz w:val="28"/>
          <w:szCs w:val="28"/>
        </w:rPr>
        <w:t xml:space="preserve">see </w:t>
      </w:r>
      <w:r w:rsidRPr="00B476B9" w:rsidR="00480AC4">
        <w:rPr>
          <w:rFonts w:cstheme="minorHAnsi"/>
          <w:i/>
          <w:iCs/>
          <w:sz w:val="28"/>
          <w:szCs w:val="28"/>
        </w:rPr>
        <w:t>Community Tobacco Prevention &amp; Cessation Partner Map</w:t>
      </w:r>
      <w:r w:rsidRPr="009F0B03" w:rsidR="009F0B03">
        <w:rPr>
          <w:rFonts w:cstheme="minorHAnsi"/>
          <w:sz w:val="28"/>
          <w:szCs w:val="28"/>
        </w:rPr>
        <w:t xml:space="preserve"> on page 5</w:t>
      </w:r>
      <w:r w:rsidRPr="00B476B9" w:rsidR="00480AC4">
        <w:rPr>
          <w:rFonts w:cstheme="minorHAnsi"/>
          <w:sz w:val="28"/>
          <w:szCs w:val="28"/>
        </w:rPr>
        <w:t>).</w:t>
      </w:r>
    </w:p>
    <w:p w:rsidRPr="00B7470F" w:rsidR="00B7470F" w:rsidP="007C6E28" w:rsidRDefault="00B7470F" w14:paraId="526FD94B" w14:textId="77777777">
      <w:pPr>
        <w:pStyle w:val="ListParagraph"/>
        <w:spacing w:after="0" w:line="240" w:lineRule="auto"/>
        <w:ind w:left="0"/>
        <w:rPr>
          <w:rFonts w:cstheme="minorHAnsi"/>
          <w:sz w:val="28"/>
          <w:szCs w:val="28"/>
        </w:rPr>
      </w:pPr>
    </w:p>
    <w:p w:rsidR="00C62840" w:rsidP="007C6E28" w:rsidRDefault="009F0B03" w14:paraId="4AADCAD9" w14:textId="761EE3A0">
      <w:pPr>
        <w:pStyle w:val="ListParagraph"/>
        <w:numPr>
          <w:ilvl w:val="0"/>
          <w:numId w:val="11"/>
        </w:numPr>
        <w:spacing w:after="0" w:line="240" w:lineRule="auto"/>
        <w:contextualSpacing w:val="0"/>
        <w:rPr>
          <w:rFonts w:cstheme="minorHAnsi"/>
          <w:sz w:val="28"/>
          <w:szCs w:val="28"/>
        </w:rPr>
      </w:pPr>
      <w:r>
        <w:rPr>
          <w:rFonts w:cstheme="minorHAnsi"/>
          <w:sz w:val="28"/>
          <w:szCs w:val="28"/>
        </w:rPr>
        <w:t>I</w:t>
      </w:r>
      <w:r w:rsidRPr="00AB2383" w:rsidR="008F0DA6">
        <w:rPr>
          <w:rFonts w:cstheme="minorHAnsi"/>
          <w:sz w:val="28"/>
          <w:szCs w:val="28"/>
        </w:rPr>
        <w:t>n 2021-2023</w:t>
      </w:r>
      <w:r w:rsidR="008F0DA6">
        <w:rPr>
          <w:rFonts w:cstheme="minorHAnsi"/>
          <w:sz w:val="28"/>
          <w:szCs w:val="28"/>
        </w:rPr>
        <w:t xml:space="preserve">, </w:t>
      </w:r>
      <w:r w:rsidRPr="00AB2383" w:rsidR="00C62840">
        <w:rPr>
          <w:rFonts w:cstheme="minorHAnsi"/>
          <w:sz w:val="28"/>
          <w:szCs w:val="28"/>
        </w:rPr>
        <w:t>OHA estimates BM</w:t>
      </w:r>
      <w:r w:rsidR="0053173D">
        <w:rPr>
          <w:rFonts w:cstheme="minorHAnsi"/>
          <w:sz w:val="28"/>
          <w:szCs w:val="28"/>
        </w:rPr>
        <w:t xml:space="preserve"> </w:t>
      </w:r>
      <w:r w:rsidRPr="00AB2383" w:rsidR="00C62840">
        <w:rPr>
          <w:rFonts w:cstheme="minorHAnsi"/>
          <w:sz w:val="28"/>
          <w:szCs w:val="28"/>
        </w:rPr>
        <w:t>108 tax revenue will generate $430 million</w:t>
      </w:r>
      <w:r w:rsidR="008F0DA6">
        <w:rPr>
          <w:rFonts w:cstheme="minorHAnsi"/>
          <w:sz w:val="28"/>
          <w:szCs w:val="28"/>
        </w:rPr>
        <w:t xml:space="preserve">, </w:t>
      </w:r>
      <w:r w:rsidRPr="00AB2383" w:rsidR="00C62840">
        <w:rPr>
          <w:rFonts w:cstheme="minorHAnsi"/>
          <w:sz w:val="28"/>
          <w:szCs w:val="28"/>
        </w:rPr>
        <w:t>with 90% ($385 million)</w:t>
      </w:r>
      <w:r w:rsidR="008F0DA6">
        <w:rPr>
          <w:rFonts w:cstheme="minorHAnsi"/>
          <w:sz w:val="28"/>
          <w:szCs w:val="28"/>
        </w:rPr>
        <w:t xml:space="preserve"> allocated to </w:t>
      </w:r>
      <w:r w:rsidRPr="00AB2383" w:rsidR="00C62840">
        <w:rPr>
          <w:rFonts w:cstheme="minorHAnsi"/>
          <w:sz w:val="28"/>
          <w:szCs w:val="28"/>
        </w:rPr>
        <w:t>maintain</w:t>
      </w:r>
      <w:r w:rsidR="008F0DA6">
        <w:rPr>
          <w:rFonts w:cstheme="minorHAnsi"/>
          <w:sz w:val="28"/>
          <w:szCs w:val="28"/>
        </w:rPr>
        <w:t>ing</w:t>
      </w:r>
      <w:r w:rsidRPr="00AB2383" w:rsidR="00C62840">
        <w:rPr>
          <w:rFonts w:cstheme="minorHAnsi"/>
          <w:sz w:val="28"/>
          <w:szCs w:val="28"/>
        </w:rPr>
        <w:t xml:space="preserve"> and expand healthcare coverage for lower-income Oregonians</w:t>
      </w:r>
      <w:r w:rsidR="00C44185">
        <w:rPr>
          <w:rFonts w:cstheme="minorHAnsi"/>
          <w:sz w:val="28"/>
          <w:szCs w:val="28"/>
        </w:rPr>
        <w:t xml:space="preserve"> through the Oregon Health Plan</w:t>
      </w:r>
      <w:r w:rsidRPr="00AB2383" w:rsidR="00C62840">
        <w:rPr>
          <w:rFonts w:cstheme="minorHAnsi"/>
          <w:sz w:val="28"/>
          <w:szCs w:val="28"/>
        </w:rPr>
        <w:t>.</w:t>
      </w:r>
      <w:r w:rsidRPr="00AB2383" w:rsidR="00CA0339">
        <w:rPr>
          <w:rFonts w:cstheme="minorHAnsi"/>
          <w:sz w:val="28"/>
          <w:szCs w:val="28"/>
        </w:rPr>
        <w:t xml:space="preserve"> </w:t>
      </w:r>
      <w:r w:rsidRPr="00AB2383" w:rsidR="00C62840">
        <w:rPr>
          <w:rFonts w:cstheme="minorHAnsi"/>
          <w:sz w:val="28"/>
          <w:szCs w:val="28"/>
        </w:rPr>
        <w:t xml:space="preserve">The remaining </w:t>
      </w:r>
      <w:r w:rsidRPr="00EB4C9A" w:rsidR="00C62840">
        <w:rPr>
          <w:rFonts w:cstheme="minorHAnsi"/>
          <w:sz w:val="28"/>
          <w:szCs w:val="28"/>
        </w:rPr>
        <w:t xml:space="preserve">10% </w:t>
      </w:r>
      <w:r w:rsidRPr="008F0DA6" w:rsidR="00C62840">
        <w:rPr>
          <w:rFonts w:cstheme="minorHAnsi"/>
          <w:sz w:val="28"/>
          <w:szCs w:val="28"/>
        </w:rPr>
        <w:t>($43 million)</w:t>
      </w:r>
      <w:r w:rsidR="00061850">
        <w:rPr>
          <w:rFonts w:cstheme="minorHAnsi"/>
          <w:sz w:val="28"/>
          <w:szCs w:val="28"/>
        </w:rPr>
        <w:t xml:space="preserve"> was</w:t>
      </w:r>
      <w:r w:rsidRPr="00AB2383" w:rsidR="00C62840">
        <w:rPr>
          <w:rFonts w:cstheme="minorHAnsi"/>
          <w:sz w:val="28"/>
          <w:szCs w:val="28"/>
        </w:rPr>
        <w:t xml:space="preserve"> </w:t>
      </w:r>
      <w:r w:rsidR="008F0DA6">
        <w:rPr>
          <w:rFonts w:cstheme="minorHAnsi"/>
          <w:sz w:val="28"/>
          <w:szCs w:val="28"/>
        </w:rPr>
        <w:t xml:space="preserve">designated </w:t>
      </w:r>
      <w:r w:rsidRPr="00AB2383" w:rsidR="00C62840">
        <w:rPr>
          <w:rFonts w:cstheme="minorHAnsi"/>
          <w:sz w:val="28"/>
          <w:szCs w:val="28"/>
        </w:rPr>
        <w:t xml:space="preserve">for state and local tobacco prevention and cessation with a focus on addressing tobacco-related health inequities. </w:t>
      </w:r>
    </w:p>
    <w:p w:rsidR="00B06D30" w:rsidP="007C6E28" w:rsidRDefault="00B06D30" w14:paraId="2EC34E5D" w14:textId="77777777">
      <w:pPr>
        <w:spacing w:after="0" w:line="240" w:lineRule="auto"/>
        <w:rPr>
          <w:rFonts w:cstheme="minorHAnsi"/>
          <w:b/>
          <w:bCs/>
          <w:sz w:val="28"/>
          <w:szCs w:val="28"/>
        </w:rPr>
      </w:pPr>
    </w:p>
    <w:p w:rsidR="007867A9" w:rsidP="007C6E28" w:rsidRDefault="007867A9" w14:paraId="544C575A" w14:textId="1A0F6438">
      <w:pPr>
        <w:spacing w:after="0" w:line="240" w:lineRule="auto"/>
        <w:rPr>
          <w:rFonts w:cstheme="minorHAnsi"/>
          <w:b/>
          <w:bCs/>
          <w:sz w:val="28"/>
          <w:szCs w:val="28"/>
        </w:rPr>
      </w:pPr>
      <w:r w:rsidRPr="007867A9">
        <w:rPr>
          <w:rFonts w:cstheme="minorHAnsi"/>
          <w:b/>
          <w:bCs/>
          <w:sz w:val="28"/>
          <w:szCs w:val="28"/>
        </w:rPr>
        <w:lastRenderedPageBreak/>
        <w:t>Process for Allocating BM</w:t>
      </w:r>
      <w:r w:rsidR="00061850">
        <w:rPr>
          <w:rFonts w:cstheme="minorHAnsi"/>
          <w:b/>
          <w:bCs/>
          <w:sz w:val="28"/>
          <w:szCs w:val="28"/>
        </w:rPr>
        <w:t xml:space="preserve"> </w:t>
      </w:r>
      <w:r w:rsidRPr="007867A9">
        <w:rPr>
          <w:rFonts w:cstheme="minorHAnsi"/>
          <w:b/>
          <w:bCs/>
          <w:sz w:val="28"/>
          <w:szCs w:val="28"/>
        </w:rPr>
        <w:t>108 Revenue</w:t>
      </w:r>
    </w:p>
    <w:p w:rsidR="00152237" w:rsidP="007C6E28" w:rsidRDefault="00F52193" w14:paraId="15EF841B" w14:textId="5B846BD1">
      <w:pPr>
        <w:pStyle w:val="ListParagraph"/>
        <w:numPr>
          <w:ilvl w:val="0"/>
          <w:numId w:val="11"/>
        </w:numPr>
        <w:spacing w:after="0" w:line="240" w:lineRule="auto"/>
        <w:rPr>
          <w:rFonts w:cstheme="minorHAnsi"/>
          <w:sz w:val="28"/>
          <w:szCs w:val="28"/>
        </w:rPr>
      </w:pPr>
      <w:r w:rsidRPr="00F52193">
        <w:rPr>
          <w:rFonts w:cstheme="minorHAnsi"/>
          <w:sz w:val="28"/>
          <w:szCs w:val="28"/>
        </w:rPr>
        <w:t xml:space="preserve">In 2021, </w:t>
      </w:r>
      <w:r w:rsidRPr="00F52193" w:rsidR="008F423A">
        <w:rPr>
          <w:rFonts w:cstheme="minorHAnsi"/>
          <w:sz w:val="28"/>
          <w:szCs w:val="28"/>
        </w:rPr>
        <w:t>OHA</w:t>
      </w:r>
      <w:r w:rsidRPr="00F52193" w:rsidR="00480AC4">
        <w:rPr>
          <w:rFonts w:cstheme="minorHAnsi"/>
          <w:sz w:val="28"/>
          <w:szCs w:val="28"/>
        </w:rPr>
        <w:t xml:space="preserve"> </w:t>
      </w:r>
      <w:r w:rsidRPr="00F52193" w:rsidR="009354F5">
        <w:rPr>
          <w:rFonts w:cstheme="minorHAnsi"/>
          <w:sz w:val="28"/>
          <w:szCs w:val="28"/>
        </w:rPr>
        <w:t>participated</w:t>
      </w:r>
      <w:r w:rsidRPr="00F52193" w:rsidR="00480AC4">
        <w:rPr>
          <w:rFonts w:cstheme="minorHAnsi"/>
          <w:sz w:val="28"/>
          <w:szCs w:val="28"/>
        </w:rPr>
        <w:t xml:space="preserve"> in a formal consultation process with </w:t>
      </w:r>
      <w:r w:rsidRPr="00F52193" w:rsidR="00BE3651">
        <w:rPr>
          <w:rFonts w:cstheme="minorHAnsi"/>
          <w:sz w:val="28"/>
          <w:szCs w:val="28"/>
        </w:rPr>
        <w:t xml:space="preserve">Oregon </w:t>
      </w:r>
      <w:r w:rsidRPr="00F52193" w:rsidR="00480AC4">
        <w:rPr>
          <w:rFonts w:cstheme="minorHAnsi"/>
          <w:sz w:val="28"/>
          <w:szCs w:val="28"/>
        </w:rPr>
        <w:t xml:space="preserve">Tribes </w:t>
      </w:r>
      <w:r w:rsidRPr="00F52193" w:rsidR="00BE3651">
        <w:rPr>
          <w:rFonts w:cstheme="minorHAnsi"/>
          <w:sz w:val="28"/>
          <w:szCs w:val="28"/>
        </w:rPr>
        <w:t>result</w:t>
      </w:r>
      <w:r w:rsidRPr="00F52193" w:rsidR="00AF1599">
        <w:rPr>
          <w:rFonts w:cstheme="minorHAnsi"/>
          <w:sz w:val="28"/>
          <w:szCs w:val="28"/>
        </w:rPr>
        <w:t>ing</w:t>
      </w:r>
      <w:r w:rsidRPr="00F52193" w:rsidR="00BE3651">
        <w:rPr>
          <w:rFonts w:cstheme="minorHAnsi"/>
          <w:sz w:val="28"/>
          <w:szCs w:val="28"/>
        </w:rPr>
        <w:t xml:space="preserve"> in </w:t>
      </w:r>
      <w:r w:rsidRPr="00F52193" w:rsidR="00974A39">
        <w:rPr>
          <w:rFonts w:cstheme="minorHAnsi"/>
          <w:sz w:val="28"/>
          <w:szCs w:val="28"/>
        </w:rPr>
        <w:t xml:space="preserve">allocation of </w:t>
      </w:r>
      <w:r w:rsidRPr="00F52193" w:rsidR="00BE3651">
        <w:rPr>
          <w:rFonts w:cstheme="minorHAnsi"/>
          <w:sz w:val="28"/>
          <w:szCs w:val="28"/>
        </w:rPr>
        <w:t>20% of BM</w:t>
      </w:r>
      <w:r w:rsidR="00061850">
        <w:rPr>
          <w:rFonts w:cstheme="minorHAnsi"/>
          <w:sz w:val="28"/>
          <w:szCs w:val="28"/>
        </w:rPr>
        <w:t xml:space="preserve"> </w:t>
      </w:r>
      <w:r w:rsidRPr="00F52193" w:rsidR="00BE3651">
        <w:rPr>
          <w:rFonts w:cstheme="minorHAnsi"/>
          <w:sz w:val="28"/>
          <w:szCs w:val="28"/>
        </w:rPr>
        <w:t>108 revenue</w:t>
      </w:r>
      <w:r w:rsidR="00B74820">
        <w:rPr>
          <w:rFonts w:cstheme="minorHAnsi"/>
          <w:sz w:val="28"/>
          <w:szCs w:val="28"/>
        </w:rPr>
        <w:t xml:space="preserve"> </w:t>
      </w:r>
      <w:r w:rsidRPr="00F52193" w:rsidR="00290313">
        <w:rPr>
          <w:rFonts w:cstheme="minorHAnsi"/>
          <w:sz w:val="28"/>
          <w:szCs w:val="28"/>
        </w:rPr>
        <w:t xml:space="preserve">($7.1 million) </w:t>
      </w:r>
      <w:r w:rsidR="00B74820">
        <w:rPr>
          <w:rFonts w:cstheme="minorHAnsi"/>
          <w:sz w:val="28"/>
          <w:szCs w:val="28"/>
        </w:rPr>
        <w:t>(</w:t>
      </w:r>
      <w:r w:rsidR="00290313">
        <w:rPr>
          <w:rFonts w:cstheme="minorHAnsi"/>
          <w:sz w:val="28"/>
          <w:szCs w:val="28"/>
        </w:rPr>
        <w:t xml:space="preserve">of the overall 10% </w:t>
      </w:r>
      <w:r w:rsidR="00B74820">
        <w:rPr>
          <w:rFonts w:cstheme="minorHAnsi"/>
          <w:sz w:val="28"/>
          <w:szCs w:val="28"/>
        </w:rPr>
        <w:t>earmarked for prevention</w:t>
      </w:r>
      <w:r w:rsidR="00290313">
        <w:rPr>
          <w:rFonts w:cstheme="minorHAnsi"/>
          <w:sz w:val="28"/>
          <w:szCs w:val="28"/>
        </w:rPr>
        <w:t>)</w:t>
      </w:r>
      <w:r w:rsidRPr="00F52193" w:rsidR="00BE3651">
        <w:rPr>
          <w:rFonts w:cstheme="minorHAnsi"/>
          <w:sz w:val="28"/>
          <w:szCs w:val="28"/>
        </w:rPr>
        <w:t xml:space="preserve"> </w:t>
      </w:r>
      <w:r w:rsidRPr="00F52193" w:rsidR="00974A39">
        <w:rPr>
          <w:rFonts w:cstheme="minorHAnsi"/>
          <w:sz w:val="28"/>
          <w:szCs w:val="28"/>
        </w:rPr>
        <w:t>to Tribes</w:t>
      </w:r>
      <w:r w:rsidRPr="00F52193" w:rsidR="00152237">
        <w:rPr>
          <w:rFonts w:cstheme="minorHAnsi"/>
          <w:sz w:val="28"/>
          <w:szCs w:val="28"/>
        </w:rPr>
        <w:t xml:space="preserve"> and the Native American Rehabilitation Association (NARA) to implement tribal-based practices for tobacco prevention and cessation. </w:t>
      </w:r>
    </w:p>
    <w:p w:rsidRPr="00F52193" w:rsidR="009861C3" w:rsidP="007C6E28" w:rsidRDefault="009861C3" w14:paraId="568F9F83" w14:textId="77777777">
      <w:pPr>
        <w:pStyle w:val="ListParagraph"/>
        <w:spacing w:after="0" w:line="240" w:lineRule="auto"/>
        <w:ind w:left="360"/>
        <w:rPr>
          <w:rFonts w:cstheme="minorHAnsi"/>
          <w:sz w:val="28"/>
          <w:szCs w:val="28"/>
        </w:rPr>
      </w:pPr>
    </w:p>
    <w:p w:rsidR="0062762B" w:rsidP="007C6E28" w:rsidRDefault="00974A39" w14:paraId="7B87800D" w14:textId="3224EF96">
      <w:pPr>
        <w:pStyle w:val="ListParagraph"/>
        <w:numPr>
          <w:ilvl w:val="0"/>
          <w:numId w:val="11"/>
        </w:numPr>
        <w:spacing w:after="0" w:line="240" w:lineRule="auto"/>
        <w:contextualSpacing w:val="0"/>
        <w:rPr>
          <w:rFonts w:cstheme="minorHAnsi"/>
          <w:sz w:val="28"/>
          <w:szCs w:val="28"/>
        </w:rPr>
      </w:pPr>
      <w:r w:rsidRPr="00F52193">
        <w:rPr>
          <w:rFonts w:cstheme="minorHAnsi"/>
          <w:sz w:val="28"/>
          <w:szCs w:val="28"/>
        </w:rPr>
        <w:t xml:space="preserve">OHA </w:t>
      </w:r>
      <w:r w:rsidRPr="00F52193" w:rsidR="00F52193">
        <w:rPr>
          <w:rFonts w:cstheme="minorHAnsi"/>
          <w:sz w:val="28"/>
          <w:szCs w:val="28"/>
        </w:rPr>
        <w:t xml:space="preserve">also </w:t>
      </w:r>
      <w:r w:rsidRPr="00F52193" w:rsidR="00480AC4">
        <w:rPr>
          <w:rFonts w:cstheme="minorHAnsi"/>
          <w:sz w:val="28"/>
          <w:szCs w:val="28"/>
        </w:rPr>
        <w:t xml:space="preserve">supported </w:t>
      </w:r>
      <w:r w:rsidRPr="00F52193" w:rsidR="009D31AA">
        <w:rPr>
          <w:rFonts w:cstheme="minorHAnsi"/>
          <w:sz w:val="28"/>
          <w:szCs w:val="28"/>
        </w:rPr>
        <w:t xml:space="preserve">a </w:t>
      </w:r>
      <w:r w:rsidRPr="00F52193" w:rsidR="0062762B">
        <w:rPr>
          <w:rFonts w:cstheme="minorHAnsi"/>
          <w:sz w:val="28"/>
          <w:szCs w:val="28"/>
        </w:rPr>
        <w:t xml:space="preserve">community-led allocation planning process with 21 </w:t>
      </w:r>
      <w:r w:rsidR="00B239E3">
        <w:rPr>
          <w:rFonts w:cstheme="minorHAnsi"/>
          <w:sz w:val="28"/>
          <w:szCs w:val="28"/>
        </w:rPr>
        <w:t>CBOs</w:t>
      </w:r>
      <w:r w:rsidRPr="00F52193" w:rsidR="009D31AA">
        <w:rPr>
          <w:rFonts w:cstheme="minorHAnsi"/>
          <w:sz w:val="28"/>
          <w:szCs w:val="28"/>
        </w:rPr>
        <w:t xml:space="preserve"> </w:t>
      </w:r>
      <w:r w:rsidRPr="00F52193" w:rsidR="00AF1599">
        <w:rPr>
          <w:rFonts w:cstheme="minorHAnsi"/>
          <w:sz w:val="28"/>
          <w:szCs w:val="28"/>
        </w:rPr>
        <w:t xml:space="preserve">resulting in allocation of </w:t>
      </w:r>
      <w:r w:rsidRPr="00F52193" w:rsidR="0062762B">
        <w:rPr>
          <w:rFonts w:cstheme="minorHAnsi"/>
          <w:sz w:val="28"/>
          <w:szCs w:val="28"/>
        </w:rPr>
        <w:t>5</w:t>
      </w:r>
      <w:r w:rsidR="008F3BC9">
        <w:rPr>
          <w:rFonts w:cstheme="minorHAnsi"/>
          <w:sz w:val="28"/>
          <w:szCs w:val="28"/>
        </w:rPr>
        <w:t>7</w:t>
      </w:r>
      <w:r w:rsidRPr="00F52193" w:rsidR="0062762B">
        <w:rPr>
          <w:rFonts w:cstheme="minorHAnsi"/>
          <w:sz w:val="28"/>
          <w:szCs w:val="28"/>
        </w:rPr>
        <w:t xml:space="preserve">% of </w:t>
      </w:r>
      <w:r w:rsidRPr="00F52193" w:rsidR="00C2520B">
        <w:rPr>
          <w:rFonts w:cstheme="minorHAnsi"/>
          <w:sz w:val="28"/>
          <w:szCs w:val="28"/>
        </w:rPr>
        <w:t>BM</w:t>
      </w:r>
      <w:r w:rsidR="0025686D">
        <w:rPr>
          <w:rFonts w:cstheme="minorHAnsi"/>
          <w:sz w:val="28"/>
          <w:szCs w:val="28"/>
        </w:rPr>
        <w:t xml:space="preserve"> </w:t>
      </w:r>
      <w:r w:rsidRPr="00F52193" w:rsidR="00C2520B">
        <w:rPr>
          <w:rFonts w:cstheme="minorHAnsi"/>
          <w:sz w:val="28"/>
          <w:szCs w:val="28"/>
        </w:rPr>
        <w:t xml:space="preserve">108 </w:t>
      </w:r>
      <w:r w:rsidRPr="00F52193" w:rsidR="0062762B">
        <w:rPr>
          <w:rFonts w:cstheme="minorHAnsi"/>
          <w:sz w:val="28"/>
          <w:szCs w:val="28"/>
        </w:rPr>
        <w:t>revenue ($20 million</w:t>
      </w:r>
      <w:r w:rsidRPr="00F52193" w:rsidR="00F52193">
        <w:rPr>
          <w:rFonts w:cstheme="minorHAnsi"/>
          <w:sz w:val="28"/>
          <w:szCs w:val="28"/>
        </w:rPr>
        <w:t>)</w:t>
      </w:r>
      <w:r w:rsidRPr="00F52193" w:rsidR="0062762B">
        <w:rPr>
          <w:rFonts w:cstheme="minorHAnsi"/>
          <w:sz w:val="28"/>
          <w:szCs w:val="28"/>
        </w:rPr>
        <w:t xml:space="preserve"> </w:t>
      </w:r>
      <w:r w:rsidR="00290313">
        <w:rPr>
          <w:rFonts w:cstheme="minorHAnsi"/>
          <w:sz w:val="28"/>
          <w:szCs w:val="28"/>
        </w:rPr>
        <w:t>(of the overall 10% earmarked for prevention)</w:t>
      </w:r>
      <w:r w:rsidRPr="00F52193" w:rsidR="00290313">
        <w:rPr>
          <w:rFonts w:cstheme="minorHAnsi"/>
          <w:sz w:val="28"/>
          <w:szCs w:val="28"/>
        </w:rPr>
        <w:t xml:space="preserve"> </w:t>
      </w:r>
      <w:r w:rsidRPr="00F52193" w:rsidR="0062762B">
        <w:rPr>
          <w:rFonts w:cstheme="minorHAnsi"/>
          <w:sz w:val="28"/>
          <w:szCs w:val="28"/>
        </w:rPr>
        <w:t xml:space="preserve">to a new community grant program </w:t>
      </w:r>
      <w:r w:rsidR="00290313">
        <w:rPr>
          <w:rFonts w:cstheme="minorHAnsi"/>
          <w:sz w:val="28"/>
          <w:szCs w:val="28"/>
        </w:rPr>
        <w:t xml:space="preserve">for </w:t>
      </w:r>
      <w:r w:rsidRPr="00F52193" w:rsidR="0062762B">
        <w:rPr>
          <w:rFonts w:cstheme="minorHAnsi"/>
          <w:sz w:val="28"/>
          <w:szCs w:val="28"/>
        </w:rPr>
        <w:t>community-based organizations and Regional Health Equity Coalitions</w:t>
      </w:r>
      <w:r w:rsidRPr="00F52193" w:rsidR="00C2520B">
        <w:rPr>
          <w:rFonts w:cstheme="minorHAnsi"/>
          <w:sz w:val="28"/>
          <w:szCs w:val="28"/>
        </w:rPr>
        <w:t>.</w:t>
      </w:r>
    </w:p>
    <w:p w:rsidRPr="009861C3" w:rsidR="009861C3" w:rsidP="007C6E28" w:rsidRDefault="009861C3" w14:paraId="5E667A75" w14:textId="77777777">
      <w:pPr>
        <w:pStyle w:val="ListParagraph"/>
        <w:spacing w:after="0" w:line="240" w:lineRule="auto"/>
        <w:rPr>
          <w:rFonts w:cstheme="minorHAnsi"/>
          <w:sz w:val="28"/>
          <w:szCs w:val="28"/>
        </w:rPr>
      </w:pPr>
    </w:p>
    <w:p w:rsidRPr="001C348E" w:rsidR="00793D25" w:rsidP="007C6E28" w:rsidRDefault="00793D25" w14:paraId="2D517941" w14:textId="24117732">
      <w:pPr>
        <w:pStyle w:val="ListParagraph"/>
        <w:numPr>
          <w:ilvl w:val="0"/>
          <w:numId w:val="11"/>
        </w:numPr>
        <w:spacing w:after="0" w:line="240" w:lineRule="auto"/>
        <w:contextualSpacing w:val="0"/>
        <w:rPr>
          <w:rFonts w:cstheme="minorHAnsi"/>
          <w:sz w:val="28"/>
          <w:szCs w:val="28"/>
        </w:rPr>
      </w:pPr>
      <w:r w:rsidRPr="001C348E">
        <w:rPr>
          <w:rFonts w:cstheme="minorHAnsi"/>
          <w:sz w:val="28"/>
          <w:szCs w:val="28"/>
        </w:rPr>
        <w:t xml:space="preserve">In December 2021, the Joint Leadership Team of CLHO deferred the discussion of additional funding to support technical assistance and capacity building efforts with community-based organizations until </w:t>
      </w:r>
      <w:r w:rsidR="00290313">
        <w:rPr>
          <w:rFonts w:cstheme="minorHAnsi"/>
          <w:sz w:val="28"/>
          <w:szCs w:val="28"/>
        </w:rPr>
        <w:t xml:space="preserve">OHA completed </w:t>
      </w:r>
      <w:r w:rsidRPr="001C348E">
        <w:rPr>
          <w:rFonts w:cstheme="minorHAnsi"/>
          <w:sz w:val="28"/>
          <w:szCs w:val="28"/>
        </w:rPr>
        <w:t>CBO award decisions</w:t>
      </w:r>
      <w:r w:rsidR="00290313">
        <w:rPr>
          <w:rFonts w:cstheme="minorHAnsi"/>
          <w:sz w:val="28"/>
          <w:szCs w:val="28"/>
        </w:rPr>
        <w:t xml:space="preserve">. </w:t>
      </w:r>
    </w:p>
    <w:p w:rsidR="00793D25" w:rsidP="007C6E28" w:rsidRDefault="00793D25" w14:paraId="043F4F53" w14:textId="77777777">
      <w:pPr>
        <w:pStyle w:val="ListParagraph"/>
        <w:spacing w:after="0" w:line="240" w:lineRule="auto"/>
        <w:ind w:left="360"/>
        <w:contextualSpacing w:val="0"/>
        <w:rPr>
          <w:rFonts w:cstheme="minorHAnsi"/>
          <w:sz w:val="28"/>
          <w:szCs w:val="28"/>
        </w:rPr>
      </w:pPr>
    </w:p>
    <w:p w:rsidR="002C1BD5" w:rsidP="002C1BD5" w:rsidRDefault="00577280" w14:paraId="07D2F8A2" w14:textId="74DB15DC">
      <w:pPr>
        <w:pStyle w:val="ListParagraph"/>
        <w:numPr>
          <w:ilvl w:val="0"/>
          <w:numId w:val="11"/>
        </w:numPr>
        <w:spacing w:after="0" w:line="240" w:lineRule="auto"/>
        <w:contextualSpacing w:val="0"/>
        <w:rPr>
          <w:rFonts w:cstheme="minorHAnsi"/>
          <w:sz w:val="28"/>
          <w:szCs w:val="28"/>
        </w:rPr>
      </w:pPr>
      <w:r w:rsidRPr="001C348E">
        <w:rPr>
          <w:rFonts w:cstheme="minorHAnsi"/>
          <w:sz w:val="28"/>
          <w:szCs w:val="28"/>
        </w:rPr>
        <w:t xml:space="preserve">OHA subsequently </w:t>
      </w:r>
      <w:r w:rsidRPr="001C348E" w:rsidR="00053AD2">
        <w:rPr>
          <w:rFonts w:cstheme="minorHAnsi"/>
          <w:sz w:val="28"/>
          <w:szCs w:val="28"/>
        </w:rPr>
        <w:t xml:space="preserve">released a </w:t>
      </w:r>
      <w:r w:rsidRPr="001C348E" w:rsidR="0021226B">
        <w:rPr>
          <w:rFonts w:cstheme="minorHAnsi"/>
          <w:sz w:val="28"/>
          <w:szCs w:val="28"/>
        </w:rPr>
        <w:t xml:space="preserve">Request for </w:t>
      </w:r>
      <w:r w:rsidR="004B3DD1">
        <w:rPr>
          <w:rFonts w:cstheme="minorHAnsi"/>
          <w:sz w:val="28"/>
          <w:szCs w:val="28"/>
        </w:rPr>
        <w:t>Grant Applications</w:t>
      </w:r>
      <w:r w:rsidRPr="001C348E" w:rsidR="0021226B">
        <w:rPr>
          <w:rFonts w:cstheme="minorHAnsi"/>
          <w:sz w:val="28"/>
          <w:szCs w:val="28"/>
        </w:rPr>
        <w:t xml:space="preserve"> </w:t>
      </w:r>
      <w:r w:rsidR="004B3DD1">
        <w:rPr>
          <w:rFonts w:cstheme="minorHAnsi"/>
          <w:sz w:val="28"/>
          <w:szCs w:val="28"/>
        </w:rPr>
        <w:t xml:space="preserve">for </w:t>
      </w:r>
      <w:r w:rsidR="0025686D">
        <w:rPr>
          <w:rFonts w:cstheme="minorHAnsi"/>
          <w:sz w:val="28"/>
          <w:szCs w:val="28"/>
        </w:rPr>
        <w:t>community-based organizations</w:t>
      </w:r>
      <w:r w:rsidR="004B3DD1">
        <w:rPr>
          <w:rFonts w:cstheme="minorHAnsi"/>
          <w:sz w:val="28"/>
          <w:szCs w:val="28"/>
        </w:rPr>
        <w:t xml:space="preserve"> </w:t>
      </w:r>
      <w:r w:rsidRPr="001C348E" w:rsidR="00053AD2">
        <w:rPr>
          <w:rFonts w:cstheme="minorHAnsi"/>
          <w:sz w:val="28"/>
          <w:szCs w:val="28"/>
        </w:rPr>
        <w:t xml:space="preserve">which included </w:t>
      </w:r>
      <w:r w:rsidR="008E28F9">
        <w:rPr>
          <w:rFonts w:cstheme="minorHAnsi"/>
          <w:sz w:val="28"/>
          <w:szCs w:val="28"/>
        </w:rPr>
        <w:t>fu</w:t>
      </w:r>
      <w:r w:rsidRPr="001C348E" w:rsidR="008E28F9">
        <w:rPr>
          <w:rFonts w:cstheme="minorHAnsi"/>
          <w:sz w:val="28"/>
          <w:szCs w:val="28"/>
        </w:rPr>
        <w:t>nding</w:t>
      </w:r>
      <w:r w:rsidRPr="001C348E" w:rsidR="00053AD2">
        <w:rPr>
          <w:rFonts w:cstheme="minorHAnsi"/>
          <w:sz w:val="28"/>
          <w:szCs w:val="28"/>
        </w:rPr>
        <w:t xml:space="preserve"> </w:t>
      </w:r>
      <w:r w:rsidR="008E28F9">
        <w:rPr>
          <w:rFonts w:cstheme="minorHAnsi"/>
          <w:sz w:val="28"/>
          <w:szCs w:val="28"/>
        </w:rPr>
        <w:t>for commercial tobacco prevention (BM</w:t>
      </w:r>
      <w:r w:rsidR="0025686D">
        <w:rPr>
          <w:rFonts w:cstheme="minorHAnsi"/>
          <w:sz w:val="28"/>
          <w:szCs w:val="28"/>
        </w:rPr>
        <w:t xml:space="preserve"> </w:t>
      </w:r>
      <w:r w:rsidR="008E28F9">
        <w:rPr>
          <w:rFonts w:cstheme="minorHAnsi"/>
          <w:sz w:val="28"/>
          <w:szCs w:val="28"/>
        </w:rPr>
        <w:t xml:space="preserve">108) </w:t>
      </w:r>
      <w:r w:rsidRPr="001C348E" w:rsidR="00C51450">
        <w:rPr>
          <w:rFonts w:cstheme="minorHAnsi"/>
          <w:sz w:val="28"/>
          <w:szCs w:val="28"/>
        </w:rPr>
        <w:t xml:space="preserve">along with </w:t>
      </w:r>
      <w:r w:rsidR="00B476B9">
        <w:rPr>
          <w:rFonts w:cstheme="minorHAnsi"/>
          <w:sz w:val="28"/>
          <w:szCs w:val="28"/>
        </w:rPr>
        <w:t>eight o</w:t>
      </w:r>
      <w:r w:rsidRPr="001C348E" w:rsidR="00C51450">
        <w:rPr>
          <w:rFonts w:cstheme="minorHAnsi"/>
          <w:sz w:val="28"/>
          <w:szCs w:val="28"/>
        </w:rPr>
        <w:t xml:space="preserve">ther </w:t>
      </w:r>
      <w:r w:rsidRPr="001C348E">
        <w:rPr>
          <w:rFonts w:cstheme="minorHAnsi"/>
          <w:sz w:val="28"/>
          <w:szCs w:val="28"/>
        </w:rPr>
        <w:t xml:space="preserve">public health </w:t>
      </w:r>
      <w:r w:rsidRPr="001C348E" w:rsidR="00C51450">
        <w:rPr>
          <w:rFonts w:cstheme="minorHAnsi"/>
          <w:sz w:val="28"/>
          <w:szCs w:val="28"/>
        </w:rPr>
        <w:t>program areas</w:t>
      </w:r>
      <w:r w:rsidR="008E28F9">
        <w:rPr>
          <w:rFonts w:cstheme="minorHAnsi"/>
          <w:sz w:val="28"/>
          <w:szCs w:val="28"/>
        </w:rPr>
        <w:t xml:space="preserve"> in the Public Health Division (PHD)</w:t>
      </w:r>
      <w:r w:rsidRPr="001C348E">
        <w:rPr>
          <w:rFonts w:cstheme="minorHAnsi"/>
          <w:sz w:val="28"/>
          <w:szCs w:val="28"/>
        </w:rPr>
        <w:t xml:space="preserve">. </w:t>
      </w:r>
      <w:r w:rsidRPr="001C348E" w:rsidR="00A03632">
        <w:rPr>
          <w:rFonts w:cstheme="minorHAnsi"/>
          <w:sz w:val="28"/>
          <w:szCs w:val="28"/>
        </w:rPr>
        <w:t xml:space="preserve"> </w:t>
      </w:r>
      <w:r w:rsidRPr="001C348E" w:rsidR="008C4755">
        <w:rPr>
          <w:rFonts w:cstheme="minorHAnsi"/>
          <w:sz w:val="28"/>
          <w:szCs w:val="28"/>
        </w:rPr>
        <w:t xml:space="preserve">After a </w:t>
      </w:r>
      <w:r w:rsidRPr="001C348E" w:rsidR="00003BDD">
        <w:rPr>
          <w:rFonts w:cstheme="minorHAnsi"/>
          <w:sz w:val="28"/>
          <w:szCs w:val="28"/>
        </w:rPr>
        <w:t xml:space="preserve">competitive </w:t>
      </w:r>
      <w:r w:rsidRPr="001C348E" w:rsidR="008C4755">
        <w:rPr>
          <w:rFonts w:cstheme="minorHAnsi"/>
          <w:sz w:val="28"/>
          <w:szCs w:val="28"/>
        </w:rPr>
        <w:t xml:space="preserve">review process that included 8 external community advisors, </w:t>
      </w:r>
      <w:r w:rsidR="00555879">
        <w:rPr>
          <w:rFonts w:cstheme="minorHAnsi"/>
          <w:sz w:val="28"/>
          <w:szCs w:val="28"/>
        </w:rPr>
        <w:t xml:space="preserve">PHD </w:t>
      </w:r>
      <w:r w:rsidRPr="001C348E" w:rsidR="008C4755">
        <w:rPr>
          <w:rFonts w:cstheme="minorHAnsi"/>
          <w:sz w:val="28"/>
          <w:szCs w:val="28"/>
        </w:rPr>
        <w:t>is funding 73 CBOs for commercial tobacco prevention activities</w:t>
      </w:r>
      <w:r w:rsidR="008B5043">
        <w:rPr>
          <w:rFonts w:cstheme="minorHAnsi"/>
          <w:sz w:val="28"/>
          <w:szCs w:val="28"/>
        </w:rPr>
        <w:t xml:space="preserve"> at nearly $19 million</w:t>
      </w:r>
      <w:r w:rsidRPr="001C348E" w:rsidR="008C4755">
        <w:rPr>
          <w:rFonts w:cstheme="minorHAnsi"/>
          <w:sz w:val="28"/>
          <w:szCs w:val="28"/>
        </w:rPr>
        <w:t>.</w:t>
      </w:r>
    </w:p>
    <w:p w:rsidRPr="008B5043" w:rsidR="008B5043" w:rsidP="008B5043" w:rsidRDefault="008B5043" w14:paraId="4990761C" w14:textId="77777777">
      <w:pPr>
        <w:pStyle w:val="ListParagraph"/>
        <w:rPr>
          <w:rFonts w:cstheme="minorHAnsi"/>
          <w:sz w:val="28"/>
          <w:szCs w:val="28"/>
        </w:rPr>
      </w:pPr>
    </w:p>
    <w:p w:rsidR="008B5043" w:rsidP="008B5043" w:rsidRDefault="008B5043" w14:paraId="49DC6E29" w14:textId="0BBC3F1C">
      <w:pPr>
        <w:pStyle w:val="ListParagraph"/>
        <w:numPr>
          <w:ilvl w:val="0"/>
          <w:numId w:val="11"/>
        </w:numPr>
        <w:spacing w:after="0" w:line="240" w:lineRule="auto"/>
        <w:contextualSpacing w:val="0"/>
        <w:rPr>
          <w:rFonts w:cstheme="minorHAnsi"/>
          <w:sz w:val="28"/>
          <w:szCs w:val="28"/>
        </w:rPr>
      </w:pPr>
      <w:r w:rsidRPr="002C1BD5">
        <w:rPr>
          <w:rFonts w:cstheme="minorHAnsi"/>
          <w:sz w:val="28"/>
          <w:szCs w:val="28"/>
        </w:rPr>
        <w:t xml:space="preserve">OHA set aside 1.0 million in </w:t>
      </w:r>
      <w:r w:rsidR="00EB7CB4">
        <w:rPr>
          <w:rFonts w:cstheme="minorHAnsi"/>
          <w:sz w:val="28"/>
          <w:szCs w:val="28"/>
        </w:rPr>
        <w:t>commercial tobacco prevention</w:t>
      </w:r>
      <w:r w:rsidRPr="002C1BD5">
        <w:rPr>
          <w:rFonts w:cstheme="minorHAnsi"/>
          <w:sz w:val="28"/>
          <w:szCs w:val="28"/>
        </w:rPr>
        <w:t xml:space="preserve"> funding </w:t>
      </w:r>
      <w:r>
        <w:rPr>
          <w:rFonts w:cstheme="minorHAnsi"/>
          <w:sz w:val="28"/>
          <w:szCs w:val="28"/>
        </w:rPr>
        <w:t>(BM</w:t>
      </w:r>
      <w:r w:rsidR="00B239E3">
        <w:rPr>
          <w:rFonts w:cstheme="minorHAnsi"/>
          <w:sz w:val="28"/>
          <w:szCs w:val="28"/>
        </w:rPr>
        <w:t xml:space="preserve"> </w:t>
      </w:r>
      <w:r>
        <w:rPr>
          <w:rFonts w:cstheme="minorHAnsi"/>
          <w:sz w:val="28"/>
          <w:szCs w:val="28"/>
        </w:rPr>
        <w:t xml:space="preserve">108) </w:t>
      </w:r>
      <w:r w:rsidRPr="002C1BD5">
        <w:rPr>
          <w:rFonts w:cstheme="minorHAnsi"/>
          <w:sz w:val="28"/>
          <w:szCs w:val="28"/>
        </w:rPr>
        <w:t>for outreach and capacity building with CBOs serving rural and frontier communities in collaboration with LPHAs.</w:t>
      </w:r>
    </w:p>
    <w:p w:rsidRPr="002C1BD5" w:rsidR="002C1BD5" w:rsidP="002C1BD5" w:rsidRDefault="002C1BD5" w14:paraId="43990C42" w14:textId="77777777">
      <w:pPr>
        <w:pStyle w:val="ListParagraph"/>
        <w:rPr>
          <w:rFonts w:cstheme="minorHAnsi"/>
          <w:sz w:val="28"/>
          <w:szCs w:val="28"/>
        </w:rPr>
      </w:pPr>
    </w:p>
    <w:p w:rsidR="002C1BD5" w:rsidP="002C1BD5" w:rsidRDefault="009E1EF9" w14:paraId="35C02E40" w14:textId="4FCDC487">
      <w:pPr>
        <w:pStyle w:val="ListParagraph"/>
        <w:numPr>
          <w:ilvl w:val="0"/>
          <w:numId w:val="11"/>
        </w:numPr>
        <w:spacing w:after="0" w:line="240" w:lineRule="auto"/>
        <w:contextualSpacing w:val="0"/>
        <w:rPr>
          <w:rFonts w:cstheme="minorHAnsi"/>
          <w:sz w:val="28"/>
          <w:szCs w:val="28"/>
        </w:rPr>
      </w:pPr>
      <w:r w:rsidRPr="002C1BD5">
        <w:rPr>
          <w:rFonts w:cstheme="minorHAnsi"/>
          <w:sz w:val="28"/>
          <w:szCs w:val="28"/>
        </w:rPr>
        <w:t>OHA is now working with the C</w:t>
      </w:r>
      <w:r w:rsidRPr="002C1BD5" w:rsidR="00BA2E11">
        <w:rPr>
          <w:rFonts w:cstheme="minorHAnsi"/>
          <w:sz w:val="28"/>
          <w:szCs w:val="28"/>
        </w:rPr>
        <w:t>onference</w:t>
      </w:r>
      <w:r w:rsidRPr="002C1BD5">
        <w:rPr>
          <w:rFonts w:cstheme="minorHAnsi"/>
          <w:sz w:val="28"/>
          <w:szCs w:val="28"/>
        </w:rPr>
        <w:t xml:space="preserve"> of Local Health Officials to determine </w:t>
      </w:r>
      <w:r w:rsidRPr="002C1BD5" w:rsidR="002E46C1">
        <w:rPr>
          <w:rFonts w:cstheme="minorHAnsi"/>
          <w:sz w:val="28"/>
          <w:szCs w:val="28"/>
        </w:rPr>
        <w:t>BM</w:t>
      </w:r>
      <w:r w:rsidR="00B239E3">
        <w:rPr>
          <w:rFonts w:cstheme="minorHAnsi"/>
          <w:sz w:val="28"/>
          <w:szCs w:val="28"/>
        </w:rPr>
        <w:t xml:space="preserve"> </w:t>
      </w:r>
      <w:r w:rsidRPr="002C1BD5" w:rsidR="002E46C1">
        <w:rPr>
          <w:rFonts w:cstheme="minorHAnsi"/>
          <w:sz w:val="28"/>
          <w:szCs w:val="28"/>
        </w:rPr>
        <w:t xml:space="preserve">108 </w:t>
      </w:r>
      <w:r w:rsidRPr="002C1BD5">
        <w:rPr>
          <w:rFonts w:cstheme="minorHAnsi"/>
          <w:sz w:val="28"/>
          <w:szCs w:val="28"/>
        </w:rPr>
        <w:t xml:space="preserve">funding allocation </w:t>
      </w:r>
      <w:r w:rsidRPr="002C1BD5" w:rsidR="00AA6476">
        <w:rPr>
          <w:rFonts w:cstheme="minorHAnsi"/>
          <w:sz w:val="28"/>
          <w:szCs w:val="28"/>
        </w:rPr>
        <w:t xml:space="preserve">for LPHA’s to </w:t>
      </w:r>
      <w:r w:rsidRPr="002C1BD5" w:rsidR="002E46C1">
        <w:rPr>
          <w:rFonts w:cstheme="minorHAnsi"/>
          <w:sz w:val="28"/>
          <w:szCs w:val="28"/>
        </w:rPr>
        <w:t xml:space="preserve">further </w:t>
      </w:r>
      <w:r w:rsidRPr="002C1BD5" w:rsidR="00AA6476">
        <w:rPr>
          <w:rFonts w:cstheme="minorHAnsi"/>
          <w:sz w:val="28"/>
          <w:szCs w:val="28"/>
        </w:rPr>
        <w:t>strengthen equity efforts and expand capacity to work in partnership with CBOs and other tobacco prevention system partners</w:t>
      </w:r>
      <w:r w:rsidRPr="002C1BD5" w:rsidR="00C0506E">
        <w:rPr>
          <w:rFonts w:cstheme="minorHAnsi"/>
          <w:sz w:val="28"/>
          <w:szCs w:val="28"/>
        </w:rPr>
        <w:t xml:space="preserve">. </w:t>
      </w:r>
    </w:p>
    <w:p w:rsidRPr="002C1BD5" w:rsidR="002C1BD5" w:rsidP="002C1BD5" w:rsidRDefault="002C1BD5" w14:paraId="6B5A5DC7" w14:textId="77777777">
      <w:pPr>
        <w:pStyle w:val="ListParagraph"/>
        <w:rPr>
          <w:rFonts w:cstheme="minorHAnsi"/>
          <w:sz w:val="28"/>
          <w:szCs w:val="28"/>
        </w:rPr>
      </w:pPr>
    </w:p>
    <w:p w:rsidR="002C1BD5" w:rsidP="002C1BD5" w:rsidRDefault="007F1A9D" w14:paraId="6A832ABB" w14:textId="77777777">
      <w:pPr>
        <w:pStyle w:val="ListParagraph"/>
        <w:numPr>
          <w:ilvl w:val="0"/>
          <w:numId w:val="11"/>
        </w:numPr>
        <w:spacing w:after="0" w:line="240" w:lineRule="auto"/>
        <w:contextualSpacing w:val="0"/>
        <w:rPr>
          <w:rFonts w:cstheme="minorHAnsi"/>
          <w:sz w:val="28"/>
          <w:szCs w:val="28"/>
        </w:rPr>
      </w:pPr>
      <w:r w:rsidRPr="002C1BD5">
        <w:rPr>
          <w:rFonts w:cstheme="minorHAnsi"/>
          <w:sz w:val="28"/>
          <w:szCs w:val="28"/>
        </w:rPr>
        <w:t>OHA will support near-term opportunities for collaboration through the convening of learning communities or affinity groups of LPHAs and CBOs</w:t>
      </w:r>
      <w:r w:rsidRPr="002C1BD5" w:rsidR="00544F23">
        <w:rPr>
          <w:rFonts w:cstheme="minorHAnsi"/>
          <w:sz w:val="28"/>
          <w:szCs w:val="28"/>
        </w:rPr>
        <w:t xml:space="preserve">.  </w:t>
      </w:r>
    </w:p>
    <w:p w:rsidRPr="002C1BD5" w:rsidR="002C1BD5" w:rsidP="002C1BD5" w:rsidRDefault="002C1BD5" w14:paraId="450B28D1" w14:textId="77777777">
      <w:pPr>
        <w:pStyle w:val="ListParagraph"/>
        <w:rPr>
          <w:rFonts w:cstheme="minorHAnsi"/>
          <w:sz w:val="28"/>
          <w:szCs w:val="28"/>
        </w:rPr>
      </w:pPr>
    </w:p>
    <w:p w:rsidRPr="002C1BD5" w:rsidR="00544F23" w:rsidP="002C1BD5" w:rsidRDefault="00544F23" w14:paraId="1AB81FC2" w14:textId="16B64BB5">
      <w:pPr>
        <w:pStyle w:val="ListParagraph"/>
        <w:numPr>
          <w:ilvl w:val="0"/>
          <w:numId w:val="11"/>
        </w:numPr>
        <w:spacing w:after="0" w:line="240" w:lineRule="auto"/>
        <w:contextualSpacing w:val="0"/>
        <w:rPr>
          <w:rFonts w:cstheme="minorHAnsi"/>
          <w:sz w:val="28"/>
          <w:szCs w:val="28"/>
        </w:rPr>
      </w:pPr>
      <w:r w:rsidRPr="002C1BD5">
        <w:rPr>
          <w:rFonts w:cstheme="minorHAnsi"/>
          <w:sz w:val="28"/>
          <w:szCs w:val="28"/>
        </w:rPr>
        <w:t xml:space="preserve">OHA will collaborate with LPHAs, CBOs, and other system partners on </w:t>
      </w:r>
      <w:r w:rsidRPr="002C1BD5" w:rsidR="007C6E28">
        <w:rPr>
          <w:rFonts w:cstheme="minorHAnsi"/>
          <w:sz w:val="28"/>
          <w:szCs w:val="28"/>
        </w:rPr>
        <w:t xml:space="preserve">developing a </w:t>
      </w:r>
      <w:r w:rsidRPr="002C1BD5">
        <w:rPr>
          <w:rFonts w:cstheme="minorHAnsi"/>
          <w:sz w:val="28"/>
          <w:szCs w:val="28"/>
        </w:rPr>
        <w:t xml:space="preserve">longer-term governance </w:t>
      </w:r>
      <w:r w:rsidRPr="002C1BD5" w:rsidR="007C6E28">
        <w:rPr>
          <w:rFonts w:cstheme="minorHAnsi"/>
          <w:sz w:val="28"/>
          <w:szCs w:val="28"/>
        </w:rPr>
        <w:t xml:space="preserve">and oversight model </w:t>
      </w:r>
      <w:r w:rsidRPr="002C1BD5">
        <w:rPr>
          <w:rFonts w:cstheme="minorHAnsi"/>
          <w:sz w:val="28"/>
          <w:szCs w:val="28"/>
        </w:rPr>
        <w:t xml:space="preserve">for </w:t>
      </w:r>
      <w:r w:rsidRPr="002C1BD5" w:rsidR="007C6E28">
        <w:rPr>
          <w:rFonts w:cstheme="minorHAnsi"/>
          <w:sz w:val="28"/>
          <w:szCs w:val="28"/>
        </w:rPr>
        <w:t xml:space="preserve">Oregon’s </w:t>
      </w:r>
      <w:r w:rsidRPr="002C1BD5">
        <w:rPr>
          <w:rFonts w:cstheme="minorHAnsi"/>
          <w:sz w:val="28"/>
          <w:szCs w:val="28"/>
        </w:rPr>
        <w:t xml:space="preserve">tobacco </w:t>
      </w:r>
      <w:r w:rsidRPr="002C1BD5" w:rsidR="007C6E28">
        <w:rPr>
          <w:rFonts w:cstheme="minorHAnsi"/>
          <w:sz w:val="28"/>
          <w:szCs w:val="28"/>
        </w:rPr>
        <w:t xml:space="preserve">prevention system. </w:t>
      </w:r>
    </w:p>
    <w:p w:rsidR="00C34F12" w:rsidP="00355514" w:rsidRDefault="00C34F12" w14:paraId="47326F2C" w14:textId="64EBEC49">
      <w:pPr>
        <w:spacing w:before="120" w:after="120" w:line="240" w:lineRule="auto"/>
        <w:jc w:val="center"/>
        <w:rPr>
          <w:rFonts w:cstheme="minorHAnsi"/>
          <w:b/>
          <w:bCs/>
          <w:i/>
          <w:iCs/>
          <w:sz w:val="28"/>
          <w:szCs w:val="28"/>
        </w:rPr>
      </w:pPr>
      <w:r w:rsidRPr="00732CAE">
        <w:rPr>
          <w:rFonts w:cstheme="minorHAnsi"/>
          <w:b/>
          <w:bCs/>
          <w:i/>
          <w:iCs/>
          <w:sz w:val="28"/>
          <w:szCs w:val="28"/>
        </w:rPr>
        <w:lastRenderedPageBreak/>
        <w:t xml:space="preserve">Current </w:t>
      </w:r>
      <w:r w:rsidR="0086324A">
        <w:rPr>
          <w:rFonts w:cstheme="minorHAnsi"/>
          <w:b/>
          <w:bCs/>
          <w:i/>
          <w:iCs/>
          <w:sz w:val="28"/>
          <w:szCs w:val="28"/>
        </w:rPr>
        <w:t>T</w:t>
      </w:r>
      <w:r w:rsidRPr="00732CAE">
        <w:rPr>
          <w:rFonts w:cstheme="minorHAnsi"/>
          <w:b/>
          <w:bCs/>
          <w:i/>
          <w:iCs/>
          <w:sz w:val="28"/>
          <w:szCs w:val="28"/>
        </w:rPr>
        <w:t xml:space="preserve">obacco </w:t>
      </w:r>
      <w:r w:rsidR="0086324A">
        <w:rPr>
          <w:rFonts w:cstheme="minorHAnsi"/>
          <w:b/>
          <w:bCs/>
          <w:i/>
          <w:iCs/>
          <w:sz w:val="28"/>
          <w:szCs w:val="28"/>
        </w:rPr>
        <w:t>P</w:t>
      </w:r>
      <w:r w:rsidRPr="00732CAE">
        <w:rPr>
          <w:rFonts w:cstheme="minorHAnsi"/>
          <w:b/>
          <w:bCs/>
          <w:i/>
          <w:iCs/>
          <w:sz w:val="28"/>
          <w:szCs w:val="28"/>
        </w:rPr>
        <w:t xml:space="preserve">revention </w:t>
      </w:r>
      <w:r w:rsidR="0086324A">
        <w:rPr>
          <w:rFonts w:cstheme="minorHAnsi"/>
          <w:b/>
          <w:bCs/>
          <w:i/>
          <w:iCs/>
          <w:sz w:val="28"/>
          <w:szCs w:val="28"/>
        </w:rPr>
        <w:t>P</w:t>
      </w:r>
      <w:r w:rsidRPr="00732CAE">
        <w:rPr>
          <w:rFonts w:cstheme="minorHAnsi"/>
          <w:b/>
          <w:bCs/>
          <w:i/>
          <w:iCs/>
          <w:sz w:val="28"/>
          <w:szCs w:val="28"/>
        </w:rPr>
        <w:t xml:space="preserve">rogram </w:t>
      </w:r>
      <w:r w:rsidR="00897FDD">
        <w:rPr>
          <w:rFonts w:cstheme="minorHAnsi"/>
          <w:b/>
          <w:bCs/>
          <w:i/>
          <w:iCs/>
          <w:sz w:val="28"/>
          <w:szCs w:val="28"/>
        </w:rPr>
        <w:t>Funding</w:t>
      </w:r>
      <w:r w:rsidR="00955A43">
        <w:rPr>
          <w:rFonts w:cstheme="minorHAnsi"/>
          <w:b/>
          <w:bCs/>
          <w:i/>
          <w:iCs/>
          <w:sz w:val="28"/>
          <w:szCs w:val="28"/>
        </w:rPr>
        <w:t xml:space="preserve"> in Millions</w:t>
      </w:r>
      <w:r w:rsidR="000668D6">
        <w:rPr>
          <w:rFonts w:cstheme="minorHAnsi"/>
          <w:b/>
          <w:bCs/>
          <w:i/>
          <w:iCs/>
          <w:sz w:val="28"/>
          <w:szCs w:val="28"/>
        </w:rPr>
        <w:t xml:space="preserve"> (Measure 44 and B</w:t>
      </w:r>
      <w:r w:rsidR="007F34E1">
        <w:rPr>
          <w:rFonts w:cstheme="minorHAnsi"/>
          <w:b/>
          <w:bCs/>
          <w:i/>
          <w:iCs/>
          <w:sz w:val="28"/>
          <w:szCs w:val="28"/>
        </w:rPr>
        <w:t xml:space="preserve">allot </w:t>
      </w:r>
      <w:r w:rsidR="000668D6">
        <w:rPr>
          <w:rFonts w:cstheme="minorHAnsi"/>
          <w:b/>
          <w:bCs/>
          <w:i/>
          <w:iCs/>
          <w:sz w:val="28"/>
          <w:szCs w:val="28"/>
        </w:rPr>
        <w:t>M</w:t>
      </w:r>
      <w:r w:rsidR="007F34E1">
        <w:rPr>
          <w:rFonts w:cstheme="minorHAnsi"/>
          <w:b/>
          <w:bCs/>
          <w:i/>
          <w:iCs/>
          <w:sz w:val="28"/>
          <w:szCs w:val="28"/>
        </w:rPr>
        <w:t>easure</w:t>
      </w:r>
      <w:r w:rsidR="000668D6">
        <w:rPr>
          <w:rFonts w:cstheme="minorHAnsi"/>
          <w:b/>
          <w:bCs/>
          <w:i/>
          <w:iCs/>
          <w:sz w:val="28"/>
          <w:szCs w:val="28"/>
        </w:rPr>
        <w:t xml:space="preserve"> 108)</w:t>
      </w:r>
      <w:r w:rsidR="00955A43">
        <w:rPr>
          <w:rFonts w:cstheme="minorHAnsi"/>
          <w:b/>
          <w:bCs/>
          <w:i/>
          <w:iCs/>
          <w:sz w:val="28"/>
          <w:szCs w:val="28"/>
        </w:rPr>
        <w:t>, 2021-2023</w:t>
      </w:r>
    </w:p>
    <w:tbl>
      <w:tblPr>
        <w:tblStyle w:val="TableGrid"/>
        <w:tblW w:w="12600" w:type="dxa"/>
        <w:tblInd w:w="625" w:type="dxa"/>
        <w:tblLook w:val="04A0" w:firstRow="1" w:lastRow="0" w:firstColumn="1" w:lastColumn="0" w:noHBand="0" w:noVBand="1"/>
      </w:tblPr>
      <w:tblGrid>
        <w:gridCol w:w="4950"/>
        <w:gridCol w:w="2520"/>
        <w:gridCol w:w="3060"/>
        <w:gridCol w:w="2070"/>
      </w:tblGrid>
      <w:tr w:rsidRPr="00FD1711" w:rsidR="00347C61" w:rsidTr="00E15A2B" w14:paraId="02D28901" w14:textId="77777777">
        <w:trPr>
          <w:trHeight w:val="638"/>
        </w:trPr>
        <w:tc>
          <w:tcPr>
            <w:tcW w:w="4950" w:type="dxa"/>
            <w:shd w:val="clear" w:color="auto" w:fill="E7E6E6" w:themeFill="background2"/>
          </w:tcPr>
          <w:p w:rsidRPr="00FD1711" w:rsidR="00347C61" w:rsidP="00E25AD8" w:rsidRDefault="00347C61" w14:paraId="7F5B9AB3" w14:textId="77777777">
            <w:pPr>
              <w:spacing w:before="10" w:after="10"/>
              <w:jc w:val="center"/>
              <w:rPr>
                <w:rFonts w:cstheme="minorHAnsi"/>
                <w:b/>
                <w:bCs/>
                <w:sz w:val="28"/>
                <w:szCs w:val="28"/>
              </w:rPr>
            </w:pPr>
          </w:p>
        </w:tc>
        <w:tc>
          <w:tcPr>
            <w:tcW w:w="2520" w:type="dxa"/>
            <w:shd w:val="clear" w:color="auto" w:fill="E7E6E6" w:themeFill="background2"/>
          </w:tcPr>
          <w:p w:rsidRPr="00FD1711" w:rsidR="00347C61" w:rsidP="00E25AD8" w:rsidRDefault="00347C61" w14:paraId="294E1F88" w14:textId="15E59F5F">
            <w:pPr>
              <w:spacing w:before="10" w:after="10"/>
              <w:jc w:val="center"/>
              <w:rPr>
                <w:rFonts w:cstheme="minorHAnsi"/>
                <w:b/>
                <w:bCs/>
                <w:sz w:val="28"/>
                <w:szCs w:val="28"/>
              </w:rPr>
            </w:pPr>
            <w:r w:rsidRPr="00FD1711">
              <w:rPr>
                <w:rFonts w:cstheme="minorHAnsi"/>
                <w:b/>
                <w:bCs/>
                <w:sz w:val="28"/>
                <w:szCs w:val="28"/>
              </w:rPr>
              <w:t>M</w:t>
            </w:r>
            <w:r w:rsidR="006B5F63">
              <w:rPr>
                <w:rFonts w:cstheme="minorHAnsi"/>
                <w:b/>
                <w:bCs/>
                <w:sz w:val="28"/>
                <w:szCs w:val="28"/>
              </w:rPr>
              <w:t xml:space="preserve"> </w:t>
            </w:r>
            <w:r w:rsidRPr="00FD1711">
              <w:rPr>
                <w:rFonts w:cstheme="minorHAnsi"/>
                <w:b/>
                <w:bCs/>
                <w:sz w:val="28"/>
                <w:szCs w:val="28"/>
              </w:rPr>
              <w:t>44</w:t>
            </w:r>
          </w:p>
        </w:tc>
        <w:tc>
          <w:tcPr>
            <w:tcW w:w="3060" w:type="dxa"/>
            <w:shd w:val="clear" w:color="auto" w:fill="E7E6E6" w:themeFill="background2"/>
          </w:tcPr>
          <w:p w:rsidRPr="00FD1711" w:rsidR="00347C61" w:rsidP="00E25AD8" w:rsidRDefault="00347C61" w14:paraId="351C6B4A" w14:textId="3E885352">
            <w:pPr>
              <w:spacing w:before="10" w:after="10"/>
              <w:jc w:val="center"/>
              <w:rPr>
                <w:rFonts w:cstheme="minorHAnsi"/>
                <w:b/>
                <w:bCs/>
                <w:sz w:val="28"/>
                <w:szCs w:val="28"/>
              </w:rPr>
            </w:pPr>
            <w:r w:rsidRPr="00FD1711">
              <w:rPr>
                <w:rFonts w:cstheme="minorHAnsi"/>
                <w:b/>
                <w:bCs/>
                <w:sz w:val="28"/>
                <w:szCs w:val="28"/>
              </w:rPr>
              <w:t>BM</w:t>
            </w:r>
            <w:r w:rsidR="006B5F63">
              <w:rPr>
                <w:rFonts w:cstheme="minorHAnsi"/>
                <w:b/>
                <w:bCs/>
                <w:sz w:val="28"/>
                <w:szCs w:val="28"/>
              </w:rPr>
              <w:t xml:space="preserve"> </w:t>
            </w:r>
            <w:r w:rsidRPr="00FD1711">
              <w:rPr>
                <w:rFonts w:cstheme="minorHAnsi"/>
                <w:b/>
                <w:bCs/>
                <w:sz w:val="28"/>
                <w:szCs w:val="28"/>
              </w:rPr>
              <w:t>108</w:t>
            </w:r>
          </w:p>
        </w:tc>
        <w:tc>
          <w:tcPr>
            <w:tcW w:w="2070" w:type="dxa"/>
            <w:shd w:val="clear" w:color="auto" w:fill="E7E6E6" w:themeFill="background2"/>
          </w:tcPr>
          <w:p w:rsidRPr="00FD1711" w:rsidR="00347C61" w:rsidP="00E25AD8" w:rsidRDefault="004F785B" w14:paraId="1E4CC948" w14:textId="76C840D2">
            <w:pPr>
              <w:spacing w:before="10" w:after="10"/>
              <w:jc w:val="center"/>
              <w:rPr>
                <w:rFonts w:cstheme="minorHAnsi"/>
                <w:b/>
                <w:bCs/>
                <w:sz w:val="28"/>
                <w:szCs w:val="28"/>
              </w:rPr>
            </w:pPr>
            <w:r>
              <w:rPr>
                <w:rFonts w:cstheme="minorHAnsi"/>
                <w:b/>
                <w:bCs/>
                <w:sz w:val="28"/>
                <w:szCs w:val="28"/>
              </w:rPr>
              <w:t xml:space="preserve">Total </w:t>
            </w:r>
            <w:r w:rsidR="00347C61">
              <w:rPr>
                <w:rFonts w:cstheme="minorHAnsi"/>
                <w:b/>
                <w:bCs/>
                <w:sz w:val="28"/>
                <w:szCs w:val="28"/>
              </w:rPr>
              <w:t>2021-23</w:t>
            </w:r>
          </w:p>
        </w:tc>
      </w:tr>
      <w:tr w:rsidRPr="00FD1711" w:rsidR="00347C61" w:rsidTr="00E15A2B" w14:paraId="2CDA1D9E" w14:textId="77777777">
        <w:tc>
          <w:tcPr>
            <w:tcW w:w="4950" w:type="dxa"/>
          </w:tcPr>
          <w:p w:rsidRPr="0086324A" w:rsidR="00347C61" w:rsidP="00E25AD8" w:rsidRDefault="00347C61" w14:paraId="033BA4AC" w14:textId="0F7E8E97">
            <w:pPr>
              <w:spacing w:before="10" w:after="10"/>
              <w:rPr>
                <w:rFonts w:cstheme="minorHAnsi"/>
                <w:b/>
                <w:bCs/>
                <w:sz w:val="28"/>
                <w:szCs w:val="28"/>
              </w:rPr>
            </w:pPr>
            <w:r w:rsidRPr="0086324A">
              <w:rPr>
                <w:rFonts w:cstheme="minorHAnsi"/>
                <w:b/>
                <w:bCs/>
                <w:sz w:val="28"/>
                <w:szCs w:val="28"/>
              </w:rPr>
              <w:t>Available</w:t>
            </w:r>
          </w:p>
        </w:tc>
        <w:tc>
          <w:tcPr>
            <w:tcW w:w="2520" w:type="dxa"/>
          </w:tcPr>
          <w:p w:rsidRPr="00955A43" w:rsidR="00347C61" w:rsidP="00E25AD8" w:rsidRDefault="00347C61" w14:paraId="61DEA787" w14:textId="365202A1">
            <w:pPr>
              <w:spacing w:before="10" w:after="10"/>
              <w:jc w:val="center"/>
              <w:rPr>
                <w:rFonts w:cstheme="minorHAnsi"/>
                <w:sz w:val="28"/>
                <w:szCs w:val="28"/>
              </w:rPr>
            </w:pPr>
            <w:r w:rsidRPr="00955A43">
              <w:rPr>
                <w:rFonts w:cstheme="minorHAnsi"/>
                <w:sz w:val="28"/>
                <w:szCs w:val="28"/>
              </w:rPr>
              <w:t>12.6</w:t>
            </w:r>
          </w:p>
        </w:tc>
        <w:tc>
          <w:tcPr>
            <w:tcW w:w="3060" w:type="dxa"/>
          </w:tcPr>
          <w:p w:rsidRPr="00955A43" w:rsidR="00347C61" w:rsidP="00E25AD8" w:rsidRDefault="00347C61" w14:paraId="35CDE0C7" w14:textId="388B73B8">
            <w:pPr>
              <w:spacing w:before="10" w:after="10"/>
              <w:jc w:val="center"/>
              <w:rPr>
                <w:rFonts w:cstheme="minorHAnsi"/>
                <w:sz w:val="28"/>
                <w:szCs w:val="28"/>
              </w:rPr>
            </w:pPr>
            <w:r w:rsidRPr="00955A43">
              <w:rPr>
                <w:rFonts w:cstheme="minorHAnsi"/>
                <w:sz w:val="28"/>
                <w:szCs w:val="28"/>
              </w:rPr>
              <w:t>42.8</w:t>
            </w:r>
          </w:p>
        </w:tc>
        <w:tc>
          <w:tcPr>
            <w:tcW w:w="2070" w:type="dxa"/>
          </w:tcPr>
          <w:p w:rsidRPr="00955A43" w:rsidR="00347C61" w:rsidP="00E25AD8" w:rsidRDefault="00347C61" w14:paraId="36351101" w14:textId="566EB2BF">
            <w:pPr>
              <w:spacing w:before="10" w:after="10"/>
              <w:jc w:val="center"/>
              <w:rPr>
                <w:rFonts w:cstheme="minorHAnsi"/>
                <w:sz w:val="28"/>
                <w:szCs w:val="28"/>
              </w:rPr>
            </w:pPr>
            <w:r w:rsidRPr="00955A43">
              <w:rPr>
                <w:rFonts w:cstheme="minorHAnsi"/>
                <w:sz w:val="28"/>
                <w:szCs w:val="28"/>
              </w:rPr>
              <w:t>55.4</w:t>
            </w:r>
          </w:p>
        </w:tc>
      </w:tr>
      <w:tr w:rsidR="00347C61" w:rsidTr="00E15A2B" w14:paraId="44742566" w14:textId="77777777">
        <w:tc>
          <w:tcPr>
            <w:tcW w:w="4950" w:type="dxa"/>
          </w:tcPr>
          <w:p w:rsidRPr="0086324A" w:rsidR="00347C61" w:rsidP="00E25AD8" w:rsidRDefault="00347C61" w14:paraId="7842F773" w14:textId="07162AA4">
            <w:pPr>
              <w:spacing w:before="10" w:after="10"/>
              <w:rPr>
                <w:rFonts w:cstheme="minorHAnsi"/>
                <w:b/>
                <w:bCs/>
                <w:sz w:val="28"/>
                <w:szCs w:val="28"/>
              </w:rPr>
            </w:pPr>
            <w:r w:rsidRPr="0086324A">
              <w:rPr>
                <w:rFonts w:cstheme="minorHAnsi"/>
                <w:b/>
                <w:bCs/>
                <w:sz w:val="28"/>
                <w:szCs w:val="28"/>
              </w:rPr>
              <w:t>Carry Over</w:t>
            </w:r>
          </w:p>
        </w:tc>
        <w:tc>
          <w:tcPr>
            <w:tcW w:w="2520" w:type="dxa"/>
          </w:tcPr>
          <w:p w:rsidRPr="00955A43" w:rsidR="00347C61" w:rsidP="00E25AD8" w:rsidRDefault="00347C61" w14:paraId="46AF1076" w14:textId="00EF4138">
            <w:pPr>
              <w:spacing w:before="10" w:after="10"/>
              <w:jc w:val="center"/>
              <w:rPr>
                <w:rFonts w:cstheme="minorHAnsi"/>
                <w:sz w:val="28"/>
                <w:szCs w:val="28"/>
              </w:rPr>
            </w:pPr>
            <w:r w:rsidRPr="00955A43">
              <w:rPr>
                <w:rFonts w:cstheme="minorHAnsi"/>
                <w:sz w:val="28"/>
                <w:szCs w:val="28"/>
              </w:rPr>
              <w:t>2.8</w:t>
            </w:r>
          </w:p>
        </w:tc>
        <w:tc>
          <w:tcPr>
            <w:tcW w:w="3060" w:type="dxa"/>
          </w:tcPr>
          <w:p w:rsidRPr="00955A43" w:rsidR="00347C61" w:rsidP="00E25AD8" w:rsidRDefault="00347C61" w14:paraId="45176572" w14:textId="1E441021">
            <w:pPr>
              <w:spacing w:before="10" w:after="10"/>
              <w:jc w:val="center"/>
              <w:rPr>
                <w:rFonts w:cstheme="minorHAnsi"/>
                <w:sz w:val="28"/>
                <w:szCs w:val="28"/>
              </w:rPr>
            </w:pPr>
            <w:r w:rsidRPr="00955A43">
              <w:rPr>
                <w:rFonts w:cstheme="minorHAnsi"/>
                <w:sz w:val="28"/>
                <w:szCs w:val="28"/>
              </w:rPr>
              <w:t>15.6</w:t>
            </w:r>
          </w:p>
        </w:tc>
        <w:tc>
          <w:tcPr>
            <w:tcW w:w="2070" w:type="dxa"/>
          </w:tcPr>
          <w:p w:rsidRPr="00955A43" w:rsidR="00347C61" w:rsidP="00E25AD8" w:rsidRDefault="00347C61" w14:paraId="2D9B9371" w14:textId="7341856D">
            <w:pPr>
              <w:spacing w:before="10" w:after="10"/>
              <w:jc w:val="center"/>
              <w:rPr>
                <w:rFonts w:cstheme="minorHAnsi"/>
                <w:sz w:val="28"/>
                <w:szCs w:val="28"/>
              </w:rPr>
            </w:pPr>
            <w:r w:rsidRPr="00955A43">
              <w:rPr>
                <w:rFonts w:cstheme="minorHAnsi"/>
                <w:sz w:val="28"/>
                <w:szCs w:val="28"/>
              </w:rPr>
              <w:t>18.4</w:t>
            </w:r>
          </w:p>
        </w:tc>
      </w:tr>
      <w:tr w:rsidR="00347C61" w:rsidTr="00E15A2B" w14:paraId="70FE5C2D" w14:textId="77777777">
        <w:tc>
          <w:tcPr>
            <w:tcW w:w="4950" w:type="dxa"/>
          </w:tcPr>
          <w:p w:rsidRPr="0086324A" w:rsidR="00347C61" w:rsidP="00E25AD8" w:rsidRDefault="00347C61" w14:paraId="144F67E1" w14:textId="46DD38CB">
            <w:pPr>
              <w:spacing w:before="10" w:after="10"/>
              <w:rPr>
                <w:rFonts w:cstheme="minorHAnsi"/>
                <w:b/>
                <w:bCs/>
                <w:i/>
                <w:iCs/>
                <w:sz w:val="28"/>
                <w:szCs w:val="28"/>
              </w:rPr>
            </w:pPr>
          </w:p>
        </w:tc>
        <w:tc>
          <w:tcPr>
            <w:tcW w:w="2520" w:type="dxa"/>
          </w:tcPr>
          <w:p w:rsidRPr="00955A43" w:rsidR="00347C61" w:rsidP="00E25AD8" w:rsidRDefault="00347C61" w14:paraId="36CBA19B" w14:textId="41DB4769">
            <w:pPr>
              <w:spacing w:before="10" w:after="10"/>
              <w:jc w:val="center"/>
              <w:rPr>
                <w:rFonts w:cstheme="minorHAnsi"/>
                <w:b/>
                <w:bCs/>
                <w:i/>
                <w:iCs/>
                <w:sz w:val="28"/>
                <w:szCs w:val="28"/>
                <w:highlight w:val="yellow"/>
              </w:rPr>
            </w:pPr>
          </w:p>
        </w:tc>
        <w:tc>
          <w:tcPr>
            <w:tcW w:w="3060" w:type="dxa"/>
          </w:tcPr>
          <w:p w:rsidRPr="00955A43" w:rsidR="00347C61" w:rsidP="00E25AD8" w:rsidRDefault="00347C61" w14:paraId="3D039232" w14:textId="0DEE64EB">
            <w:pPr>
              <w:spacing w:before="10" w:after="10"/>
              <w:jc w:val="center"/>
              <w:rPr>
                <w:rFonts w:cstheme="minorHAnsi"/>
                <w:b/>
                <w:bCs/>
                <w:i/>
                <w:iCs/>
                <w:sz w:val="28"/>
                <w:szCs w:val="28"/>
              </w:rPr>
            </w:pPr>
            <w:r w:rsidRPr="00955A43">
              <w:rPr>
                <w:rFonts w:cstheme="minorHAnsi"/>
                <w:b/>
                <w:bCs/>
                <w:i/>
                <w:iCs/>
                <w:sz w:val="28"/>
                <w:szCs w:val="28"/>
              </w:rPr>
              <w:t>Total</w:t>
            </w:r>
          </w:p>
        </w:tc>
        <w:tc>
          <w:tcPr>
            <w:tcW w:w="2070" w:type="dxa"/>
          </w:tcPr>
          <w:p w:rsidRPr="00955A43" w:rsidR="00347C61" w:rsidP="00E25AD8" w:rsidRDefault="00C80BFB" w14:paraId="4D0C6EAA" w14:textId="4A645039">
            <w:pPr>
              <w:spacing w:before="10" w:after="10"/>
              <w:jc w:val="center"/>
              <w:rPr>
                <w:rFonts w:cstheme="minorHAnsi"/>
                <w:b/>
                <w:bCs/>
                <w:i/>
                <w:iCs/>
                <w:sz w:val="28"/>
                <w:szCs w:val="28"/>
              </w:rPr>
            </w:pPr>
            <w:r w:rsidRPr="00955A43">
              <w:rPr>
                <w:rFonts w:cstheme="minorHAnsi"/>
                <w:b/>
                <w:bCs/>
                <w:sz w:val="28"/>
                <w:szCs w:val="28"/>
              </w:rPr>
              <w:t>$</w:t>
            </w:r>
            <w:r w:rsidRPr="00955A43" w:rsidR="00347C61">
              <w:rPr>
                <w:rFonts w:cstheme="minorHAnsi"/>
                <w:b/>
                <w:bCs/>
                <w:sz w:val="28"/>
                <w:szCs w:val="28"/>
              </w:rPr>
              <w:t>73.8</w:t>
            </w:r>
          </w:p>
        </w:tc>
      </w:tr>
      <w:tr w:rsidR="00955A43" w:rsidTr="00E15A2B" w14:paraId="69E6800E" w14:textId="77777777">
        <w:tc>
          <w:tcPr>
            <w:tcW w:w="4950" w:type="dxa"/>
          </w:tcPr>
          <w:p w:rsidRPr="0086324A" w:rsidR="00955A43" w:rsidP="00E25AD8" w:rsidRDefault="00955A43" w14:paraId="73C689AA" w14:textId="1B47DEC5">
            <w:pPr>
              <w:spacing w:before="10" w:after="10"/>
              <w:rPr>
                <w:rFonts w:cstheme="minorHAnsi"/>
                <w:b/>
                <w:bCs/>
                <w:sz w:val="28"/>
                <w:szCs w:val="28"/>
              </w:rPr>
            </w:pPr>
            <w:r w:rsidRPr="0086324A">
              <w:rPr>
                <w:rFonts w:cstheme="minorHAnsi"/>
                <w:b/>
                <w:bCs/>
                <w:sz w:val="28"/>
                <w:szCs w:val="28"/>
              </w:rPr>
              <w:t>Budgeted</w:t>
            </w:r>
          </w:p>
        </w:tc>
        <w:tc>
          <w:tcPr>
            <w:tcW w:w="2520" w:type="dxa"/>
          </w:tcPr>
          <w:p w:rsidRPr="00955A43" w:rsidR="00955A43" w:rsidP="00E25AD8" w:rsidRDefault="00955A43" w14:paraId="229C3299" w14:textId="77777777">
            <w:pPr>
              <w:spacing w:before="10" w:after="10"/>
              <w:jc w:val="center"/>
              <w:rPr>
                <w:rFonts w:cstheme="minorHAnsi"/>
                <w:sz w:val="28"/>
                <w:szCs w:val="28"/>
                <w:highlight w:val="yellow"/>
              </w:rPr>
            </w:pPr>
          </w:p>
        </w:tc>
        <w:tc>
          <w:tcPr>
            <w:tcW w:w="3060" w:type="dxa"/>
          </w:tcPr>
          <w:p w:rsidRPr="00955A43" w:rsidR="00955A43" w:rsidP="00E25AD8" w:rsidRDefault="00955A43" w14:paraId="5D4DEA87" w14:textId="77777777">
            <w:pPr>
              <w:spacing w:before="10" w:after="10"/>
              <w:jc w:val="center"/>
              <w:rPr>
                <w:rFonts w:cstheme="minorHAnsi"/>
                <w:sz w:val="28"/>
                <w:szCs w:val="28"/>
                <w:highlight w:val="yellow"/>
              </w:rPr>
            </w:pPr>
          </w:p>
        </w:tc>
        <w:tc>
          <w:tcPr>
            <w:tcW w:w="2070" w:type="dxa"/>
          </w:tcPr>
          <w:p w:rsidRPr="00955A43" w:rsidR="00955A43" w:rsidP="00E25AD8" w:rsidRDefault="00955A43" w14:paraId="3D89C8BB" w14:textId="77777777">
            <w:pPr>
              <w:spacing w:before="10" w:after="10"/>
              <w:jc w:val="center"/>
              <w:rPr>
                <w:rFonts w:cstheme="minorHAnsi"/>
                <w:sz w:val="28"/>
                <w:szCs w:val="28"/>
                <w:highlight w:val="yellow"/>
              </w:rPr>
            </w:pPr>
          </w:p>
        </w:tc>
      </w:tr>
      <w:tr w:rsidR="00955A43" w:rsidTr="00E15A2B" w14:paraId="6CD8CCDB" w14:textId="77777777">
        <w:tc>
          <w:tcPr>
            <w:tcW w:w="4950" w:type="dxa"/>
          </w:tcPr>
          <w:p w:rsidRPr="0086324A" w:rsidR="00955A43" w:rsidP="00E25AD8" w:rsidRDefault="00955A43" w14:paraId="4D3D495E" w14:textId="5F452E4B">
            <w:pPr>
              <w:spacing w:before="10" w:after="10"/>
              <w:rPr>
                <w:rFonts w:cstheme="minorHAnsi"/>
                <w:sz w:val="28"/>
                <w:szCs w:val="28"/>
              </w:rPr>
            </w:pPr>
            <w:r w:rsidRPr="0086324A">
              <w:rPr>
                <w:rFonts w:cstheme="minorHAnsi"/>
                <w:sz w:val="28"/>
                <w:szCs w:val="28"/>
              </w:rPr>
              <w:t>LPHAs</w:t>
            </w:r>
          </w:p>
        </w:tc>
        <w:tc>
          <w:tcPr>
            <w:tcW w:w="2520" w:type="dxa"/>
          </w:tcPr>
          <w:p w:rsidRPr="00E4679A" w:rsidR="00955A43" w:rsidP="00E25AD8" w:rsidRDefault="00955A43" w14:paraId="43347211" w14:textId="403C6E4C">
            <w:pPr>
              <w:spacing w:before="10" w:after="10"/>
              <w:jc w:val="center"/>
              <w:rPr>
                <w:rFonts w:cstheme="minorHAnsi"/>
                <w:sz w:val="28"/>
                <w:szCs w:val="28"/>
              </w:rPr>
            </w:pPr>
            <w:r w:rsidRPr="00E4679A">
              <w:rPr>
                <w:rFonts w:cstheme="minorHAnsi"/>
                <w:sz w:val="28"/>
                <w:szCs w:val="28"/>
              </w:rPr>
              <w:t>9.0</w:t>
            </w:r>
          </w:p>
        </w:tc>
        <w:tc>
          <w:tcPr>
            <w:tcW w:w="3060" w:type="dxa"/>
          </w:tcPr>
          <w:p w:rsidRPr="00E4679A" w:rsidR="00955A43" w:rsidP="00E25AD8" w:rsidRDefault="00955A43" w14:paraId="4E08C4A0" w14:textId="69603638">
            <w:pPr>
              <w:spacing w:before="10" w:after="10"/>
              <w:jc w:val="center"/>
              <w:rPr>
                <w:rFonts w:cstheme="minorHAnsi"/>
                <w:sz w:val="28"/>
                <w:szCs w:val="28"/>
              </w:rPr>
            </w:pPr>
            <w:r w:rsidRPr="00E4679A">
              <w:rPr>
                <w:rFonts w:cstheme="minorHAnsi"/>
                <w:sz w:val="28"/>
                <w:szCs w:val="28"/>
              </w:rPr>
              <w:t>TBD</w:t>
            </w:r>
            <w:r w:rsidRPr="00E4679A" w:rsidR="00CA6F2B">
              <w:rPr>
                <w:rFonts w:cstheme="minorHAnsi"/>
                <w:sz w:val="28"/>
                <w:szCs w:val="28"/>
                <w:vertAlign w:val="superscript"/>
              </w:rPr>
              <w:t>1</w:t>
            </w:r>
          </w:p>
        </w:tc>
        <w:tc>
          <w:tcPr>
            <w:tcW w:w="2070" w:type="dxa"/>
          </w:tcPr>
          <w:p w:rsidRPr="00E4679A" w:rsidR="00955A43" w:rsidP="00E25AD8" w:rsidRDefault="00955A43" w14:paraId="697FF4A2" w14:textId="6327ECA6">
            <w:pPr>
              <w:spacing w:before="10" w:after="10"/>
              <w:jc w:val="center"/>
              <w:rPr>
                <w:rFonts w:cstheme="minorHAnsi"/>
                <w:sz w:val="28"/>
                <w:szCs w:val="28"/>
              </w:rPr>
            </w:pPr>
            <w:r w:rsidRPr="00E4679A">
              <w:rPr>
                <w:rFonts w:cstheme="minorHAnsi"/>
                <w:sz w:val="28"/>
                <w:szCs w:val="28"/>
              </w:rPr>
              <w:t>9.0</w:t>
            </w:r>
          </w:p>
        </w:tc>
      </w:tr>
      <w:tr w:rsidR="00955A43" w:rsidTr="00E15A2B" w14:paraId="43ACC585" w14:textId="77777777">
        <w:tc>
          <w:tcPr>
            <w:tcW w:w="4950" w:type="dxa"/>
          </w:tcPr>
          <w:p w:rsidRPr="0086324A" w:rsidR="00955A43" w:rsidP="00E25AD8" w:rsidRDefault="00955A43" w14:paraId="0048D6CB" w14:textId="375FA97B">
            <w:pPr>
              <w:spacing w:before="10" w:after="10"/>
              <w:rPr>
                <w:rFonts w:cstheme="minorHAnsi"/>
                <w:sz w:val="28"/>
                <w:szCs w:val="28"/>
              </w:rPr>
            </w:pPr>
            <w:r w:rsidRPr="0086324A">
              <w:rPr>
                <w:rFonts w:cstheme="minorHAnsi"/>
                <w:sz w:val="28"/>
                <w:szCs w:val="28"/>
              </w:rPr>
              <w:t>Tribes</w:t>
            </w:r>
          </w:p>
        </w:tc>
        <w:tc>
          <w:tcPr>
            <w:tcW w:w="2520" w:type="dxa"/>
          </w:tcPr>
          <w:p w:rsidRPr="00E4679A" w:rsidR="00955A43" w:rsidP="00E25AD8" w:rsidRDefault="00CA6F2B" w14:paraId="0564D44F" w14:textId="2C2744AF">
            <w:pPr>
              <w:spacing w:before="10" w:after="10"/>
              <w:jc w:val="center"/>
              <w:rPr>
                <w:rFonts w:cstheme="minorHAnsi"/>
                <w:sz w:val="28"/>
                <w:szCs w:val="28"/>
              </w:rPr>
            </w:pPr>
            <w:r w:rsidRPr="00E4679A">
              <w:rPr>
                <w:rFonts w:cstheme="minorHAnsi"/>
                <w:sz w:val="28"/>
                <w:szCs w:val="28"/>
              </w:rPr>
              <w:t>1.0</w:t>
            </w:r>
          </w:p>
        </w:tc>
        <w:tc>
          <w:tcPr>
            <w:tcW w:w="3060" w:type="dxa"/>
          </w:tcPr>
          <w:p w:rsidRPr="00E4679A" w:rsidR="00955A43" w:rsidP="00E25AD8" w:rsidRDefault="00CA6F2B" w14:paraId="083194C6" w14:textId="6AEB55A0">
            <w:pPr>
              <w:spacing w:before="10" w:after="10"/>
              <w:jc w:val="center"/>
              <w:rPr>
                <w:rFonts w:cstheme="minorHAnsi"/>
                <w:sz w:val="28"/>
                <w:szCs w:val="28"/>
              </w:rPr>
            </w:pPr>
            <w:r w:rsidRPr="00E4679A">
              <w:rPr>
                <w:rFonts w:cstheme="minorHAnsi"/>
                <w:sz w:val="28"/>
                <w:szCs w:val="28"/>
              </w:rPr>
              <w:t>7</w:t>
            </w:r>
            <w:r w:rsidRPr="00E4679A" w:rsidR="00955A43">
              <w:rPr>
                <w:rFonts w:cstheme="minorHAnsi"/>
                <w:sz w:val="28"/>
                <w:szCs w:val="28"/>
              </w:rPr>
              <w:t>.1</w:t>
            </w:r>
          </w:p>
        </w:tc>
        <w:tc>
          <w:tcPr>
            <w:tcW w:w="2070" w:type="dxa"/>
          </w:tcPr>
          <w:p w:rsidRPr="00E4679A" w:rsidR="00955A43" w:rsidP="00E25AD8" w:rsidRDefault="00955A43" w14:paraId="39A32AC6" w14:textId="416B67E2">
            <w:pPr>
              <w:spacing w:before="10" w:after="10"/>
              <w:jc w:val="center"/>
              <w:rPr>
                <w:rFonts w:cstheme="minorHAnsi"/>
                <w:sz w:val="28"/>
                <w:szCs w:val="28"/>
              </w:rPr>
            </w:pPr>
            <w:r w:rsidRPr="00E4679A">
              <w:rPr>
                <w:rFonts w:cstheme="minorHAnsi"/>
                <w:sz w:val="28"/>
                <w:szCs w:val="28"/>
              </w:rPr>
              <w:t>8.1</w:t>
            </w:r>
          </w:p>
        </w:tc>
      </w:tr>
      <w:tr w:rsidR="00955A43" w:rsidTr="00E15A2B" w14:paraId="2C99F742" w14:textId="77777777">
        <w:tc>
          <w:tcPr>
            <w:tcW w:w="4950" w:type="dxa"/>
          </w:tcPr>
          <w:p w:rsidRPr="0086324A" w:rsidR="00955A43" w:rsidP="00E25AD8" w:rsidRDefault="00955A43" w14:paraId="5CCCCDDC" w14:textId="6140BF27">
            <w:pPr>
              <w:spacing w:before="10" w:after="10"/>
              <w:rPr>
                <w:rFonts w:cstheme="minorHAnsi"/>
                <w:b/>
                <w:bCs/>
                <w:sz w:val="28"/>
                <w:szCs w:val="28"/>
              </w:rPr>
            </w:pPr>
            <w:r w:rsidRPr="0086324A">
              <w:rPr>
                <w:rFonts w:cstheme="minorHAnsi"/>
                <w:sz w:val="28"/>
                <w:szCs w:val="28"/>
              </w:rPr>
              <w:t>RHECs</w:t>
            </w:r>
            <w:r w:rsidRPr="00CA6F2B" w:rsidR="00CA6F2B">
              <w:rPr>
                <w:rFonts w:cstheme="minorHAnsi"/>
                <w:sz w:val="28"/>
                <w:szCs w:val="28"/>
                <w:vertAlign w:val="superscript"/>
              </w:rPr>
              <w:t>2</w:t>
            </w:r>
          </w:p>
        </w:tc>
        <w:tc>
          <w:tcPr>
            <w:tcW w:w="2520" w:type="dxa"/>
          </w:tcPr>
          <w:p w:rsidRPr="00E4679A" w:rsidR="00955A43" w:rsidP="00E25AD8" w:rsidRDefault="00CA6F2B" w14:paraId="38026BBB" w14:textId="4ACE5EB9">
            <w:pPr>
              <w:spacing w:before="10" w:after="10"/>
              <w:jc w:val="center"/>
              <w:rPr>
                <w:rFonts w:cstheme="minorHAnsi"/>
                <w:sz w:val="28"/>
                <w:szCs w:val="28"/>
              </w:rPr>
            </w:pPr>
            <w:r w:rsidRPr="00E4679A">
              <w:rPr>
                <w:rFonts w:cstheme="minorHAnsi"/>
                <w:sz w:val="28"/>
                <w:szCs w:val="28"/>
              </w:rPr>
              <w:t>0.8</w:t>
            </w:r>
          </w:p>
        </w:tc>
        <w:tc>
          <w:tcPr>
            <w:tcW w:w="3060" w:type="dxa"/>
          </w:tcPr>
          <w:p w:rsidRPr="00E4679A" w:rsidR="00955A43" w:rsidP="00E25AD8" w:rsidRDefault="00955A43" w14:paraId="4FEBB39C" w14:textId="0BF227E4">
            <w:pPr>
              <w:spacing w:before="10" w:after="10"/>
              <w:jc w:val="center"/>
              <w:rPr>
                <w:rFonts w:cstheme="minorHAnsi"/>
                <w:sz w:val="28"/>
                <w:szCs w:val="28"/>
              </w:rPr>
            </w:pPr>
          </w:p>
        </w:tc>
        <w:tc>
          <w:tcPr>
            <w:tcW w:w="2070" w:type="dxa"/>
          </w:tcPr>
          <w:p w:rsidRPr="00E4679A" w:rsidR="00955A43" w:rsidP="00E25AD8" w:rsidRDefault="00CA6F2B" w14:paraId="2683E2A1" w14:textId="63F11ECE">
            <w:pPr>
              <w:spacing w:before="10" w:after="10"/>
              <w:jc w:val="center"/>
              <w:rPr>
                <w:rFonts w:cstheme="minorHAnsi"/>
                <w:sz w:val="28"/>
                <w:szCs w:val="28"/>
              </w:rPr>
            </w:pPr>
            <w:r w:rsidRPr="00E4679A">
              <w:rPr>
                <w:rFonts w:cstheme="minorHAnsi"/>
                <w:sz w:val="28"/>
                <w:szCs w:val="28"/>
              </w:rPr>
              <w:t>0.8</w:t>
            </w:r>
          </w:p>
        </w:tc>
      </w:tr>
      <w:tr w:rsidR="00CA6F2B" w:rsidTr="00E15A2B" w14:paraId="5D3D2FF3" w14:textId="77777777">
        <w:tc>
          <w:tcPr>
            <w:tcW w:w="4950" w:type="dxa"/>
          </w:tcPr>
          <w:p w:rsidRPr="0086324A" w:rsidR="00CA6F2B" w:rsidP="00E25AD8" w:rsidRDefault="00CA6F2B" w14:paraId="277E4E3F" w14:textId="4A9E0777">
            <w:pPr>
              <w:spacing w:before="10" w:after="10"/>
              <w:rPr>
                <w:rFonts w:cstheme="minorHAnsi"/>
                <w:sz w:val="28"/>
                <w:szCs w:val="28"/>
              </w:rPr>
            </w:pPr>
            <w:r>
              <w:rPr>
                <w:rFonts w:cstheme="minorHAnsi"/>
                <w:sz w:val="28"/>
                <w:szCs w:val="28"/>
              </w:rPr>
              <w:t>CBOs</w:t>
            </w:r>
          </w:p>
        </w:tc>
        <w:tc>
          <w:tcPr>
            <w:tcW w:w="2520" w:type="dxa"/>
          </w:tcPr>
          <w:p w:rsidRPr="00E4679A" w:rsidR="00CA6F2B" w:rsidP="00E25AD8" w:rsidRDefault="00CA6F2B" w14:paraId="338C836E" w14:textId="117C78FC">
            <w:pPr>
              <w:spacing w:before="10" w:after="10"/>
              <w:jc w:val="center"/>
              <w:rPr>
                <w:rFonts w:cstheme="minorHAnsi"/>
                <w:sz w:val="28"/>
                <w:szCs w:val="28"/>
              </w:rPr>
            </w:pPr>
          </w:p>
        </w:tc>
        <w:tc>
          <w:tcPr>
            <w:tcW w:w="3060" w:type="dxa"/>
          </w:tcPr>
          <w:p w:rsidRPr="00E4679A" w:rsidR="00CA6F2B" w:rsidP="00E25AD8" w:rsidRDefault="00B20FE1" w14:paraId="309AE3CF" w14:textId="6D687D6A">
            <w:pPr>
              <w:spacing w:before="10" w:after="10"/>
              <w:jc w:val="center"/>
              <w:rPr>
                <w:rFonts w:cstheme="minorHAnsi"/>
                <w:sz w:val="28"/>
                <w:szCs w:val="28"/>
              </w:rPr>
            </w:pPr>
            <w:r>
              <w:rPr>
                <w:rFonts w:cstheme="minorHAnsi"/>
                <w:sz w:val="28"/>
                <w:szCs w:val="28"/>
              </w:rPr>
              <w:t>20</w:t>
            </w:r>
            <w:r w:rsidRPr="00E4679A" w:rsidR="00CA6F2B">
              <w:rPr>
                <w:rFonts w:cstheme="minorHAnsi"/>
                <w:sz w:val="28"/>
                <w:szCs w:val="28"/>
              </w:rPr>
              <w:t>.0</w:t>
            </w:r>
          </w:p>
        </w:tc>
        <w:tc>
          <w:tcPr>
            <w:tcW w:w="2070" w:type="dxa"/>
          </w:tcPr>
          <w:p w:rsidRPr="00E4679A" w:rsidR="00CA6F2B" w:rsidP="00E25AD8" w:rsidRDefault="00CA6F2B" w14:paraId="412255AA" w14:textId="479EF1EA">
            <w:pPr>
              <w:spacing w:before="10" w:after="10"/>
              <w:jc w:val="center"/>
              <w:rPr>
                <w:rFonts w:cstheme="minorHAnsi"/>
                <w:sz w:val="28"/>
                <w:szCs w:val="28"/>
              </w:rPr>
            </w:pPr>
            <w:r w:rsidRPr="00E4679A">
              <w:rPr>
                <w:rFonts w:cstheme="minorHAnsi"/>
                <w:sz w:val="28"/>
                <w:szCs w:val="28"/>
              </w:rPr>
              <w:t>20.0</w:t>
            </w:r>
          </w:p>
        </w:tc>
      </w:tr>
      <w:tr w:rsidR="00E4679A" w:rsidTr="00E15A2B" w14:paraId="06035AFF" w14:textId="77777777">
        <w:tc>
          <w:tcPr>
            <w:tcW w:w="4950" w:type="dxa"/>
          </w:tcPr>
          <w:p w:rsidRPr="00E4679A" w:rsidR="00E4679A" w:rsidP="00E25AD8" w:rsidRDefault="00E4679A" w14:paraId="65F7363C" w14:textId="72C46BDD">
            <w:pPr>
              <w:spacing w:before="10" w:after="10"/>
              <w:rPr>
                <w:rFonts w:cstheme="minorHAnsi"/>
                <w:sz w:val="28"/>
                <w:szCs w:val="28"/>
                <w:vertAlign w:val="superscript"/>
              </w:rPr>
            </w:pPr>
            <w:r>
              <w:rPr>
                <w:rFonts w:cstheme="minorHAnsi"/>
                <w:sz w:val="28"/>
                <w:szCs w:val="28"/>
              </w:rPr>
              <w:t>OHA c</w:t>
            </w:r>
            <w:r w:rsidRPr="00E4679A">
              <w:rPr>
                <w:rFonts w:cstheme="minorHAnsi"/>
                <w:sz w:val="28"/>
                <w:szCs w:val="28"/>
              </w:rPr>
              <w:t xml:space="preserve">ost </w:t>
            </w:r>
            <w:r>
              <w:rPr>
                <w:rFonts w:cstheme="minorHAnsi"/>
                <w:sz w:val="28"/>
                <w:szCs w:val="28"/>
              </w:rPr>
              <w:t>a</w:t>
            </w:r>
            <w:r w:rsidRPr="00E4679A">
              <w:rPr>
                <w:rFonts w:cstheme="minorHAnsi"/>
                <w:sz w:val="28"/>
                <w:szCs w:val="28"/>
              </w:rPr>
              <w:t>llocation (17.64%)</w:t>
            </w:r>
            <w:r>
              <w:rPr>
                <w:rFonts w:cstheme="minorHAnsi"/>
                <w:sz w:val="28"/>
                <w:szCs w:val="28"/>
                <w:vertAlign w:val="superscript"/>
              </w:rPr>
              <w:t>3</w:t>
            </w:r>
          </w:p>
        </w:tc>
        <w:tc>
          <w:tcPr>
            <w:tcW w:w="2520" w:type="dxa"/>
          </w:tcPr>
          <w:p w:rsidRPr="00E4679A" w:rsidR="00E4679A" w:rsidP="00E25AD8" w:rsidRDefault="00E4679A" w14:paraId="57E88B84" w14:textId="505CBBD8">
            <w:pPr>
              <w:spacing w:before="10" w:after="10"/>
              <w:jc w:val="center"/>
              <w:rPr>
                <w:rFonts w:cstheme="minorHAnsi"/>
                <w:sz w:val="28"/>
                <w:szCs w:val="28"/>
              </w:rPr>
            </w:pPr>
            <w:r w:rsidRPr="00E4679A">
              <w:rPr>
                <w:rFonts w:cstheme="minorHAnsi"/>
                <w:sz w:val="28"/>
                <w:szCs w:val="28"/>
              </w:rPr>
              <w:t>2.2</w:t>
            </w:r>
          </w:p>
        </w:tc>
        <w:tc>
          <w:tcPr>
            <w:tcW w:w="3060" w:type="dxa"/>
          </w:tcPr>
          <w:p w:rsidRPr="00E4679A" w:rsidR="00E4679A" w:rsidP="00E25AD8" w:rsidRDefault="00E4679A" w14:paraId="0F3D1A20" w14:textId="109F25BD">
            <w:pPr>
              <w:spacing w:before="10" w:after="10"/>
              <w:jc w:val="center"/>
              <w:rPr>
                <w:rFonts w:cstheme="minorHAnsi"/>
                <w:sz w:val="28"/>
                <w:szCs w:val="28"/>
              </w:rPr>
            </w:pPr>
            <w:r w:rsidRPr="00E4679A">
              <w:rPr>
                <w:rFonts w:cstheme="minorHAnsi"/>
                <w:sz w:val="28"/>
                <w:szCs w:val="28"/>
              </w:rPr>
              <w:t>7.5</w:t>
            </w:r>
          </w:p>
        </w:tc>
        <w:tc>
          <w:tcPr>
            <w:tcW w:w="2070" w:type="dxa"/>
          </w:tcPr>
          <w:p w:rsidRPr="00E4679A" w:rsidR="00E4679A" w:rsidP="00E25AD8" w:rsidRDefault="00E4679A" w14:paraId="362008EE" w14:textId="44777616">
            <w:pPr>
              <w:spacing w:before="10" w:after="10"/>
              <w:jc w:val="center"/>
              <w:rPr>
                <w:rFonts w:cstheme="minorHAnsi"/>
                <w:sz w:val="28"/>
                <w:szCs w:val="28"/>
              </w:rPr>
            </w:pPr>
            <w:r w:rsidRPr="00E4679A">
              <w:rPr>
                <w:rFonts w:cstheme="minorHAnsi"/>
                <w:sz w:val="28"/>
                <w:szCs w:val="28"/>
              </w:rPr>
              <w:t>9.8</w:t>
            </w:r>
          </w:p>
        </w:tc>
      </w:tr>
      <w:tr w:rsidR="00E4679A" w:rsidTr="00E15A2B" w14:paraId="5A2FE3BD" w14:textId="77777777">
        <w:tc>
          <w:tcPr>
            <w:tcW w:w="4950" w:type="dxa"/>
          </w:tcPr>
          <w:p w:rsidRPr="0086324A" w:rsidR="00E4679A" w:rsidP="00E25AD8" w:rsidRDefault="00E4679A" w14:paraId="08EA830E" w14:textId="3437C1E4">
            <w:pPr>
              <w:spacing w:before="10" w:after="10"/>
              <w:rPr>
                <w:rFonts w:cstheme="minorHAnsi"/>
                <w:sz w:val="28"/>
                <w:szCs w:val="28"/>
              </w:rPr>
            </w:pPr>
            <w:r w:rsidRPr="0086324A">
              <w:rPr>
                <w:rFonts w:cstheme="minorHAnsi"/>
                <w:sz w:val="28"/>
                <w:szCs w:val="28"/>
              </w:rPr>
              <w:t>OHA statewide supports (</w:t>
            </w:r>
            <w:r>
              <w:rPr>
                <w:rFonts w:cstheme="minorHAnsi"/>
                <w:sz w:val="28"/>
                <w:szCs w:val="28"/>
              </w:rPr>
              <w:t xml:space="preserve">contracts for </w:t>
            </w:r>
            <w:r w:rsidRPr="0086324A">
              <w:rPr>
                <w:rFonts w:cstheme="minorHAnsi"/>
                <w:sz w:val="28"/>
                <w:szCs w:val="28"/>
              </w:rPr>
              <w:t>cessation, data/evaluation, communications, TA/</w:t>
            </w:r>
            <w:r>
              <w:rPr>
                <w:rFonts w:cstheme="minorHAnsi"/>
                <w:sz w:val="28"/>
                <w:szCs w:val="28"/>
              </w:rPr>
              <w:t>t</w:t>
            </w:r>
            <w:r w:rsidRPr="0086324A">
              <w:rPr>
                <w:rFonts w:cstheme="minorHAnsi"/>
                <w:sz w:val="28"/>
                <w:szCs w:val="28"/>
              </w:rPr>
              <w:t>raining)</w:t>
            </w:r>
          </w:p>
        </w:tc>
        <w:tc>
          <w:tcPr>
            <w:tcW w:w="2520" w:type="dxa"/>
          </w:tcPr>
          <w:p w:rsidRPr="00E4679A" w:rsidR="00E4679A" w:rsidP="00E25AD8" w:rsidRDefault="00E4679A" w14:paraId="27B25EB1" w14:textId="5A1627BC">
            <w:pPr>
              <w:spacing w:before="10" w:after="10"/>
              <w:jc w:val="center"/>
              <w:rPr>
                <w:rFonts w:cstheme="minorHAnsi"/>
                <w:sz w:val="28"/>
                <w:szCs w:val="28"/>
              </w:rPr>
            </w:pPr>
            <w:r w:rsidRPr="00E4679A">
              <w:rPr>
                <w:rFonts w:cstheme="minorHAnsi"/>
                <w:sz w:val="28"/>
                <w:szCs w:val="28"/>
              </w:rPr>
              <w:t>3.4</w:t>
            </w:r>
          </w:p>
        </w:tc>
        <w:tc>
          <w:tcPr>
            <w:tcW w:w="3060" w:type="dxa"/>
          </w:tcPr>
          <w:p w:rsidRPr="00E4679A" w:rsidR="00E4679A" w:rsidP="00E25AD8" w:rsidRDefault="00E4679A" w14:paraId="00E78565" w14:textId="1EFF4452">
            <w:pPr>
              <w:spacing w:before="10" w:after="10"/>
              <w:jc w:val="center"/>
              <w:rPr>
                <w:rFonts w:cstheme="minorHAnsi"/>
                <w:sz w:val="28"/>
                <w:szCs w:val="28"/>
              </w:rPr>
            </w:pPr>
            <w:r w:rsidRPr="00E4679A">
              <w:rPr>
                <w:rFonts w:cstheme="minorHAnsi"/>
                <w:sz w:val="28"/>
                <w:szCs w:val="28"/>
              </w:rPr>
              <w:t>1.4</w:t>
            </w:r>
          </w:p>
        </w:tc>
        <w:tc>
          <w:tcPr>
            <w:tcW w:w="2070" w:type="dxa"/>
          </w:tcPr>
          <w:p w:rsidRPr="00E4679A" w:rsidR="00E4679A" w:rsidP="00E25AD8" w:rsidRDefault="00E4679A" w14:paraId="73C1503B" w14:textId="41ECBC48">
            <w:pPr>
              <w:spacing w:before="10" w:after="10"/>
              <w:jc w:val="center"/>
              <w:rPr>
                <w:rFonts w:cstheme="minorHAnsi"/>
                <w:sz w:val="28"/>
                <w:szCs w:val="28"/>
              </w:rPr>
            </w:pPr>
            <w:r w:rsidRPr="00E4679A">
              <w:rPr>
                <w:rFonts w:cstheme="minorHAnsi"/>
                <w:sz w:val="28"/>
                <w:szCs w:val="28"/>
              </w:rPr>
              <w:t>4.8</w:t>
            </w:r>
          </w:p>
        </w:tc>
      </w:tr>
      <w:tr w:rsidR="00E4679A" w:rsidTr="00E15A2B" w14:paraId="4C6F27AA" w14:textId="77777777">
        <w:tc>
          <w:tcPr>
            <w:tcW w:w="4950" w:type="dxa"/>
          </w:tcPr>
          <w:p w:rsidRPr="0086324A" w:rsidR="00E4679A" w:rsidP="00C36678" w:rsidRDefault="00E4679A" w14:paraId="6FD61142" w14:textId="3A27DFBC">
            <w:pPr>
              <w:spacing w:before="10" w:after="10"/>
              <w:rPr>
                <w:rFonts w:cstheme="minorHAnsi"/>
                <w:sz w:val="28"/>
                <w:szCs w:val="28"/>
              </w:rPr>
            </w:pPr>
            <w:r>
              <w:rPr>
                <w:rFonts w:cstheme="minorHAnsi"/>
                <w:sz w:val="28"/>
                <w:szCs w:val="28"/>
              </w:rPr>
              <w:t>Other</w:t>
            </w:r>
            <w:r w:rsidR="00212ABE">
              <w:rPr>
                <w:rFonts w:cstheme="minorHAnsi"/>
                <w:sz w:val="28"/>
                <w:szCs w:val="28"/>
              </w:rPr>
              <w:t xml:space="preserve"> state costs</w:t>
            </w:r>
            <w:r>
              <w:rPr>
                <w:rFonts w:cstheme="minorHAnsi"/>
                <w:sz w:val="28"/>
                <w:szCs w:val="28"/>
              </w:rPr>
              <w:t xml:space="preserve"> (staff, fees, supplies)</w:t>
            </w:r>
          </w:p>
        </w:tc>
        <w:tc>
          <w:tcPr>
            <w:tcW w:w="2520" w:type="dxa"/>
          </w:tcPr>
          <w:p w:rsidRPr="00E4679A" w:rsidR="00E4679A" w:rsidP="00C36678" w:rsidRDefault="00E4679A" w14:paraId="02611322" w14:textId="26BF0E75">
            <w:pPr>
              <w:spacing w:before="10" w:after="10"/>
              <w:jc w:val="center"/>
              <w:rPr>
                <w:rFonts w:cstheme="minorHAnsi"/>
                <w:sz w:val="28"/>
                <w:szCs w:val="28"/>
              </w:rPr>
            </w:pPr>
            <w:r w:rsidRPr="00E4679A">
              <w:rPr>
                <w:rFonts w:cstheme="minorHAnsi"/>
                <w:sz w:val="28"/>
                <w:szCs w:val="28"/>
              </w:rPr>
              <w:t>4.9</w:t>
            </w:r>
          </w:p>
        </w:tc>
        <w:tc>
          <w:tcPr>
            <w:tcW w:w="3060" w:type="dxa"/>
          </w:tcPr>
          <w:p w:rsidRPr="00E4679A" w:rsidR="00E4679A" w:rsidP="00C36678" w:rsidRDefault="00E4679A" w14:paraId="6127A018" w14:textId="0A9A6C35">
            <w:pPr>
              <w:spacing w:before="10" w:after="10"/>
              <w:jc w:val="center"/>
              <w:rPr>
                <w:rFonts w:cstheme="minorHAnsi"/>
                <w:sz w:val="28"/>
                <w:szCs w:val="28"/>
              </w:rPr>
            </w:pPr>
            <w:r w:rsidRPr="00E4679A">
              <w:rPr>
                <w:rFonts w:cstheme="minorHAnsi"/>
                <w:sz w:val="28"/>
                <w:szCs w:val="28"/>
              </w:rPr>
              <w:t>1.2</w:t>
            </w:r>
          </w:p>
        </w:tc>
        <w:tc>
          <w:tcPr>
            <w:tcW w:w="2070" w:type="dxa"/>
          </w:tcPr>
          <w:p w:rsidRPr="00E4679A" w:rsidR="00E4679A" w:rsidP="00C36678" w:rsidRDefault="00E4679A" w14:paraId="4835A105" w14:textId="6D0EFFAD">
            <w:pPr>
              <w:spacing w:before="10" w:after="10"/>
              <w:jc w:val="center"/>
              <w:rPr>
                <w:rFonts w:cstheme="minorHAnsi"/>
                <w:sz w:val="28"/>
                <w:szCs w:val="28"/>
              </w:rPr>
            </w:pPr>
            <w:r w:rsidRPr="00E4679A">
              <w:rPr>
                <w:rFonts w:cstheme="minorHAnsi"/>
                <w:sz w:val="28"/>
                <w:szCs w:val="28"/>
              </w:rPr>
              <w:t>6.1</w:t>
            </w:r>
          </w:p>
        </w:tc>
      </w:tr>
      <w:tr w:rsidR="00E4679A" w:rsidTr="00E15A2B" w14:paraId="4EBDC0E2" w14:textId="77777777">
        <w:tc>
          <w:tcPr>
            <w:tcW w:w="4950" w:type="dxa"/>
          </w:tcPr>
          <w:p w:rsidR="00E4679A" w:rsidP="00C36678" w:rsidRDefault="00E4679A" w14:paraId="206452E0" w14:textId="65102A39">
            <w:pPr>
              <w:spacing w:before="10" w:after="10"/>
              <w:rPr>
                <w:rFonts w:cstheme="minorHAnsi"/>
                <w:sz w:val="28"/>
                <w:szCs w:val="28"/>
              </w:rPr>
            </w:pPr>
            <w:r w:rsidRPr="0086324A">
              <w:rPr>
                <w:rFonts w:cstheme="minorHAnsi"/>
                <w:sz w:val="28"/>
                <w:szCs w:val="28"/>
              </w:rPr>
              <w:t xml:space="preserve">TRL </w:t>
            </w:r>
            <w:r w:rsidR="00652935">
              <w:rPr>
                <w:rFonts w:cstheme="minorHAnsi"/>
                <w:sz w:val="28"/>
                <w:szCs w:val="28"/>
              </w:rPr>
              <w:t>s</w:t>
            </w:r>
            <w:r w:rsidRPr="0086324A">
              <w:rPr>
                <w:rFonts w:cstheme="minorHAnsi"/>
                <w:sz w:val="28"/>
                <w:szCs w:val="28"/>
              </w:rPr>
              <w:t>tart</w:t>
            </w:r>
            <w:r w:rsidR="00652935">
              <w:rPr>
                <w:rFonts w:cstheme="minorHAnsi"/>
                <w:sz w:val="28"/>
                <w:szCs w:val="28"/>
              </w:rPr>
              <w:t>-u</w:t>
            </w:r>
            <w:r w:rsidRPr="0086324A">
              <w:rPr>
                <w:rFonts w:cstheme="minorHAnsi"/>
                <w:sz w:val="28"/>
                <w:szCs w:val="28"/>
              </w:rPr>
              <w:t xml:space="preserve">p </w:t>
            </w:r>
            <w:r w:rsidR="00652935">
              <w:rPr>
                <w:rFonts w:cstheme="minorHAnsi"/>
                <w:sz w:val="28"/>
                <w:szCs w:val="28"/>
              </w:rPr>
              <w:t>c</w:t>
            </w:r>
            <w:r w:rsidRPr="0086324A">
              <w:rPr>
                <w:rFonts w:cstheme="minorHAnsi"/>
                <w:sz w:val="28"/>
                <w:szCs w:val="28"/>
              </w:rPr>
              <w:t>osts</w:t>
            </w:r>
            <w:r>
              <w:rPr>
                <w:rFonts w:cstheme="minorHAnsi"/>
                <w:sz w:val="28"/>
                <w:szCs w:val="28"/>
              </w:rPr>
              <w:t xml:space="preserve"> (one-time expense)</w:t>
            </w:r>
          </w:p>
        </w:tc>
        <w:tc>
          <w:tcPr>
            <w:tcW w:w="2520" w:type="dxa"/>
          </w:tcPr>
          <w:p w:rsidRPr="00E4679A" w:rsidR="00E4679A" w:rsidP="00C36678" w:rsidRDefault="00E4679A" w14:paraId="43CC2A93" w14:textId="77777777">
            <w:pPr>
              <w:spacing w:before="10" w:after="10"/>
              <w:jc w:val="center"/>
              <w:rPr>
                <w:rFonts w:cstheme="minorHAnsi"/>
                <w:sz w:val="28"/>
                <w:szCs w:val="28"/>
              </w:rPr>
            </w:pPr>
          </w:p>
        </w:tc>
        <w:tc>
          <w:tcPr>
            <w:tcW w:w="3060" w:type="dxa"/>
          </w:tcPr>
          <w:p w:rsidRPr="00E4679A" w:rsidR="00E4679A" w:rsidP="00C36678" w:rsidRDefault="00E4679A" w14:paraId="0A8A2305" w14:textId="73739478">
            <w:pPr>
              <w:spacing w:before="10" w:after="10"/>
              <w:jc w:val="center"/>
              <w:rPr>
                <w:rFonts w:cstheme="minorHAnsi"/>
                <w:sz w:val="28"/>
                <w:szCs w:val="28"/>
              </w:rPr>
            </w:pPr>
            <w:r w:rsidRPr="00E4679A">
              <w:rPr>
                <w:rFonts w:cstheme="minorHAnsi"/>
                <w:sz w:val="28"/>
                <w:szCs w:val="28"/>
              </w:rPr>
              <w:t>0.8</w:t>
            </w:r>
          </w:p>
        </w:tc>
        <w:tc>
          <w:tcPr>
            <w:tcW w:w="2070" w:type="dxa"/>
          </w:tcPr>
          <w:p w:rsidRPr="00E4679A" w:rsidR="00E4679A" w:rsidP="00C36678" w:rsidRDefault="00E4679A" w14:paraId="706E3395" w14:textId="3413ACEA">
            <w:pPr>
              <w:spacing w:before="10" w:after="10"/>
              <w:jc w:val="center"/>
              <w:rPr>
                <w:rFonts w:cstheme="minorHAnsi"/>
                <w:sz w:val="28"/>
                <w:szCs w:val="28"/>
              </w:rPr>
            </w:pPr>
            <w:r w:rsidRPr="00E4679A">
              <w:rPr>
                <w:rFonts w:cstheme="minorHAnsi"/>
                <w:sz w:val="28"/>
                <w:szCs w:val="28"/>
              </w:rPr>
              <w:t>0.8</w:t>
            </w:r>
          </w:p>
        </w:tc>
      </w:tr>
      <w:tr w:rsidR="00E4679A" w:rsidTr="00E15A2B" w14:paraId="2A0B694A" w14:textId="77777777">
        <w:tc>
          <w:tcPr>
            <w:tcW w:w="4950" w:type="dxa"/>
          </w:tcPr>
          <w:p w:rsidRPr="0086324A" w:rsidR="00E4679A" w:rsidP="00C36678" w:rsidRDefault="00E4679A" w14:paraId="4C5EF96B" w14:textId="74489AB1">
            <w:pPr>
              <w:spacing w:before="10" w:after="10"/>
              <w:rPr>
                <w:rFonts w:cstheme="minorHAnsi"/>
                <w:b/>
                <w:bCs/>
                <w:sz w:val="28"/>
                <w:szCs w:val="28"/>
              </w:rPr>
            </w:pPr>
          </w:p>
        </w:tc>
        <w:tc>
          <w:tcPr>
            <w:tcW w:w="2520" w:type="dxa"/>
          </w:tcPr>
          <w:p w:rsidRPr="00E4679A" w:rsidR="00E4679A" w:rsidP="00C36678" w:rsidRDefault="00E4679A" w14:paraId="729351A3" w14:textId="77777777">
            <w:pPr>
              <w:spacing w:before="10" w:after="10"/>
              <w:jc w:val="center"/>
              <w:rPr>
                <w:rFonts w:cstheme="minorHAnsi"/>
                <w:b/>
                <w:bCs/>
                <w:i/>
                <w:iCs/>
                <w:sz w:val="28"/>
                <w:szCs w:val="28"/>
              </w:rPr>
            </w:pPr>
          </w:p>
        </w:tc>
        <w:tc>
          <w:tcPr>
            <w:tcW w:w="3060" w:type="dxa"/>
          </w:tcPr>
          <w:p w:rsidRPr="00E4679A" w:rsidR="00E4679A" w:rsidP="00C36678" w:rsidRDefault="00E4679A" w14:paraId="18AFDD44" w14:textId="3997E99E">
            <w:pPr>
              <w:spacing w:before="10" w:after="10"/>
              <w:jc w:val="center"/>
              <w:rPr>
                <w:rFonts w:cstheme="minorHAnsi"/>
                <w:b/>
                <w:bCs/>
                <w:i/>
                <w:iCs/>
                <w:sz w:val="28"/>
                <w:szCs w:val="28"/>
              </w:rPr>
            </w:pPr>
            <w:r w:rsidRPr="00E4679A">
              <w:rPr>
                <w:rFonts w:cstheme="minorHAnsi"/>
                <w:b/>
                <w:bCs/>
                <w:i/>
                <w:iCs/>
                <w:sz w:val="28"/>
                <w:szCs w:val="28"/>
              </w:rPr>
              <w:t>Sub-total</w:t>
            </w:r>
          </w:p>
        </w:tc>
        <w:tc>
          <w:tcPr>
            <w:tcW w:w="2070" w:type="dxa"/>
          </w:tcPr>
          <w:p w:rsidRPr="00E4679A" w:rsidR="00E4679A" w:rsidP="00C36678" w:rsidRDefault="00E4679A" w14:paraId="7773A199" w14:textId="6971B61C">
            <w:pPr>
              <w:spacing w:before="10" w:after="10"/>
              <w:jc w:val="center"/>
              <w:rPr>
                <w:rFonts w:cstheme="minorHAnsi"/>
                <w:b/>
                <w:bCs/>
                <w:sz w:val="28"/>
                <w:szCs w:val="28"/>
              </w:rPr>
            </w:pPr>
            <w:r w:rsidRPr="00E4679A">
              <w:rPr>
                <w:rFonts w:cstheme="minorHAnsi"/>
                <w:b/>
                <w:bCs/>
                <w:sz w:val="28"/>
                <w:szCs w:val="28"/>
              </w:rPr>
              <w:t>$59.3</w:t>
            </w:r>
          </w:p>
        </w:tc>
      </w:tr>
      <w:tr w:rsidR="00E4679A" w:rsidTr="00E15A2B" w14:paraId="3A8164DB" w14:textId="77777777">
        <w:tc>
          <w:tcPr>
            <w:tcW w:w="4950" w:type="dxa"/>
          </w:tcPr>
          <w:p w:rsidRPr="0086324A" w:rsidR="00E4679A" w:rsidP="00C36678" w:rsidRDefault="00E4679A" w14:paraId="3E41041D" w14:textId="376D132F">
            <w:pPr>
              <w:spacing w:before="10" w:after="10"/>
              <w:rPr>
                <w:rFonts w:cstheme="minorHAnsi"/>
                <w:b/>
                <w:bCs/>
                <w:sz w:val="28"/>
                <w:szCs w:val="28"/>
              </w:rPr>
            </w:pPr>
            <w:r>
              <w:rPr>
                <w:rFonts w:cstheme="minorHAnsi"/>
                <w:b/>
                <w:bCs/>
                <w:sz w:val="28"/>
                <w:szCs w:val="28"/>
              </w:rPr>
              <w:t xml:space="preserve">Total </w:t>
            </w:r>
            <w:r w:rsidRPr="0086324A">
              <w:rPr>
                <w:rFonts w:cstheme="minorHAnsi"/>
                <w:b/>
                <w:bCs/>
                <w:sz w:val="28"/>
                <w:szCs w:val="28"/>
              </w:rPr>
              <w:t>Unallocated</w:t>
            </w:r>
          </w:p>
        </w:tc>
        <w:tc>
          <w:tcPr>
            <w:tcW w:w="2520" w:type="dxa"/>
          </w:tcPr>
          <w:p w:rsidRPr="00955A43" w:rsidR="00E4679A" w:rsidP="00C36678" w:rsidRDefault="00E4679A" w14:paraId="5F4797E9" w14:textId="77777777">
            <w:pPr>
              <w:spacing w:before="10" w:after="10"/>
              <w:jc w:val="center"/>
              <w:rPr>
                <w:rFonts w:cstheme="minorHAnsi"/>
                <w:b/>
                <w:bCs/>
                <w:i/>
                <w:iCs/>
                <w:sz w:val="28"/>
                <w:szCs w:val="28"/>
                <w:highlight w:val="yellow"/>
              </w:rPr>
            </w:pPr>
          </w:p>
        </w:tc>
        <w:tc>
          <w:tcPr>
            <w:tcW w:w="3060" w:type="dxa"/>
          </w:tcPr>
          <w:p w:rsidRPr="00955A43" w:rsidR="00E4679A" w:rsidP="00C36678" w:rsidRDefault="00E4679A" w14:paraId="589BBB81" w14:textId="6E85D1E8">
            <w:pPr>
              <w:spacing w:before="10" w:after="10"/>
              <w:jc w:val="center"/>
              <w:rPr>
                <w:rFonts w:cstheme="minorHAnsi"/>
                <w:b/>
                <w:bCs/>
                <w:i/>
                <w:iCs/>
                <w:sz w:val="28"/>
                <w:szCs w:val="28"/>
                <w:highlight w:val="yellow"/>
              </w:rPr>
            </w:pPr>
          </w:p>
        </w:tc>
        <w:tc>
          <w:tcPr>
            <w:tcW w:w="2070" w:type="dxa"/>
          </w:tcPr>
          <w:p w:rsidRPr="00955A43" w:rsidR="00E4679A" w:rsidP="00C36678" w:rsidRDefault="00E4679A" w14:paraId="51260457" w14:textId="1F23A414">
            <w:pPr>
              <w:spacing w:before="10" w:after="10"/>
              <w:jc w:val="center"/>
              <w:rPr>
                <w:rFonts w:cstheme="minorHAnsi"/>
                <w:b/>
                <w:bCs/>
                <w:sz w:val="28"/>
                <w:szCs w:val="28"/>
                <w:highlight w:val="yellow"/>
              </w:rPr>
            </w:pPr>
            <w:r w:rsidRPr="00E4679A">
              <w:rPr>
                <w:rFonts w:cstheme="minorHAnsi"/>
                <w:b/>
                <w:bCs/>
                <w:sz w:val="28"/>
                <w:szCs w:val="28"/>
              </w:rPr>
              <w:t>$14.5</w:t>
            </w:r>
          </w:p>
        </w:tc>
      </w:tr>
    </w:tbl>
    <w:p w:rsidR="00FD1711" w:rsidP="00724191" w:rsidRDefault="002747DA" w14:paraId="127263A5" w14:textId="09472D57">
      <w:pPr>
        <w:spacing w:before="120" w:after="120" w:line="240" w:lineRule="auto"/>
        <w:ind w:left="720" w:right="1170"/>
        <w:rPr>
          <w:b/>
          <w:i/>
          <w:sz w:val="20"/>
          <w:szCs w:val="20"/>
        </w:rPr>
      </w:pPr>
      <w:r w:rsidRPr="658E36E2">
        <w:rPr>
          <w:b/>
          <w:i/>
          <w:sz w:val="20"/>
          <w:szCs w:val="20"/>
        </w:rPr>
        <w:t>Note</w:t>
      </w:r>
      <w:r w:rsidRPr="658E36E2" w:rsidR="00E4679A">
        <w:rPr>
          <w:b/>
          <w:i/>
          <w:sz w:val="20"/>
          <w:szCs w:val="20"/>
        </w:rPr>
        <w:t>s</w:t>
      </w:r>
      <w:r w:rsidRPr="658E36E2">
        <w:rPr>
          <w:b/>
          <w:i/>
          <w:sz w:val="20"/>
          <w:szCs w:val="20"/>
        </w:rPr>
        <w:t xml:space="preserve">:  </w:t>
      </w:r>
      <w:r w:rsidRPr="658E36E2">
        <w:rPr>
          <w:i/>
          <w:sz w:val="20"/>
          <w:szCs w:val="20"/>
        </w:rPr>
        <w:t>These estimates</w:t>
      </w:r>
      <w:r w:rsidRPr="658E36E2" w:rsidR="001A2F45">
        <w:rPr>
          <w:i/>
          <w:sz w:val="20"/>
          <w:szCs w:val="20"/>
        </w:rPr>
        <w:t xml:space="preserve"> are based on </w:t>
      </w:r>
      <w:r w:rsidRPr="658E36E2">
        <w:rPr>
          <w:i/>
          <w:sz w:val="20"/>
          <w:szCs w:val="20"/>
        </w:rPr>
        <w:t>currently available fiscal capacity</w:t>
      </w:r>
      <w:r w:rsidRPr="658E36E2" w:rsidR="00936DEB">
        <w:rPr>
          <w:i/>
          <w:sz w:val="20"/>
          <w:szCs w:val="20"/>
        </w:rPr>
        <w:t xml:space="preserve"> to track </w:t>
      </w:r>
      <w:r w:rsidRPr="658E36E2" w:rsidR="001A2F45">
        <w:rPr>
          <w:i/>
          <w:sz w:val="20"/>
          <w:szCs w:val="20"/>
        </w:rPr>
        <w:t xml:space="preserve">revenue </w:t>
      </w:r>
      <w:r w:rsidRPr="658E36E2" w:rsidR="00936DEB">
        <w:rPr>
          <w:i/>
          <w:sz w:val="20"/>
          <w:szCs w:val="20"/>
        </w:rPr>
        <w:t xml:space="preserve">and make </w:t>
      </w:r>
      <w:r w:rsidRPr="658E36E2" w:rsidR="002D0536">
        <w:rPr>
          <w:i/>
          <w:sz w:val="20"/>
          <w:szCs w:val="20"/>
        </w:rPr>
        <w:t>ac</w:t>
      </w:r>
      <w:r w:rsidRPr="658E36E2" w:rsidR="001A2F45">
        <w:rPr>
          <w:i/>
          <w:sz w:val="20"/>
          <w:szCs w:val="20"/>
        </w:rPr>
        <w:t xml:space="preserve">curate </w:t>
      </w:r>
      <w:r w:rsidRPr="658E36E2" w:rsidR="00936DEB">
        <w:rPr>
          <w:i/>
          <w:sz w:val="20"/>
          <w:szCs w:val="20"/>
        </w:rPr>
        <w:t>budget pro</w:t>
      </w:r>
      <w:r w:rsidRPr="658E36E2" w:rsidR="001A2F45">
        <w:rPr>
          <w:i/>
          <w:sz w:val="20"/>
          <w:szCs w:val="20"/>
        </w:rPr>
        <w:t>j</w:t>
      </w:r>
      <w:r w:rsidRPr="658E36E2" w:rsidR="00936DEB">
        <w:rPr>
          <w:i/>
          <w:sz w:val="20"/>
          <w:szCs w:val="20"/>
        </w:rPr>
        <w:t>ections.</w:t>
      </w:r>
      <w:r w:rsidRPr="658E36E2" w:rsidR="00955A43">
        <w:rPr>
          <w:i/>
          <w:sz w:val="20"/>
          <w:szCs w:val="20"/>
        </w:rPr>
        <w:t xml:space="preserve"> Due to rounding</w:t>
      </w:r>
      <w:r w:rsidRPr="658E36E2" w:rsidR="001923AF">
        <w:rPr>
          <w:i/>
          <w:sz w:val="20"/>
          <w:szCs w:val="20"/>
        </w:rPr>
        <w:t>, totals may not add up exactly</w:t>
      </w:r>
      <w:r w:rsidRPr="658E36E2" w:rsidR="001923AF">
        <w:rPr>
          <w:i/>
          <w:iCs/>
          <w:sz w:val="20"/>
          <w:szCs w:val="20"/>
        </w:rPr>
        <w:t>,</w:t>
      </w:r>
      <w:r w:rsidRPr="658E36E2" w:rsidR="001923AF">
        <w:rPr>
          <w:i/>
          <w:sz w:val="20"/>
          <w:szCs w:val="20"/>
        </w:rPr>
        <w:t xml:space="preserve"> but amounts are correct.</w:t>
      </w:r>
      <w:r w:rsidRPr="658E36E2" w:rsidR="00CE5584">
        <w:rPr>
          <w:i/>
          <w:sz w:val="20"/>
          <w:szCs w:val="20"/>
        </w:rPr>
        <w:t xml:space="preserve"> </w:t>
      </w:r>
      <w:r w:rsidRPr="658E36E2" w:rsidR="00603CBA">
        <w:rPr>
          <w:i/>
          <w:sz w:val="20"/>
          <w:szCs w:val="20"/>
        </w:rPr>
        <w:t>This is a s</w:t>
      </w:r>
      <w:r w:rsidRPr="658E36E2" w:rsidR="00CE5584">
        <w:rPr>
          <w:i/>
          <w:sz w:val="20"/>
          <w:szCs w:val="20"/>
        </w:rPr>
        <w:t xml:space="preserve">ummary of </w:t>
      </w:r>
      <w:r w:rsidRPr="658E36E2" w:rsidR="00603CBA">
        <w:rPr>
          <w:i/>
          <w:sz w:val="20"/>
          <w:szCs w:val="20"/>
        </w:rPr>
        <w:t xml:space="preserve">more detailed budget information provided </w:t>
      </w:r>
      <w:r w:rsidRPr="658E36E2" w:rsidR="00681342">
        <w:rPr>
          <w:i/>
          <w:sz w:val="20"/>
          <w:szCs w:val="20"/>
        </w:rPr>
        <w:t xml:space="preserve">to the </w:t>
      </w:r>
      <w:r w:rsidRPr="658E36E2" w:rsidR="00603CBA">
        <w:rPr>
          <w:i/>
          <w:sz w:val="20"/>
          <w:szCs w:val="20"/>
        </w:rPr>
        <w:t>Joint Leadership Team</w:t>
      </w:r>
      <w:r w:rsidRPr="658E36E2" w:rsidR="00681342">
        <w:rPr>
          <w:i/>
          <w:sz w:val="20"/>
          <w:szCs w:val="20"/>
        </w:rPr>
        <w:t xml:space="preserve"> </w:t>
      </w:r>
      <w:r w:rsidRPr="658E36E2" w:rsidR="00603CBA">
        <w:rPr>
          <w:i/>
          <w:sz w:val="20"/>
          <w:szCs w:val="20"/>
        </w:rPr>
        <w:t xml:space="preserve">on </w:t>
      </w:r>
      <w:r w:rsidRPr="658E36E2" w:rsidR="00681342">
        <w:rPr>
          <w:i/>
          <w:sz w:val="20"/>
          <w:szCs w:val="20"/>
        </w:rPr>
        <w:t>November 18, 2021</w:t>
      </w:r>
      <w:r w:rsidRPr="658E36E2" w:rsidR="00CE5584">
        <w:rPr>
          <w:i/>
          <w:sz w:val="20"/>
          <w:szCs w:val="20"/>
        </w:rPr>
        <w:t>.</w:t>
      </w:r>
    </w:p>
    <w:p w:rsidRPr="001923AF" w:rsidR="00CA6F2B" w:rsidP="00724191" w:rsidRDefault="00CA6F2B" w14:paraId="65A54DDD" w14:textId="152449BD">
      <w:pPr>
        <w:spacing w:before="120" w:after="120" w:line="240" w:lineRule="auto"/>
        <w:ind w:left="720" w:right="1170"/>
        <w:rPr>
          <w:rFonts w:cstheme="minorHAnsi"/>
          <w:i/>
          <w:iCs/>
          <w:sz w:val="20"/>
          <w:szCs w:val="20"/>
        </w:rPr>
      </w:pPr>
      <w:r w:rsidRPr="001923AF">
        <w:rPr>
          <w:rFonts w:cstheme="minorHAnsi"/>
          <w:i/>
          <w:iCs/>
          <w:sz w:val="20"/>
          <w:szCs w:val="20"/>
          <w:vertAlign w:val="superscript"/>
        </w:rPr>
        <w:t>1</w:t>
      </w:r>
      <w:r w:rsidR="00B20FE1">
        <w:rPr>
          <w:rFonts w:cstheme="minorHAnsi"/>
          <w:i/>
          <w:iCs/>
          <w:sz w:val="20"/>
          <w:szCs w:val="20"/>
        </w:rPr>
        <w:t xml:space="preserve">BM 108 allocation to LPHAs will be determined in conversation with CLHO about </w:t>
      </w:r>
      <w:r w:rsidR="001923AF">
        <w:rPr>
          <w:rFonts w:cstheme="minorHAnsi"/>
          <w:i/>
          <w:iCs/>
          <w:sz w:val="20"/>
          <w:szCs w:val="20"/>
        </w:rPr>
        <w:t xml:space="preserve">funding </w:t>
      </w:r>
      <w:r w:rsidR="00B20FE1">
        <w:rPr>
          <w:rFonts w:cstheme="minorHAnsi"/>
          <w:i/>
          <w:iCs/>
          <w:sz w:val="20"/>
          <w:szCs w:val="20"/>
        </w:rPr>
        <w:t xml:space="preserve">needed </w:t>
      </w:r>
      <w:r w:rsidR="001923AF">
        <w:rPr>
          <w:rFonts w:cstheme="minorHAnsi"/>
          <w:i/>
          <w:iCs/>
          <w:sz w:val="20"/>
          <w:szCs w:val="20"/>
        </w:rPr>
        <w:t>for CBO partnerships development and general capacity building to address</w:t>
      </w:r>
      <w:r w:rsidRPr="001923AF" w:rsidR="001923AF">
        <w:rPr>
          <w:rFonts w:cstheme="minorHAnsi"/>
          <w:i/>
          <w:iCs/>
          <w:sz w:val="20"/>
          <w:szCs w:val="20"/>
        </w:rPr>
        <w:t xml:space="preserve"> tobacco</w:t>
      </w:r>
      <w:r w:rsidR="007B5C20">
        <w:rPr>
          <w:rFonts w:cstheme="minorHAnsi"/>
          <w:i/>
          <w:iCs/>
          <w:sz w:val="20"/>
          <w:szCs w:val="20"/>
        </w:rPr>
        <w:t xml:space="preserve"> use </w:t>
      </w:r>
      <w:r w:rsidRPr="001923AF" w:rsidR="001923AF">
        <w:rPr>
          <w:rFonts w:cstheme="minorHAnsi"/>
          <w:i/>
          <w:iCs/>
          <w:sz w:val="20"/>
          <w:szCs w:val="20"/>
        </w:rPr>
        <w:t xml:space="preserve"> inequities</w:t>
      </w:r>
      <w:r w:rsidR="001923AF">
        <w:rPr>
          <w:rFonts w:cstheme="minorHAnsi"/>
          <w:i/>
          <w:iCs/>
          <w:sz w:val="20"/>
          <w:szCs w:val="20"/>
        </w:rPr>
        <w:t>.</w:t>
      </w:r>
    </w:p>
    <w:p w:rsidRPr="001923AF" w:rsidR="00CA6F2B" w:rsidP="00724191" w:rsidRDefault="00CA6F2B" w14:paraId="50C22A65" w14:textId="2C2D890A">
      <w:pPr>
        <w:spacing w:before="120" w:after="120" w:line="240" w:lineRule="auto"/>
        <w:ind w:left="720" w:right="1170"/>
        <w:rPr>
          <w:rFonts w:cstheme="minorHAnsi"/>
          <w:i/>
          <w:iCs/>
          <w:sz w:val="20"/>
          <w:szCs w:val="20"/>
        </w:rPr>
      </w:pPr>
      <w:r w:rsidRPr="001923AF">
        <w:rPr>
          <w:rFonts w:cstheme="minorHAnsi"/>
          <w:i/>
          <w:iCs/>
          <w:sz w:val="20"/>
          <w:szCs w:val="20"/>
          <w:vertAlign w:val="superscript"/>
        </w:rPr>
        <w:t>2</w:t>
      </w:r>
      <w:r w:rsidR="00361A12">
        <w:rPr>
          <w:rFonts w:cstheme="minorHAnsi"/>
          <w:i/>
          <w:iCs/>
          <w:sz w:val="20"/>
          <w:szCs w:val="20"/>
        </w:rPr>
        <w:t>Similar to LPHAs and Tribes, R</w:t>
      </w:r>
      <w:r w:rsidRPr="001923AF">
        <w:rPr>
          <w:rFonts w:cstheme="minorHAnsi"/>
          <w:i/>
          <w:iCs/>
          <w:sz w:val="20"/>
          <w:szCs w:val="20"/>
        </w:rPr>
        <w:t xml:space="preserve">HECs </w:t>
      </w:r>
      <w:r w:rsidR="00361A12">
        <w:rPr>
          <w:rFonts w:cstheme="minorHAnsi"/>
          <w:i/>
          <w:iCs/>
          <w:sz w:val="20"/>
          <w:szCs w:val="20"/>
        </w:rPr>
        <w:t xml:space="preserve">were provided funding consistent with previous biennia to support </w:t>
      </w:r>
      <w:r w:rsidR="00652935">
        <w:rPr>
          <w:rFonts w:cstheme="minorHAnsi"/>
          <w:i/>
          <w:iCs/>
          <w:sz w:val="20"/>
          <w:szCs w:val="20"/>
        </w:rPr>
        <w:t xml:space="preserve">community capacity for health </w:t>
      </w:r>
      <w:r w:rsidR="00361A12">
        <w:rPr>
          <w:rFonts w:cstheme="minorHAnsi"/>
          <w:i/>
          <w:iCs/>
          <w:sz w:val="20"/>
          <w:szCs w:val="20"/>
        </w:rPr>
        <w:t>equity; this funding reflects a different scope of work than the new CBO grant program</w:t>
      </w:r>
      <w:r w:rsidR="009D5373">
        <w:rPr>
          <w:rFonts w:cstheme="minorHAnsi"/>
          <w:i/>
          <w:iCs/>
          <w:sz w:val="20"/>
          <w:szCs w:val="20"/>
        </w:rPr>
        <w:t xml:space="preserve"> for which RHECs were eligible to apply.</w:t>
      </w:r>
    </w:p>
    <w:p w:rsidRPr="001923AF" w:rsidR="00E4679A" w:rsidP="00724191" w:rsidRDefault="00E4679A" w14:paraId="46802242" w14:textId="63D82C7D">
      <w:pPr>
        <w:spacing w:before="120" w:after="120" w:line="240" w:lineRule="auto"/>
        <w:ind w:left="720" w:right="1170"/>
        <w:rPr>
          <w:rFonts w:cstheme="minorHAnsi"/>
          <w:i/>
          <w:iCs/>
          <w:sz w:val="20"/>
          <w:szCs w:val="20"/>
        </w:rPr>
      </w:pPr>
      <w:r w:rsidRPr="001923AF">
        <w:rPr>
          <w:rFonts w:cstheme="minorHAnsi"/>
          <w:i/>
          <w:iCs/>
          <w:sz w:val="20"/>
          <w:szCs w:val="20"/>
          <w:vertAlign w:val="superscript"/>
        </w:rPr>
        <w:t>3</w:t>
      </w:r>
      <w:r w:rsidR="00652935">
        <w:rPr>
          <w:rFonts w:cstheme="minorHAnsi"/>
          <w:i/>
          <w:iCs/>
          <w:sz w:val="20"/>
          <w:szCs w:val="20"/>
        </w:rPr>
        <w:t>OHA c</w:t>
      </w:r>
      <w:r w:rsidRPr="001923AF">
        <w:rPr>
          <w:rFonts w:cstheme="minorHAnsi"/>
          <w:i/>
          <w:iCs/>
          <w:sz w:val="20"/>
          <w:szCs w:val="20"/>
        </w:rPr>
        <w:t>ost allocation</w:t>
      </w:r>
      <w:r w:rsidR="00652935">
        <w:rPr>
          <w:rFonts w:cstheme="minorHAnsi"/>
          <w:i/>
          <w:iCs/>
          <w:sz w:val="20"/>
          <w:szCs w:val="20"/>
        </w:rPr>
        <w:t xml:space="preserve"> </w:t>
      </w:r>
      <w:r w:rsidRPr="00652935" w:rsidR="00652935">
        <w:rPr>
          <w:rFonts w:cstheme="minorHAnsi"/>
          <w:i/>
          <w:iCs/>
          <w:sz w:val="20"/>
          <w:szCs w:val="20"/>
        </w:rPr>
        <w:t>covers services shared by all programs in OHA such as accounting, payroll, human resources, information technology, as well as building operating and maintenance costs. (Almost all funds managed by OHA are subject to a 17.46% cost allocation rate.)</w:t>
      </w:r>
    </w:p>
    <w:p w:rsidR="00E25AD8" w:rsidP="00E25AD8" w:rsidRDefault="00E25AD8" w14:paraId="27D775DA" w14:textId="77777777">
      <w:pPr>
        <w:pStyle w:val="ListParagraph"/>
        <w:spacing w:before="120" w:after="120" w:line="240" w:lineRule="auto"/>
        <w:ind w:left="360"/>
        <w:contextualSpacing w:val="0"/>
        <w:rPr>
          <w:rFonts w:cstheme="minorHAnsi"/>
          <w:sz w:val="28"/>
          <w:szCs w:val="28"/>
        </w:rPr>
      </w:pPr>
    </w:p>
    <w:p w:rsidR="00C34F12" w:rsidP="00C34F12" w:rsidRDefault="00C34F12" w14:paraId="74DFBAC8" w14:textId="14309BD8">
      <w:pPr>
        <w:pStyle w:val="ListParagraph"/>
        <w:numPr>
          <w:ilvl w:val="0"/>
          <w:numId w:val="11"/>
        </w:numPr>
        <w:spacing w:before="120" w:after="120" w:line="240" w:lineRule="auto"/>
        <w:contextualSpacing w:val="0"/>
        <w:rPr>
          <w:rFonts w:cstheme="minorHAnsi"/>
          <w:sz w:val="28"/>
          <w:szCs w:val="28"/>
        </w:rPr>
      </w:pPr>
      <w:r w:rsidRPr="00732CAE">
        <w:rPr>
          <w:rFonts w:cstheme="minorHAnsi"/>
          <w:sz w:val="28"/>
          <w:szCs w:val="28"/>
        </w:rPr>
        <w:lastRenderedPageBreak/>
        <w:t xml:space="preserve">The </w:t>
      </w:r>
      <w:r w:rsidR="009B200F">
        <w:rPr>
          <w:rFonts w:cstheme="minorHAnsi"/>
          <w:sz w:val="28"/>
          <w:szCs w:val="28"/>
        </w:rPr>
        <w:t xml:space="preserve">overall </w:t>
      </w:r>
      <w:r w:rsidRPr="00732CAE">
        <w:rPr>
          <w:rFonts w:cstheme="minorHAnsi"/>
          <w:sz w:val="28"/>
          <w:szCs w:val="28"/>
        </w:rPr>
        <w:t>total estimated tobacco tax revenue</w:t>
      </w:r>
      <w:r w:rsidR="009B200F">
        <w:rPr>
          <w:rFonts w:cstheme="minorHAnsi"/>
          <w:sz w:val="28"/>
          <w:szCs w:val="28"/>
        </w:rPr>
        <w:t xml:space="preserve"> is </w:t>
      </w:r>
      <w:r w:rsidRPr="00732CAE">
        <w:rPr>
          <w:rFonts w:cstheme="minorHAnsi"/>
          <w:sz w:val="28"/>
          <w:szCs w:val="28"/>
        </w:rPr>
        <w:t xml:space="preserve">$73.8 million in 2021-2023. </w:t>
      </w:r>
    </w:p>
    <w:p w:rsidRPr="009B200F" w:rsidR="00C34F12" w:rsidP="00C34F12" w:rsidRDefault="00C34F12" w14:paraId="460D75A7" w14:textId="5F152AC3">
      <w:pPr>
        <w:pStyle w:val="ListParagraph"/>
        <w:numPr>
          <w:ilvl w:val="0"/>
          <w:numId w:val="11"/>
        </w:numPr>
        <w:spacing w:before="120" w:after="120" w:line="240" w:lineRule="auto"/>
        <w:contextualSpacing w:val="0"/>
        <w:rPr>
          <w:rFonts w:cstheme="minorHAnsi"/>
          <w:sz w:val="28"/>
          <w:szCs w:val="28"/>
        </w:rPr>
      </w:pPr>
      <w:r w:rsidRPr="00732CAE">
        <w:rPr>
          <w:rFonts w:cstheme="minorHAnsi"/>
          <w:sz w:val="28"/>
          <w:szCs w:val="28"/>
        </w:rPr>
        <w:t>Th</w:t>
      </w:r>
      <w:r w:rsidRPr="009B200F">
        <w:rPr>
          <w:rFonts w:cstheme="minorHAnsi"/>
          <w:sz w:val="28"/>
          <w:szCs w:val="28"/>
        </w:rPr>
        <w:t>is includes an estimated $12.6 million from Measure (M) 44 and $42.8 million from Ballot Measure (BM) 108.</w:t>
      </w:r>
    </w:p>
    <w:p w:rsidRPr="00732CAE" w:rsidR="00C34F12" w:rsidP="00C34F12" w:rsidRDefault="00C34F12" w14:paraId="0D677032" w14:textId="2484877E">
      <w:pPr>
        <w:pStyle w:val="ListParagraph"/>
        <w:numPr>
          <w:ilvl w:val="0"/>
          <w:numId w:val="11"/>
        </w:numPr>
        <w:spacing w:before="120" w:after="120" w:line="240" w:lineRule="auto"/>
        <w:contextualSpacing w:val="0"/>
        <w:rPr>
          <w:rFonts w:cstheme="minorHAnsi"/>
          <w:sz w:val="28"/>
          <w:szCs w:val="28"/>
        </w:rPr>
      </w:pPr>
      <w:r w:rsidRPr="00732CAE">
        <w:rPr>
          <w:rFonts w:cstheme="minorHAnsi"/>
          <w:sz w:val="28"/>
          <w:szCs w:val="28"/>
        </w:rPr>
        <w:t>This also include</w:t>
      </w:r>
      <w:r w:rsidR="00E41A92">
        <w:rPr>
          <w:rFonts w:cstheme="minorHAnsi"/>
          <w:sz w:val="28"/>
          <w:szCs w:val="28"/>
        </w:rPr>
        <w:t>s</w:t>
      </w:r>
      <w:r w:rsidRPr="00732CAE">
        <w:rPr>
          <w:rFonts w:cstheme="minorHAnsi"/>
          <w:sz w:val="28"/>
          <w:szCs w:val="28"/>
        </w:rPr>
        <w:t xml:space="preserve"> $2.8 million in M 44 and $15.6 million in BM 108 “carry over” funds that were unspent in 2019-2021.</w:t>
      </w:r>
    </w:p>
    <w:p w:rsidRPr="00732CAE" w:rsidR="00C34F12" w:rsidP="00C34F12" w:rsidRDefault="00C34F12" w14:paraId="5447F08D" w14:textId="4117951E">
      <w:pPr>
        <w:pStyle w:val="ListParagraph"/>
        <w:numPr>
          <w:ilvl w:val="0"/>
          <w:numId w:val="11"/>
        </w:numPr>
        <w:spacing w:before="120" w:after="120" w:line="240" w:lineRule="auto"/>
        <w:contextualSpacing w:val="0"/>
        <w:rPr>
          <w:rFonts w:cstheme="minorHAnsi"/>
          <w:sz w:val="28"/>
          <w:szCs w:val="28"/>
        </w:rPr>
      </w:pPr>
      <w:r w:rsidRPr="00732CAE">
        <w:rPr>
          <w:rFonts w:cstheme="minorHAnsi"/>
          <w:sz w:val="28"/>
          <w:szCs w:val="28"/>
        </w:rPr>
        <w:t>Currently, $59.3 million has been budgeted, including $9 million requested by county Tobacco Prevention and Education Programs (TPEP); $8.1</w:t>
      </w:r>
      <w:r w:rsidR="00F62305">
        <w:rPr>
          <w:rFonts w:cstheme="minorHAnsi"/>
          <w:sz w:val="28"/>
          <w:szCs w:val="28"/>
        </w:rPr>
        <w:t xml:space="preserve"> </w:t>
      </w:r>
      <w:r w:rsidRPr="00732CAE">
        <w:rPr>
          <w:rFonts w:cstheme="minorHAnsi"/>
          <w:sz w:val="28"/>
          <w:szCs w:val="28"/>
        </w:rPr>
        <w:t>million to tribes after a formal consultation process with OHA; and $20 million to community-based organizations and Regional Health Equity Coalitions (and county-CBO partnerships) after a 9-month community-led allocation planning process.</w:t>
      </w:r>
    </w:p>
    <w:p w:rsidR="00E6147E" w:rsidP="00E6147E" w:rsidRDefault="00C34F12" w14:paraId="29EF2FF4" w14:textId="682B1AD5">
      <w:pPr>
        <w:pStyle w:val="ListParagraph"/>
        <w:numPr>
          <w:ilvl w:val="0"/>
          <w:numId w:val="11"/>
        </w:numPr>
        <w:spacing w:before="120" w:after="120" w:line="240" w:lineRule="auto"/>
        <w:contextualSpacing w:val="0"/>
        <w:rPr>
          <w:rFonts w:cstheme="minorHAnsi"/>
          <w:sz w:val="28"/>
          <w:szCs w:val="28"/>
        </w:rPr>
      </w:pPr>
      <w:r w:rsidRPr="00732CAE">
        <w:rPr>
          <w:rFonts w:cstheme="minorHAnsi"/>
          <w:sz w:val="28"/>
          <w:szCs w:val="28"/>
        </w:rPr>
        <w:t>In addition, $4.</w:t>
      </w:r>
      <w:r w:rsidR="00DB3F18">
        <w:rPr>
          <w:rFonts w:cstheme="minorHAnsi"/>
          <w:sz w:val="28"/>
          <w:szCs w:val="28"/>
        </w:rPr>
        <w:t>8</w:t>
      </w:r>
      <w:r w:rsidRPr="00732CAE">
        <w:rPr>
          <w:rFonts w:cstheme="minorHAnsi"/>
          <w:sz w:val="28"/>
          <w:szCs w:val="28"/>
        </w:rPr>
        <w:t xml:space="preserve"> million is budgeted for contracts that provide statewide supports to community grantees and the public, including cessation supports, health communications, data collection and evaluation</w:t>
      </w:r>
      <w:r w:rsidR="00A661B6">
        <w:rPr>
          <w:rFonts w:cstheme="minorHAnsi"/>
          <w:sz w:val="28"/>
          <w:szCs w:val="28"/>
        </w:rPr>
        <w:t>, and training and technical assistance</w:t>
      </w:r>
      <w:r w:rsidRPr="00732CAE">
        <w:rPr>
          <w:rFonts w:cstheme="minorHAnsi"/>
          <w:sz w:val="28"/>
          <w:szCs w:val="28"/>
        </w:rPr>
        <w:t>.</w:t>
      </w:r>
    </w:p>
    <w:p w:rsidRPr="00E6147E" w:rsidR="00C34F12" w:rsidP="00E6147E" w:rsidRDefault="00C34F12" w14:paraId="59F31AE1" w14:textId="62C2E10D">
      <w:pPr>
        <w:pStyle w:val="ListParagraph"/>
        <w:numPr>
          <w:ilvl w:val="0"/>
          <w:numId w:val="11"/>
        </w:numPr>
        <w:spacing w:before="120" w:after="120" w:line="240" w:lineRule="auto"/>
        <w:contextualSpacing w:val="0"/>
        <w:rPr>
          <w:rFonts w:cstheme="minorHAnsi"/>
          <w:sz w:val="28"/>
          <w:szCs w:val="28"/>
        </w:rPr>
      </w:pPr>
      <w:r w:rsidRPr="00E6147E">
        <w:rPr>
          <w:rFonts w:cstheme="minorHAnsi"/>
          <w:sz w:val="28"/>
          <w:szCs w:val="28"/>
        </w:rPr>
        <w:t>Lastly, $</w:t>
      </w:r>
      <w:r w:rsidR="00A661B6">
        <w:rPr>
          <w:rFonts w:cstheme="minorHAnsi"/>
          <w:sz w:val="28"/>
          <w:szCs w:val="28"/>
        </w:rPr>
        <w:t>6.1</w:t>
      </w:r>
      <w:r w:rsidRPr="00E6147E">
        <w:rPr>
          <w:rFonts w:cstheme="minorHAnsi"/>
          <w:sz w:val="28"/>
          <w:szCs w:val="28"/>
        </w:rPr>
        <w:t xml:space="preserve"> million is budgeted to state personnel</w:t>
      </w:r>
      <w:r w:rsidR="00A661B6">
        <w:rPr>
          <w:rFonts w:cstheme="minorHAnsi"/>
          <w:sz w:val="28"/>
          <w:szCs w:val="28"/>
        </w:rPr>
        <w:t xml:space="preserve">, </w:t>
      </w:r>
      <w:r w:rsidR="00706605">
        <w:rPr>
          <w:rFonts w:cstheme="minorHAnsi"/>
          <w:sz w:val="28"/>
          <w:szCs w:val="28"/>
        </w:rPr>
        <w:t>fees, and supplies, as well as</w:t>
      </w:r>
      <w:r w:rsidRPr="00E6147E">
        <w:rPr>
          <w:rFonts w:cstheme="minorHAnsi"/>
          <w:sz w:val="28"/>
          <w:szCs w:val="28"/>
        </w:rPr>
        <w:t xml:space="preserve"> $</w:t>
      </w:r>
      <w:r w:rsidR="008B42E7">
        <w:rPr>
          <w:rFonts w:cstheme="minorHAnsi"/>
          <w:sz w:val="28"/>
          <w:szCs w:val="28"/>
        </w:rPr>
        <w:t>0.8</w:t>
      </w:r>
      <w:r w:rsidRPr="00E6147E">
        <w:rPr>
          <w:rFonts w:cstheme="minorHAnsi"/>
          <w:sz w:val="28"/>
          <w:szCs w:val="28"/>
        </w:rPr>
        <w:t xml:space="preserve"> million to startup costs for the new tobacco retail licensing program</w:t>
      </w:r>
      <w:r w:rsidR="00706605">
        <w:rPr>
          <w:rFonts w:cstheme="minorHAnsi"/>
          <w:sz w:val="28"/>
          <w:szCs w:val="28"/>
        </w:rPr>
        <w:t xml:space="preserve"> (a one-time expenditure)</w:t>
      </w:r>
      <w:r w:rsidRPr="00E6147E">
        <w:rPr>
          <w:rFonts w:cstheme="minorHAnsi"/>
          <w:sz w:val="28"/>
          <w:szCs w:val="28"/>
        </w:rPr>
        <w:t xml:space="preserve">. </w:t>
      </w:r>
    </w:p>
    <w:p w:rsidRPr="000832A2" w:rsidR="00541565" w:rsidP="00CF15C5" w:rsidRDefault="000832A2" w14:paraId="45EB616B" w14:textId="2AB8825F">
      <w:pPr>
        <w:pStyle w:val="ListParagraph"/>
        <w:numPr>
          <w:ilvl w:val="0"/>
          <w:numId w:val="11"/>
        </w:numPr>
        <w:spacing w:before="80" w:after="192" w:afterLines="80"/>
        <w:contextualSpacing w:val="0"/>
        <w:rPr>
          <w:rFonts w:cstheme="minorHAnsi"/>
          <w:sz w:val="28"/>
          <w:szCs w:val="28"/>
        </w:rPr>
      </w:pPr>
      <w:r w:rsidRPr="000832A2">
        <w:rPr>
          <w:rFonts w:cstheme="minorHAnsi"/>
          <w:sz w:val="28"/>
          <w:szCs w:val="28"/>
        </w:rPr>
        <w:t>Currently, $</w:t>
      </w:r>
      <w:r w:rsidRPr="0033214F">
        <w:rPr>
          <w:rFonts w:cstheme="minorHAnsi"/>
          <w:sz w:val="28"/>
          <w:szCs w:val="28"/>
        </w:rPr>
        <w:t>59.3 million has been budgeted (out of a total $73.8 million).</w:t>
      </w:r>
      <w:r w:rsidRPr="000832A2">
        <w:rPr>
          <w:rFonts w:cstheme="minorHAnsi"/>
          <w:sz w:val="28"/>
          <w:szCs w:val="28"/>
        </w:rPr>
        <w:t xml:space="preserve"> </w:t>
      </w:r>
      <w:r w:rsidRPr="000832A2" w:rsidR="00541565">
        <w:rPr>
          <w:rFonts w:cstheme="minorHAnsi"/>
          <w:sz w:val="28"/>
          <w:szCs w:val="28"/>
        </w:rPr>
        <w:t xml:space="preserve">About $14.5 million in tobacco tax revenue has not yet been budgeted for 2021-2023. This unbudgeted amount reflects significant carryover from AY 21 and OHA does not anticipate carryover of this magnitude in future biennia. </w:t>
      </w:r>
    </w:p>
    <w:p w:rsidR="00541565" w:rsidP="00541565" w:rsidRDefault="00541565" w14:paraId="72051CDC" w14:textId="77777777">
      <w:pPr>
        <w:pStyle w:val="ListParagraph"/>
        <w:numPr>
          <w:ilvl w:val="0"/>
          <w:numId w:val="11"/>
        </w:numPr>
        <w:spacing w:before="80" w:after="192" w:afterLines="80"/>
        <w:contextualSpacing w:val="0"/>
        <w:rPr>
          <w:rFonts w:cstheme="minorHAnsi"/>
          <w:sz w:val="28"/>
          <w:szCs w:val="28"/>
        </w:rPr>
      </w:pPr>
      <w:r w:rsidRPr="00732CAE">
        <w:rPr>
          <w:rFonts w:cstheme="minorHAnsi"/>
          <w:sz w:val="28"/>
          <w:szCs w:val="28"/>
        </w:rPr>
        <w:t>Total revenues from tobacco taxes will diminish over time as tobacco use initiation decreases and more people quit using tobacco.</w:t>
      </w:r>
    </w:p>
    <w:p w:rsidRPr="00732CAE" w:rsidR="00FA7570" w:rsidP="0021226B" w:rsidRDefault="00396035" w14:paraId="3B4C3F6D" w14:textId="582BFADD">
      <w:pPr>
        <w:pStyle w:val="ListParagraph"/>
        <w:numPr>
          <w:ilvl w:val="0"/>
          <w:numId w:val="11"/>
        </w:numPr>
        <w:spacing w:before="120" w:after="192" w:afterLines="80" w:line="240" w:lineRule="auto"/>
        <w:contextualSpacing w:val="0"/>
        <w:rPr>
          <w:rFonts w:cstheme="minorHAnsi"/>
          <w:sz w:val="28"/>
          <w:szCs w:val="28"/>
        </w:rPr>
      </w:pPr>
      <w:r>
        <w:rPr>
          <w:rFonts w:cstheme="minorHAnsi"/>
          <w:sz w:val="28"/>
          <w:szCs w:val="28"/>
        </w:rPr>
        <w:t xml:space="preserve">Finally, </w:t>
      </w:r>
      <w:r w:rsidRPr="00732CAE" w:rsidR="00D3784B">
        <w:rPr>
          <w:rFonts w:cstheme="minorHAnsi"/>
          <w:sz w:val="28"/>
          <w:szCs w:val="28"/>
        </w:rPr>
        <w:t xml:space="preserve">OHA </w:t>
      </w:r>
      <w:r w:rsidRPr="00732CAE" w:rsidR="00FA7570">
        <w:rPr>
          <w:rFonts w:cstheme="minorHAnsi"/>
          <w:sz w:val="28"/>
          <w:szCs w:val="28"/>
        </w:rPr>
        <w:t>consider</w:t>
      </w:r>
      <w:r w:rsidRPr="00732CAE" w:rsidR="005B0CD9">
        <w:rPr>
          <w:rFonts w:cstheme="minorHAnsi"/>
          <w:sz w:val="28"/>
          <w:szCs w:val="28"/>
        </w:rPr>
        <w:t>s</w:t>
      </w:r>
      <w:r w:rsidRPr="00732CAE" w:rsidR="00FA7570">
        <w:rPr>
          <w:rFonts w:cstheme="minorHAnsi"/>
          <w:sz w:val="28"/>
          <w:szCs w:val="28"/>
        </w:rPr>
        <w:t xml:space="preserve"> what </w:t>
      </w:r>
      <w:r w:rsidRPr="00732CAE" w:rsidR="00D3784B">
        <w:rPr>
          <w:rFonts w:cstheme="minorHAnsi"/>
          <w:sz w:val="28"/>
          <w:szCs w:val="28"/>
        </w:rPr>
        <w:t xml:space="preserve">resources are needed </w:t>
      </w:r>
      <w:r w:rsidR="00E6147E">
        <w:rPr>
          <w:rFonts w:cstheme="minorHAnsi"/>
          <w:sz w:val="28"/>
          <w:szCs w:val="28"/>
        </w:rPr>
        <w:t xml:space="preserve">to support </w:t>
      </w:r>
      <w:r w:rsidRPr="00732CAE" w:rsidR="00FA7570">
        <w:rPr>
          <w:rFonts w:cstheme="minorHAnsi"/>
          <w:sz w:val="28"/>
          <w:szCs w:val="28"/>
        </w:rPr>
        <w:t>statewide infrastructure (e.g., cessation, communications, evaluation)</w:t>
      </w:r>
      <w:r w:rsidRPr="00732CAE" w:rsidR="00630500">
        <w:rPr>
          <w:rFonts w:cstheme="minorHAnsi"/>
          <w:sz w:val="28"/>
          <w:szCs w:val="28"/>
        </w:rPr>
        <w:t xml:space="preserve">. Applying </w:t>
      </w:r>
      <w:r w:rsidRPr="00732CAE" w:rsidR="00FA7570">
        <w:rPr>
          <w:rFonts w:cstheme="minorHAnsi"/>
          <w:sz w:val="28"/>
          <w:szCs w:val="28"/>
        </w:rPr>
        <w:t>CDC recommendations to the unbudgeted revenues,</w:t>
      </w:r>
      <w:r w:rsidRPr="00732CAE" w:rsidR="009A1328">
        <w:rPr>
          <w:rFonts w:cstheme="minorHAnsi"/>
          <w:sz w:val="28"/>
          <w:szCs w:val="28"/>
        </w:rPr>
        <w:t xml:space="preserve"> allocations for statewide infrastructure </w:t>
      </w:r>
      <w:r w:rsidR="00180FE9">
        <w:rPr>
          <w:rFonts w:cstheme="minorHAnsi"/>
          <w:sz w:val="28"/>
          <w:szCs w:val="28"/>
        </w:rPr>
        <w:t>c</w:t>
      </w:r>
      <w:r w:rsidRPr="00732CAE" w:rsidR="009A1328">
        <w:rPr>
          <w:rFonts w:cstheme="minorHAnsi"/>
          <w:sz w:val="28"/>
          <w:szCs w:val="28"/>
        </w:rPr>
        <w:t xml:space="preserve">ould </w:t>
      </w:r>
      <w:r w:rsidRPr="00E91A80" w:rsidR="009A1328">
        <w:rPr>
          <w:rFonts w:cstheme="minorHAnsi"/>
          <w:sz w:val="28"/>
          <w:szCs w:val="28"/>
        </w:rPr>
        <w:t>include</w:t>
      </w:r>
      <w:r w:rsidRPr="00E91A80" w:rsidR="00FA7570">
        <w:rPr>
          <w:rFonts w:cstheme="minorHAnsi"/>
          <w:sz w:val="28"/>
          <w:szCs w:val="28"/>
        </w:rPr>
        <w:t xml:space="preserve"> $7.8 million to</w:t>
      </w:r>
      <w:r w:rsidRPr="00732CAE" w:rsidR="00FA7570">
        <w:rPr>
          <w:rFonts w:cstheme="minorHAnsi"/>
          <w:sz w:val="28"/>
          <w:szCs w:val="28"/>
        </w:rPr>
        <w:t xml:space="preserve"> statewide supports for cessation ($4.2 million), health communications ($2.3 million) and data collection and evaluation ($1.3 million).</w:t>
      </w:r>
      <w:r>
        <w:rPr>
          <w:rFonts w:cstheme="minorHAnsi"/>
          <w:sz w:val="28"/>
          <w:szCs w:val="28"/>
        </w:rPr>
        <w:t xml:space="preserve"> </w:t>
      </w:r>
      <w:r w:rsidR="00DB6FAC">
        <w:rPr>
          <w:rFonts w:cstheme="minorHAnsi"/>
          <w:sz w:val="28"/>
          <w:szCs w:val="28"/>
        </w:rPr>
        <w:t>This funding would be</w:t>
      </w:r>
      <w:r w:rsidRPr="00DB6FAC" w:rsidR="00DB6FAC">
        <w:rPr>
          <w:rFonts w:cstheme="minorHAnsi"/>
          <w:sz w:val="28"/>
          <w:szCs w:val="28"/>
        </w:rPr>
        <w:t xml:space="preserve"> used to maintain and build on existing equity-focused state TPEP </w:t>
      </w:r>
      <w:r w:rsidR="00DB6FAC">
        <w:rPr>
          <w:rFonts w:cstheme="minorHAnsi"/>
          <w:sz w:val="28"/>
          <w:szCs w:val="28"/>
        </w:rPr>
        <w:t xml:space="preserve">activities, as well as </w:t>
      </w:r>
      <w:r w:rsidRPr="00E91A80" w:rsidR="00E91A80">
        <w:rPr>
          <w:rFonts w:cstheme="minorHAnsi"/>
          <w:sz w:val="28"/>
          <w:szCs w:val="28"/>
        </w:rPr>
        <w:t>support emerging training and technical assistance needs from new CBO grantees and from counties that are centering community collaboration in their revised scopes of work.</w:t>
      </w:r>
      <w:r>
        <w:rPr>
          <w:rFonts w:cstheme="minorHAnsi"/>
          <w:sz w:val="28"/>
          <w:szCs w:val="28"/>
        </w:rPr>
        <w:t xml:space="preserve"> These are recommendations and will be determined</w:t>
      </w:r>
      <w:r w:rsidR="00865ADD">
        <w:rPr>
          <w:rFonts w:cstheme="minorHAnsi"/>
          <w:sz w:val="28"/>
          <w:szCs w:val="28"/>
        </w:rPr>
        <w:t xml:space="preserve"> after final negotiations are completed with LPHA’s.</w:t>
      </w:r>
    </w:p>
    <w:p w:rsidRPr="00732CAE" w:rsidR="00AD4D61" w:rsidP="00AD4D61" w:rsidRDefault="00AD4D61" w14:paraId="3807ED04" w14:textId="77777777">
      <w:pPr>
        <w:pStyle w:val="ListParagraph"/>
        <w:rPr>
          <w:rFonts w:cstheme="minorHAnsi"/>
          <w:sz w:val="28"/>
          <w:szCs w:val="28"/>
        </w:rPr>
      </w:pPr>
    </w:p>
    <w:p w:rsidR="00844D7A" w:rsidP="00E15A2B" w:rsidRDefault="00844D7A" w14:paraId="679E6560" w14:textId="77777777">
      <w:pPr>
        <w:ind w:left="360"/>
        <w:rPr>
          <w:rFonts w:ascii="Arial" w:hAnsi="Arial" w:cs="Arial"/>
          <w:i/>
          <w:iCs/>
        </w:rPr>
      </w:pPr>
    </w:p>
    <w:p w:rsidR="00844D7A" w:rsidP="00E15A2B" w:rsidRDefault="000C70D6" w14:paraId="2BCB5321" w14:textId="501D83F2">
      <w:pPr>
        <w:ind w:left="360"/>
        <w:rPr>
          <w:rFonts w:ascii="Arial" w:hAnsi="Arial" w:cs="Arial"/>
          <w:i/>
          <w:iCs/>
        </w:rPr>
      </w:pPr>
      <w:r>
        <w:rPr>
          <w:rFonts w:ascii="Arial" w:hAnsi="Arial" w:cs="Arial"/>
          <w:i/>
          <w:iCs/>
          <w:noProof/>
        </w:rPr>
        <w:lastRenderedPageBreak/>
        <w:drawing>
          <wp:anchor distT="0" distB="0" distL="114300" distR="114300" simplePos="0" relativeHeight="251659264" behindDoc="0" locked="0" layoutInCell="1" allowOverlap="1" wp14:anchorId="1898BED0" wp14:editId="3401FA3F">
            <wp:simplePos x="685800" y="457200"/>
            <wp:positionH relativeFrom="margin">
              <wp:align>center</wp:align>
            </wp:positionH>
            <wp:positionV relativeFrom="margin">
              <wp:align>center</wp:align>
            </wp:positionV>
            <wp:extent cx="8919915" cy="5257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r="1573"/>
                    <a:stretch/>
                  </pic:blipFill>
                  <pic:spPr bwMode="auto">
                    <a:xfrm>
                      <a:off x="0" y="0"/>
                      <a:ext cx="8919915" cy="5257800"/>
                    </a:xfrm>
                    <a:prstGeom prst="rect">
                      <a:avLst/>
                    </a:prstGeom>
                    <a:noFill/>
                    <a:ln>
                      <a:noFill/>
                    </a:ln>
                    <a:extLst>
                      <a:ext uri="{53640926-AAD7-44D8-BBD7-CCE9431645EC}">
                        <a14:shadowObscured xmlns:a14="http://schemas.microsoft.com/office/drawing/2010/main"/>
                      </a:ext>
                    </a:extLst>
                  </pic:spPr>
                </pic:pic>
              </a:graphicData>
            </a:graphic>
          </wp:anchor>
        </w:drawing>
      </w:r>
    </w:p>
    <w:p w:rsidR="00844D7A" w:rsidP="00E15A2B" w:rsidRDefault="00844D7A" w14:paraId="7DB9A2D3" w14:textId="77777777">
      <w:pPr>
        <w:ind w:left="360"/>
        <w:rPr>
          <w:rFonts w:ascii="Arial" w:hAnsi="Arial" w:cs="Arial"/>
          <w:i/>
          <w:iCs/>
        </w:rPr>
      </w:pPr>
    </w:p>
    <w:p w:rsidR="00844D7A" w:rsidP="00E15A2B" w:rsidRDefault="00844D7A" w14:paraId="3D30E449" w14:textId="77777777">
      <w:pPr>
        <w:ind w:left="360"/>
        <w:rPr>
          <w:rFonts w:ascii="Arial" w:hAnsi="Arial" w:cs="Arial"/>
          <w:i/>
          <w:iCs/>
        </w:rPr>
      </w:pPr>
    </w:p>
    <w:p w:rsidR="00844D7A" w:rsidP="00E15A2B" w:rsidRDefault="00844D7A" w14:paraId="3AB9DDDC" w14:textId="77777777">
      <w:pPr>
        <w:ind w:left="360"/>
        <w:rPr>
          <w:rFonts w:ascii="Arial" w:hAnsi="Arial" w:cs="Arial"/>
          <w:i/>
          <w:iCs/>
        </w:rPr>
      </w:pPr>
    </w:p>
    <w:p w:rsidRPr="00282234" w:rsidR="00282234" w:rsidP="76F6AE88" w:rsidRDefault="00AB6902" w14:paraId="7C969989" w14:textId="17B2A03C">
      <w:pPr>
        <w:ind w:left="360"/>
        <w:rPr>
          <w:rFonts w:ascii="Arial" w:hAnsi="Arial" w:cs="Arial"/>
          <w:i w:val="1"/>
          <w:iCs w:val="1"/>
        </w:rPr>
      </w:pPr>
    </w:p>
    <w:sectPr w:rsidRPr="00282234" w:rsidR="00282234" w:rsidSect="001331AA">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49F3" w:rsidP="00282234" w:rsidRDefault="00B249F3" w14:paraId="22A0F29F" w14:textId="77777777">
      <w:pPr>
        <w:spacing w:after="0" w:line="240" w:lineRule="auto"/>
      </w:pPr>
      <w:r>
        <w:separator/>
      </w:r>
    </w:p>
  </w:endnote>
  <w:endnote w:type="continuationSeparator" w:id="0">
    <w:p w:rsidR="00B249F3" w:rsidP="00282234" w:rsidRDefault="00B249F3" w14:paraId="77EDDA7B" w14:textId="77777777">
      <w:pPr>
        <w:spacing w:after="0" w:line="240" w:lineRule="auto"/>
      </w:pPr>
      <w:r>
        <w:continuationSeparator/>
      </w:r>
    </w:p>
  </w:endnote>
  <w:endnote w:type="continuationNotice" w:id="1">
    <w:p w:rsidR="003E432D" w:rsidRDefault="003E432D" w14:paraId="280A4B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162113"/>
      <w:docPartObj>
        <w:docPartGallery w:val="Page Numbers (Bottom of Page)"/>
        <w:docPartUnique/>
      </w:docPartObj>
    </w:sdtPr>
    <w:sdtEndPr>
      <w:rPr>
        <w:noProof/>
      </w:rPr>
    </w:sdtEndPr>
    <w:sdtContent>
      <w:p w:rsidR="00282234" w:rsidRDefault="00282234" w14:paraId="6D90EFA8" w14:textId="79E3D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2234" w:rsidRDefault="00282234" w14:paraId="331502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49F3" w:rsidP="00282234" w:rsidRDefault="00B249F3" w14:paraId="22FD550E" w14:textId="77777777">
      <w:pPr>
        <w:spacing w:after="0" w:line="240" w:lineRule="auto"/>
      </w:pPr>
      <w:r>
        <w:separator/>
      </w:r>
    </w:p>
  </w:footnote>
  <w:footnote w:type="continuationSeparator" w:id="0">
    <w:p w:rsidR="00B249F3" w:rsidP="00282234" w:rsidRDefault="00B249F3" w14:paraId="0E873293" w14:textId="77777777">
      <w:pPr>
        <w:spacing w:after="0" w:line="240" w:lineRule="auto"/>
      </w:pPr>
      <w:r>
        <w:continuationSeparator/>
      </w:r>
    </w:p>
  </w:footnote>
  <w:footnote w:type="continuationNotice" w:id="1">
    <w:p w:rsidR="003E432D" w:rsidRDefault="003E432D" w14:paraId="795BA81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2D06"/>
    <w:multiLevelType w:val="hybridMultilevel"/>
    <w:tmpl w:val="CFE407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DF2912"/>
    <w:multiLevelType w:val="hybridMultilevel"/>
    <w:tmpl w:val="B380C3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AC5F77"/>
    <w:multiLevelType w:val="hybridMultilevel"/>
    <w:tmpl w:val="64AE0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165C73"/>
    <w:multiLevelType w:val="hybridMultilevel"/>
    <w:tmpl w:val="D31EA8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4580FF3"/>
    <w:multiLevelType w:val="hybridMultilevel"/>
    <w:tmpl w:val="0CC8D0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87F568B"/>
    <w:multiLevelType w:val="hybridMultilevel"/>
    <w:tmpl w:val="B6E043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C8E6F65"/>
    <w:multiLevelType w:val="multilevel"/>
    <w:tmpl w:val="A08A6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4E457CD"/>
    <w:multiLevelType w:val="hybridMultilevel"/>
    <w:tmpl w:val="1E1A1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B5F4307"/>
    <w:multiLevelType w:val="hybridMultilevel"/>
    <w:tmpl w:val="6AF83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2A0106B"/>
    <w:multiLevelType w:val="hybridMultilevel"/>
    <w:tmpl w:val="F92475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65B1DA3"/>
    <w:multiLevelType w:val="hybridMultilevel"/>
    <w:tmpl w:val="5E82FB0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574F3541"/>
    <w:multiLevelType w:val="hybridMultilevel"/>
    <w:tmpl w:val="371216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7C67EA0"/>
    <w:multiLevelType w:val="hybridMultilevel"/>
    <w:tmpl w:val="0F602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33F59"/>
    <w:multiLevelType w:val="hybridMultilevel"/>
    <w:tmpl w:val="EF5ACF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E2D1ECF"/>
    <w:multiLevelType w:val="hybridMultilevel"/>
    <w:tmpl w:val="8632AFD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7BC3300D"/>
    <w:multiLevelType w:val="hybridMultilevel"/>
    <w:tmpl w:val="1D86E65C"/>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11"/>
  </w:num>
  <w:num w:numId="2">
    <w:abstractNumId w:val="4"/>
  </w:num>
  <w:num w:numId="3">
    <w:abstractNumId w:val="3"/>
  </w:num>
  <w:num w:numId="4">
    <w:abstractNumId w:val="13"/>
  </w:num>
  <w:num w:numId="5">
    <w:abstractNumId w:val="7"/>
  </w:num>
  <w:num w:numId="6">
    <w:abstractNumId w:val="14"/>
  </w:num>
  <w:num w:numId="7">
    <w:abstractNumId w:val="15"/>
  </w:num>
  <w:num w:numId="8">
    <w:abstractNumId w:val="2"/>
  </w:num>
  <w:num w:numId="9">
    <w:abstractNumId w:val="0"/>
  </w:num>
  <w:num w:numId="10">
    <w:abstractNumId w:val="12"/>
  </w:num>
  <w:num w:numId="11">
    <w:abstractNumId w:val="10"/>
  </w:num>
  <w:num w:numId="12">
    <w:abstractNumId w:val="9"/>
  </w:num>
  <w:num w:numId="13">
    <w:abstractNumId w:val="8"/>
  </w:num>
  <w:num w:numId="14">
    <w:abstractNumId w:val="1"/>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2C"/>
    <w:rsid w:val="00003BDD"/>
    <w:rsid w:val="000045D9"/>
    <w:rsid w:val="00031CCE"/>
    <w:rsid w:val="000325EE"/>
    <w:rsid w:val="000435A5"/>
    <w:rsid w:val="00044CEA"/>
    <w:rsid w:val="00045476"/>
    <w:rsid w:val="00047B2A"/>
    <w:rsid w:val="00053AD2"/>
    <w:rsid w:val="00061850"/>
    <w:rsid w:val="000668D6"/>
    <w:rsid w:val="00067ED8"/>
    <w:rsid w:val="00070530"/>
    <w:rsid w:val="00076E8C"/>
    <w:rsid w:val="000832A2"/>
    <w:rsid w:val="0008386D"/>
    <w:rsid w:val="000A31A0"/>
    <w:rsid w:val="000B0D77"/>
    <w:rsid w:val="000C11F6"/>
    <w:rsid w:val="000C1613"/>
    <w:rsid w:val="000C4027"/>
    <w:rsid w:val="000C70D6"/>
    <w:rsid w:val="000E1351"/>
    <w:rsid w:val="000E345E"/>
    <w:rsid w:val="000E4928"/>
    <w:rsid w:val="000F3FB4"/>
    <w:rsid w:val="001018C8"/>
    <w:rsid w:val="001150E6"/>
    <w:rsid w:val="00125527"/>
    <w:rsid w:val="001257BD"/>
    <w:rsid w:val="0013124E"/>
    <w:rsid w:val="001331AA"/>
    <w:rsid w:val="00143266"/>
    <w:rsid w:val="00152237"/>
    <w:rsid w:val="00153EBB"/>
    <w:rsid w:val="00180FE9"/>
    <w:rsid w:val="001923AF"/>
    <w:rsid w:val="001950B3"/>
    <w:rsid w:val="001A2F45"/>
    <w:rsid w:val="001C348E"/>
    <w:rsid w:val="001C5B43"/>
    <w:rsid w:val="001C65D9"/>
    <w:rsid w:val="001C7165"/>
    <w:rsid w:val="002004CB"/>
    <w:rsid w:val="00210F9E"/>
    <w:rsid w:val="00211D84"/>
    <w:rsid w:val="0021226B"/>
    <w:rsid w:val="00212ABE"/>
    <w:rsid w:val="002255EA"/>
    <w:rsid w:val="0025686D"/>
    <w:rsid w:val="00260574"/>
    <w:rsid w:val="00267818"/>
    <w:rsid w:val="00267CE0"/>
    <w:rsid w:val="0027091A"/>
    <w:rsid w:val="002747DA"/>
    <w:rsid w:val="002751F9"/>
    <w:rsid w:val="00275BA2"/>
    <w:rsid w:val="00282234"/>
    <w:rsid w:val="00287FBB"/>
    <w:rsid w:val="00290313"/>
    <w:rsid w:val="0029100B"/>
    <w:rsid w:val="00291B66"/>
    <w:rsid w:val="002A48B5"/>
    <w:rsid w:val="002B3696"/>
    <w:rsid w:val="002B47F8"/>
    <w:rsid w:val="002B4FE3"/>
    <w:rsid w:val="002C0081"/>
    <w:rsid w:val="002C1BD5"/>
    <w:rsid w:val="002C44C1"/>
    <w:rsid w:val="002D042D"/>
    <w:rsid w:val="002D0536"/>
    <w:rsid w:val="002E46C1"/>
    <w:rsid w:val="002F4FEB"/>
    <w:rsid w:val="00302C18"/>
    <w:rsid w:val="003178D5"/>
    <w:rsid w:val="003240A3"/>
    <w:rsid w:val="0033214F"/>
    <w:rsid w:val="003431B4"/>
    <w:rsid w:val="00344E37"/>
    <w:rsid w:val="0034744B"/>
    <w:rsid w:val="00347C61"/>
    <w:rsid w:val="003518BC"/>
    <w:rsid w:val="00355514"/>
    <w:rsid w:val="00361A12"/>
    <w:rsid w:val="003647FB"/>
    <w:rsid w:val="003649A8"/>
    <w:rsid w:val="003919AE"/>
    <w:rsid w:val="00396035"/>
    <w:rsid w:val="003A2528"/>
    <w:rsid w:val="003B3CD9"/>
    <w:rsid w:val="003B78BF"/>
    <w:rsid w:val="003D356F"/>
    <w:rsid w:val="003D40AC"/>
    <w:rsid w:val="003D4CEE"/>
    <w:rsid w:val="003E0CE3"/>
    <w:rsid w:val="003E432D"/>
    <w:rsid w:val="003F0A4E"/>
    <w:rsid w:val="003F0DF6"/>
    <w:rsid w:val="003F6BDD"/>
    <w:rsid w:val="00415296"/>
    <w:rsid w:val="00416520"/>
    <w:rsid w:val="00432D48"/>
    <w:rsid w:val="00446A63"/>
    <w:rsid w:val="004606C4"/>
    <w:rsid w:val="00467C23"/>
    <w:rsid w:val="00480AC4"/>
    <w:rsid w:val="00497292"/>
    <w:rsid w:val="004B3DD1"/>
    <w:rsid w:val="004B76B8"/>
    <w:rsid w:val="004C04D4"/>
    <w:rsid w:val="004F00FD"/>
    <w:rsid w:val="004F61E5"/>
    <w:rsid w:val="004F785B"/>
    <w:rsid w:val="00501948"/>
    <w:rsid w:val="00506323"/>
    <w:rsid w:val="0050691F"/>
    <w:rsid w:val="0052683B"/>
    <w:rsid w:val="0053173D"/>
    <w:rsid w:val="00536D74"/>
    <w:rsid w:val="00541565"/>
    <w:rsid w:val="00544F23"/>
    <w:rsid w:val="00552A62"/>
    <w:rsid w:val="00554194"/>
    <w:rsid w:val="00555673"/>
    <w:rsid w:val="00555879"/>
    <w:rsid w:val="0055635E"/>
    <w:rsid w:val="00560AB0"/>
    <w:rsid w:val="005629F7"/>
    <w:rsid w:val="00573BFC"/>
    <w:rsid w:val="00577280"/>
    <w:rsid w:val="00592C1C"/>
    <w:rsid w:val="005A13B2"/>
    <w:rsid w:val="005B0630"/>
    <w:rsid w:val="005B0CD9"/>
    <w:rsid w:val="005C683A"/>
    <w:rsid w:val="005C7D7B"/>
    <w:rsid w:val="005E3AEF"/>
    <w:rsid w:val="005E7938"/>
    <w:rsid w:val="00603CBA"/>
    <w:rsid w:val="006065AE"/>
    <w:rsid w:val="006215F4"/>
    <w:rsid w:val="0062723B"/>
    <w:rsid w:val="0062762B"/>
    <w:rsid w:val="00630500"/>
    <w:rsid w:val="00632566"/>
    <w:rsid w:val="006443CE"/>
    <w:rsid w:val="0064774D"/>
    <w:rsid w:val="00652935"/>
    <w:rsid w:val="00665C2C"/>
    <w:rsid w:val="0067754A"/>
    <w:rsid w:val="00681342"/>
    <w:rsid w:val="00692772"/>
    <w:rsid w:val="006A31A5"/>
    <w:rsid w:val="006B353B"/>
    <w:rsid w:val="006B5F63"/>
    <w:rsid w:val="006C0F12"/>
    <w:rsid w:val="006D1B27"/>
    <w:rsid w:val="006D2748"/>
    <w:rsid w:val="006D3196"/>
    <w:rsid w:val="006F5D29"/>
    <w:rsid w:val="006F5FA3"/>
    <w:rsid w:val="00701BBB"/>
    <w:rsid w:val="00706605"/>
    <w:rsid w:val="0070722E"/>
    <w:rsid w:val="00724191"/>
    <w:rsid w:val="00725FC3"/>
    <w:rsid w:val="00732CAE"/>
    <w:rsid w:val="007374C6"/>
    <w:rsid w:val="00742F76"/>
    <w:rsid w:val="00743A56"/>
    <w:rsid w:val="00760CF9"/>
    <w:rsid w:val="007620C3"/>
    <w:rsid w:val="00764C33"/>
    <w:rsid w:val="007710B8"/>
    <w:rsid w:val="0077650C"/>
    <w:rsid w:val="00785927"/>
    <w:rsid w:val="007867A9"/>
    <w:rsid w:val="00793D25"/>
    <w:rsid w:val="00796C72"/>
    <w:rsid w:val="007A6163"/>
    <w:rsid w:val="007A7C24"/>
    <w:rsid w:val="007B4CD6"/>
    <w:rsid w:val="007B5C20"/>
    <w:rsid w:val="007C6E28"/>
    <w:rsid w:val="007E3911"/>
    <w:rsid w:val="007F1A9D"/>
    <w:rsid w:val="007F34E1"/>
    <w:rsid w:val="00806AD0"/>
    <w:rsid w:val="00814B73"/>
    <w:rsid w:val="008279A2"/>
    <w:rsid w:val="008437F0"/>
    <w:rsid w:val="00844D7A"/>
    <w:rsid w:val="00856BAE"/>
    <w:rsid w:val="00857446"/>
    <w:rsid w:val="00862576"/>
    <w:rsid w:val="0086324A"/>
    <w:rsid w:val="0086513F"/>
    <w:rsid w:val="00865ADD"/>
    <w:rsid w:val="00897FDD"/>
    <w:rsid w:val="008A136A"/>
    <w:rsid w:val="008B42E7"/>
    <w:rsid w:val="008B5043"/>
    <w:rsid w:val="008C2941"/>
    <w:rsid w:val="008C4755"/>
    <w:rsid w:val="008D44FB"/>
    <w:rsid w:val="008E14B7"/>
    <w:rsid w:val="008E1526"/>
    <w:rsid w:val="008E28F9"/>
    <w:rsid w:val="008F0DA6"/>
    <w:rsid w:val="008F3085"/>
    <w:rsid w:val="008F3BC9"/>
    <w:rsid w:val="008F423A"/>
    <w:rsid w:val="00902582"/>
    <w:rsid w:val="0090422B"/>
    <w:rsid w:val="00907D68"/>
    <w:rsid w:val="00922F27"/>
    <w:rsid w:val="0092474E"/>
    <w:rsid w:val="00924D64"/>
    <w:rsid w:val="009354F5"/>
    <w:rsid w:val="00936DEB"/>
    <w:rsid w:val="0094182C"/>
    <w:rsid w:val="009421FB"/>
    <w:rsid w:val="00955A43"/>
    <w:rsid w:val="00974A39"/>
    <w:rsid w:val="009861C3"/>
    <w:rsid w:val="00993B69"/>
    <w:rsid w:val="009A1328"/>
    <w:rsid w:val="009A2FDC"/>
    <w:rsid w:val="009A632C"/>
    <w:rsid w:val="009A6BAE"/>
    <w:rsid w:val="009B200F"/>
    <w:rsid w:val="009C0F64"/>
    <w:rsid w:val="009C543C"/>
    <w:rsid w:val="009C5836"/>
    <w:rsid w:val="009D31AA"/>
    <w:rsid w:val="009D5373"/>
    <w:rsid w:val="009E1EF9"/>
    <w:rsid w:val="009E238B"/>
    <w:rsid w:val="009F0B03"/>
    <w:rsid w:val="009F4C93"/>
    <w:rsid w:val="00A000DE"/>
    <w:rsid w:val="00A03632"/>
    <w:rsid w:val="00A04B07"/>
    <w:rsid w:val="00A075CD"/>
    <w:rsid w:val="00A10E0A"/>
    <w:rsid w:val="00A20E35"/>
    <w:rsid w:val="00A531D6"/>
    <w:rsid w:val="00A57097"/>
    <w:rsid w:val="00A6131A"/>
    <w:rsid w:val="00A64146"/>
    <w:rsid w:val="00A64E41"/>
    <w:rsid w:val="00A661B6"/>
    <w:rsid w:val="00A738DD"/>
    <w:rsid w:val="00A7498C"/>
    <w:rsid w:val="00A75992"/>
    <w:rsid w:val="00A77F9C"/>
    <w:rsid w:val="00A82983"/>
    <w:rsid w:val="00A91A5E"/>
    <w:rsid w:val="00AA567C"/>
    <w:rsid w:val="00AA6476"/>
    <w:rsid w:val="00AB2383"/>
    <w:rsid w:val="00AB2FFE"/>
    <w:rsid w:val="00AB6902"/>
    <w:rsid w:val="00AB6A26"/>
    <w:rsid w:val="00AC2443"/>
    <w:rsid w:val="00AD2561"/>
    <w:rsid w:val="00AD4D61"/>
    <w:rsid w:val="00AF0C29"/>
    <w:rsid w:val="00AF1599"/>
    <w:rsid w:val="00AF48B0"/>
    <w:rsid w:val="00B00E7A"/>
    <w:rsid w:val="00B04D4E"/>
    <w:rsid w:val="00B06D30"/>
    <w:rsid w:val="00B07503"/>
    <w:rsid w:val="00B1203F"/>
    <w:rsid w:val="00B15BB3"/>
    <w:rsid w:val="00B20FE1"/>
    <w:rsid w:val="00B239E3"/>
    <w:rsid w:val="00B249F3"/>
    <w:rsid w:val="00B26CBA"/>
    <w:rsid w:val="00B35D82"/>
    <w:rsid w:val="00B43E28"/>
    <w:rsid w:val="00B476B9"/>
    <w:rsid w:val="00B528E1"/>
    <w:rsid w:val="00B7470F"/>
    <w:rsid w:val="00B74820"/>
    <w:rsid w:val="00BA2E11"/>
    <w:rsid w:val="00BA3862"/>
    <w:rsid w:val="00BA6B36"/>
    <w:rsid w:val="00BD2FD5"/>
    <w:rsid w:val="00BD41EC"/>
    <w:rsid w:val="00BD451D"/>
    <w:rsid w:val="00BE1768"/>
    <w:rsid w:val="00BE3651"/>
    <w:rsid w:val="00BE72FD"/>
    <w:rsid w:val="00BF1D5C"/>
    <w:rsid w:val="00BF1F64"/>
    <w:rsid w:val="00C0506E"/>
    <w:rsid w:val="00C200F0"/>
    <w:rsid w:val="00C2520B"/>
    <w:rsid w:val="00C34F12"/>
    <w:rsid w:val="00C36678"/>
    <w:rsid w:val="00C37B6E"/>
    <w:rsid w:val="00C44185"/>
    <w:rsid w:val="00C51450"/>
    <w:rsid w:val="00C62840"/>
    <w:rsid w:val="00C76DF4"/>
    <w:rsid w:val="00C80BFB"/>
    <w:rsid w:val="00C829C8"/>
    <w:rsid w:val="00C8453A"/>
    <w:rsid w:val="00C95595"/>
    <w:rsid w:val="00C95726"/>
    <w:rsid w:val="00C95BFB"/>
    <w:rsid w:val="00CA0339"/>
    <w:rsid w:val="00CA3BA0"/>
    <w:rsid w:val="00CA4673"/>
    <w:rsid w:val="00CA6F2B"/>
    <w:rsid w:val="00CA6F86"/>
    <w:rsid w:val="00CA7AEA"/>
    <w:rsid w:val="00CB280B"/>
    <w:rsid w:val="00CD01A2"/>
    <w:rsid w:val="00CE1F0B"/>
    <w:rsid w:val="00CE5584"/>
    <w:rsid w:val="00CF0593"/>
    <w:rsid w:val="00CF60DB"/>
    <w:rsid w:val="00CF6780"/>
    <w:rsid w:val="00D03B77"/>
    <w:rsid w:val="00D05365"/>
    <w:rsid w:val="00D11268"/>
    <w:rsid w:val="00D12A96"/>
    <w:rsid w:val="00D134B5"/>
    <w:rsid w:val="00D139CE"/>
    <w:rsid w:val="00D212EA"/>
    <w:rsid w:val="00D31A7A"/>
    <w:rsid w:val="00D33245"/>
    <w:rsid w:val="00D3784B"/>
    <w:rsid w:val="00D46015"/>
    <w:rsid w:val="00D4742B"/>
    <w:rsid w:val="00D503CE"/>
    <w:rsid w:val="00D736FB"/>
    <w:rsid w:val="00D74E8B"/>
    <w:rsid w:val="00D8318A"/>
    <w:rsid w:val="00DA1606"/>
    <w:rsid w:val="00DA74C4"/>
    <w:rsid w:val="00DB3F18"/>
    <w:rsid w:val="00DB6FAC"/>
    <w:rsid w:val="00DB7548"/>
    <w:rsid w:val="00DC3194"/>
    <w:rsid w:val="00DD2F71"/>
    <w:rsid w:val="00DE6688"/>
    <w:rsid w:val="00DF52FD"/>
    <w:rsid w:val="00E05869"/>
    <w:rsid w:val="00E15A2B"/>
    <w:rsid w:val="00E17466"/>
    <w:rsid w:val="00E25AD8"/>
    <w:rsid w:val="00E327B5"/>
    <w:rsid w:val="00E411BD"/>
    <w:rsid w:val="00E41A92"/>
    <w:rsid w:val="00E4679A"/>
    <w:rsid w:val="00E6147E"/>
    <w:rsid w:val="00E8379D"/>
    <w:rsid w:val="00E91A80"/>
    <w:rsid w:val="00EA2BD5"/>
    <w:rsid w:val="00EA6A70"/>
    <w:rsid w:val="00EB3707"/>
    <w:rsid w:val="00EB4C9A"/>
    <w:rsid w:val="00EB7CB4"/>
    <w:rsid w:val="00ED18AE"/>
    <w:rsid w:val="00EE552A"/>
    <w:rsid w:val="00EE5ACD"/>
    <w:rsid w:val="00EE5B83"/>
    <w:rsid w:val="00F14903"/>
    <w:rsid w:val="00F468F0"/>
    <w:rsid w:val="00F52193"/>
    <w:rsid w:val="00F62305"/>
    <w:rsid w:val="00F65256"/>
    <w:rsid w:val="00F66278"/>
    <w:rsid w:val="00F710CB"/>
    <w:rsid w:val="00FA7570"/>
    <w:rsid w:val="00FB1EB7"/>
    <w:rsid w:val="00FD1711"/>
    <w:rsid w:val="00FD288F"/>
    <w:rsid w:val="00FD4497"/>
    <w:rsid w:val="00FD55C1"/>
    <w:rsid w:val="00FE437C"/>
    <w:rsid w:val="00FE46B8"/>
    <w:rsid w:val="00FE68BB"/>
    <w:rsid w:val="658E36E2"/>
    <w:rsid w:val="76F6A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F2A889"/>
  <w15:chartTrackingRefBased/>
  <w15:docId w15:val="{11763FAE-380D-48FF-9894-2182E7C6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39C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A632C"/>
    <w:pPr>
      <w:ind w:left="720"/>
      <w:contextualSpacing/>
    </w:pPr>
  </w:style>
  <w:style w:type="character" w:styleId="CommentReference">
    <w:name w:val="annotation reference"/>
    <w:basedOn w:val="DefaultParagraphFont"/>
    <w:uiPriority w:val="99"/>
    <w:semiHidden/>
    <w:unhideWhenUsed/>
    <w:rsid w:val="009A632C"/>
    <w:rPr>
      <w:sz w:val="16"/>
      <w:szCs w:val="16"/>
    </w:rPr>
  </w:style>
  <w:style w:type="paragraph" w:styleId="CommentText">
    <w:name w:val="annotation text"/>
    <w:basedOn w:val="Normal"/>
    <w:link w:val="CommentTextChar"/>
    <w:uiPriority w:val="99"/>
    <w:unhideWhenUsed/>
    <w:rsid w:val="009A632C"/>
    <w:pPr>
      <w:spacing w:line="240" w:lineRule="auto"/>
    </w:pPr>
    <w:rPr>
      <w:sz w:val="20"/>
      <w:szCs w:val="20"/>
    </w:rPr>
  </w:style>
  <w:style w:type="character" w:styleId="CommentTextChar" w:customStyle="1">
    <w:name w:val="Comment Text Char"/>
    <w:basedOn w:val="DefaultParagraphFont"/>
    <w:link w:val="CommentText"/>
    <w:uiPriority w:val="99"/>
    <w:rsid w:val="009A632C"/>
    <w:rPr>
      <w:sz w:val="20"/>
      <w:szCs w:val="20"/>
    </w:rPr>
  </w:style>
  <w:style w:type="paragraph" w:styleId="Header">
    <w:name w:val="header"/>
    <w:basedOn w:val="Normal"/>
    <w:link w:val="HeaderChar"/>
    <w:uiPriority w:val="99"/>
    <w:unhideWhenUsed/>
    <w:rsid w:val="0028223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2234"/>
  </w:style>
  <w:style w:type="paragraph" w:styleId="Footer">
    <w:name w:val="footer"/>
    <w:basedOn w:val="Normal"/>
    <w:link w:val="FooterChar"/>
    <w:uiPriority w:val="99"/>
    <w:unhideWhenUsed/>
    <w:rsid w:val="0028223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2234"/>
  </w:style>
  <w:style w:type="paragraph" w:styleId="CommentSubject">
    <w:name w:val="annotation subject"/>
    <w:basedOn w:val="CommentText"/>
    <w:next w:val="CommentText"/>
    <w:link w:val="CommentSubjectChar"/>
    <w:uiPriority w:val="99"/>
    <w:semiHidden/>
    <w:unhideWhenUsed/>
    <w:rsid w:val="003B3CD9"/>
    <w:rPr>
      <w:b/>
      <w:bCs/>
    </w:rPr>
  </w:style>
  <w:style w:type="character" w:styleId="CommentSubjectChar" w:customStyle="1">
    <w:name w:val="Comment Subject Char"/>
    <w:basedOn w:val="CommentTextChar"/>
    <w:link w:val="CommentSubject"/>
    <w:uiPriority w:val="99"/>
    <w:semiHidden/>
    <w:rsid w:val="003B3CD9"/>
    <w:rPr>
      <w:b/>
      <w:bCs/>
      <w:sz w:val="20"/>
      <w:szCs w:val="20"/>
    </w:rPr>
  </w:style>
  <w:style w:type="table" w:styleId="TableGrid">
    <w:name w:val="Table Grid"/>
    <w:basedOn w:val="TableNormal"/>
    <w:uiPriority w:val="39"/>
    <w:rsid w:val="00FD17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28572">
      <w:bodyDiv w:val="1"/>
      <w:marLeft w:val="0"/>
      <w:marRight w:val="0"/>
      <w:marTop w:val="0"/>
      <w:marBottom w:val="0"/>
      <w:divBdr>
        <w:top w:val="none" w:sz="0" w:space="0" w:color="auto"/>
        <w:left w:val="none" w:sz="0" w:space="0" w:color="auto"/>
        <w:bottom w:val="none" w:sz="0" w:space="0" w:color="auto"/>
        <w:right w:val="none" w:sz="0" w:space="0" w:color="auto"/>
      </w:divBdr>
      <w:divsChild>
        <w:div w:id="1793477405">
          <w:marLeft w:val="1800"/>
          <w:marRight w:val="0"/>
          <w:marTop w:val="200"/>
          <w:marBottom w:val="120"/>
          <w:divBdr>
            <w:top w:val="none" w:sz="0" w:space="0" w:color="auto"/>
            <w:left w:val="none" w:sz="0" w:space="0" w:color="auto"/>
            <w:bottom w:val="none" w:sz="0" w:space="0" w:color="auto"/>
            <w:right w:val="none" w:sz="0" w:space="0" w:color="auto"/>
          </w:divBdr>
        </w:div>
        <w:div w:id="755398108">
          <w:marLeft w:val="1800"/>
          <w:marRight w:val="0"/>
          <w:marTop w:val="200"/>
          <w:marBottom w:val="120"/>
          <w:divBdr>
            <w:top w:val="none" w:sz="0" w:space="0" w:color="auto"/>
            <w:left w:val="none" w:sz="0" w:space="0" w:color="auto"/>
            <w:bottom w:val="none" w:sz="0" w:space="0" w:color="auto"/>
            <w:right w:val="none" w:sz="0" w:space="0" w:color="auto"/>
          </w:divBdr>
        </w:div>
        <w:div w:id="1655455399">
          <w:marLeft w:val="1800"/>
          <w:marRight w:val="0"/>
          <w:marTop w:val="200"/>
          <w:marBottom w:val="120"/>
          <w:divBdr>
            <w:top w:val="none" w:sz="0" w:space="0" w:color="auto"/>
            <w:left w:val="none" w:sz="0" w:space="0" w:color="auto"/>
            <w:bottom w:val="none" w:sz="0" w:space="0" w:color="auto"/>
            <w:right w:val="none" w:sz="0" w:space="0" w:color="auto"/>
          </w:divBdr>
        </w:div>
        <w:div w:id="1177498855">
          <w:marLeft w:val="1800"/>
          <w:marRight w:val="0"/>
          <w:marTop w:val="200"/>
          <w:marBottom w:val="120"/>
          <w:divBdr>
            <w:top w:val="none" w:sz="0" w:space="0" w:color="auto"/>
            <w:left w:val="none" w:sz="0" w:space="0" w:color="auto"/>
            <w:bottom w:val="none" w:sz="0" w:space="0" w:color="auto"/>
            <w:right w:val="none" w:sz="0" w:space="0" w:color="auto"/>
          </w:divBdr>
        </w:div>
      </w:divsChild>
    </w:div>
    <w:div w:id="13353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glossaryDocument" Target="glossary/document.xml" Id="Rc105aeffa7ef42a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f3a457d-77e3-4b9d-9887-08f6e6be2f3e}"/>
      </w:docPartPr>
      <w:docPartBody>
        <w:p w14:paraId="49095BD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4CB33D13A1E34E8659F05FD4D91195" ma:contentTypeVersion="4" ma:contentTypeDescription="Create a new document." ma:contentTypeScope="" ma:versionID="95627d8c1cc8d95b7c97a9ca2591b8af">
  <xsd:schema xmlns:xsd="http://www.w3.org/2001/XMLSchema" xmlns:xs="http://www.w3.org/2001/XMLSchema" xmlns:p="http://schemas.microsoft.com/office/2006/metadata/properties" xmlns:ns2="d8cadf6e-e26e-4292-b47e-f0aef400b78d" xmlns:ns3="be0c7fb8-b703-4427-9b64-a1946447f64a" targetNamespace="http://schemas.microsoft.com/office/2006/metadata/properties" ma:root="true" ma:fieldsID="b9c5cee42125276972a6067c2fb9603e" ns2:_="" ns3:_="">
    <xsd:import namespace="d8cadf6e-e26e-4292-b47e-f0aef400b78d"/>
    <xsd:import namespace="be0c7fb8-b703-4427-9b64-a1946447f6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adf6e-e26e-4292-b47e-f0aef400b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c7fb8-b703-4427-9b64-a1946447f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198E1-C069-4021-B32F-D8EAB6858A2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cadf6e-e26e-4292-b47e-f0aef400b78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BE0B07-32FC-4CCD-95D3-37581FBC5C53}">
  <ds:schemaRefs>
    <ds:schemaRef ds:uri="http://schemas.microsoft.com/sharepoint/v3/contenttype/forms"/>
  </ds:schemaRefs>
</ds:datastoreItem>
</file>

<file path=customXml/itemProps3.xml><?xml version="1.0" encoding="utf-8"?>
<ds:datastoreItem xmlns:ds="http://schemas.openxmlformats.org/officeDocument/2006/customXml" ds:itemID="{F5DB45B0-DAA3-41C3-B90D-45E03E0C9C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Fiala Steven C</dc:creator>
  <keywords/>
  <dc:description/>
  <lastModifiedBy>Fiala Steven C</lastModifiedBy>
  <revision>13</revision>
  <dcterms:created xsi:type="dcterms:W3CDTF">2022-04-21T20:33:00.0000000Z</dcterms:created>
  <dcterms:modified xsi:type="dcterms:W3CDTF">2022-04-25T16:01:46.7178523Z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0x010100684CB33D13A1E34E8659F05FD4D91195</vt:lpwstr>
  </property>
</Properties>
</file>