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1A0D" w14:textId="6ABB6527" w:rsidR="00BA6450" w:rsidRPr="00306342" w:rsidRDefault="00BA6450" w:rsidP="00BA6450">
      <w:pPr>
        <w:pStyle w:val="NormalWeb"/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>Proposed New</w:t>
      </w:r>
      <w:r w:rsidR="00306342" w:rsidRPr="00306342">
        <w:rPr>
          <w:rFonts w:ascii="Calibri" w:hAnsi="Calibri" w:cs="Calibri"/>
          <w:sz w:val="22"/>
          <w:szCs w:val="22"/>
        </w:rPr>
        <w:t xml:space="preserve">/ Update </w:t>
      </w:r>
      <w:proofErr w:type="gramStart"/>
      <w:r w:rsidR="00306342" w:rsidRPr="00306342">
        <w:rPr>
          <w:rFonts w:ascii="Calibri" w:hAnsi="Calibri" w:cs="Calibri"/>
          <w:sz w:val="22"/>
          <w:szCs w:val="22"/>
        </w:rPr>
        <w:t xml:space="preserve">Personnel </w:t>
      </w:r>
      <w:r w:rsidRPr="00306342">
        <w:rPr>
          <w:rFonts w:ascii="Calibri" w:hAnsi="Calibri" w:cs="Calibri"/>
          <w:sz w:val="22"/>
          <w:szCs w:val="22"/>
        </w:rPr>
        <w:t xml:space="preserve"> Policies</w:t>
      </w:r>
      <w:proofErr w:type="gramEnd"/>
    </w:p>
    <w:p w14:paraId="450FB526" w14:textId="428609A1" w:rsidR="00BA6450" w:rsidRPr="00306342" w:rsidRDefault="00BA6450" w:rsidP="00BA6450">
      <w:pPr>
        <w:pStyle w:val="NormalWeb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Updated Cost of Living Adjustment policy in the CLHO Personnel Policies </w:t>
      </w:r>
    </w:p>
    <w:p w14:paraId="2B2C47DF" w14:textId="5EDC97AA" w:rsidR="00BA6450" w:rsidRPr="00306342" w:rsidRDefault="00BA6450" w:rsidP="00BA6450">
      <w:pPr>
        <w:pStyle w:val="NormalWeb"/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Below you will find the entire current policy.  To avoid </w:t>
      </w:r>
      <w:proofErr w:type="gramStart"/>
      <w:r w:rsidRPr="00306342">
        <w:rPr>
          <w:rFonts w:ascii="Calibri" w:hAnsi="Calibri" w:cs="Calibri"/>
          <w:sz w:val="22"/>
          <w:szCs w:val="22"/>
        </w:rPr>
        <w:t>confusion</w:t>
      </w:r>
      <w:proofErr w:type="gramEnd"/>
      <w:r w:rsidRPr="00306342">
        <w:rPr>
          <w:rFonts w:ascii="Calibri" w:hAnsi="Calibri" w:cs="Calibri"/>
          <w:sz w:val="22"/>
          <w:szCs w:val="22"/>
        </w:rPr>
        <w:t xml:space="preserve"> I’ve just re-written the policy using the current data available from the Bureau of Labor Statistics (BLS)</w:t>
      </w:r>
      <w:r w:rsidR="006003A6">
        <w:rPr>
          <w:rFonts w:ascii="Calibri" w:hAnsi="Calibri" w:cs="Calibri"/>
          <w:sz w:val="22"/>
          <w:szCs w:val="22"/>
        </w:rPr>
        <w:t>.</w:t>
      </w:r>
      <w:r w:rsidRPr="00306342">
        <w:rPr>
          <w:rFonts w:ascii="Calibri" w:hAnsi="Calibri" w:cs="Calibri"/>
          <w:sz w:val="22"/>
          <w:szCs w:val="22"/>
        </w:rPr>
        <w:t xml:space="preserve">  The old policy was no longer available as the Portland-Salem CPI no longer exists in the Bureau of Labor Statistics website. </w:t>
      </w:r>
      <w:r w:rsidR="006003A6">
        <w:rPr>
          <w:rFonts w:ascii="Calibri" w:hAnsi="Calibri" w:cs="Calibri"/>
          <w:sz w:val="22"/>
          <w:szCs w:val="22"/>
        </w:rPr>
        <w:t xml:space="preserve"> This new policy is modeled after AFSCME negotiated language in some local government contracts and includes a minimum and maximum, which would be good for the employees and the organization. </w:t>
      </w:r>
    </w:p>
    <w:p w14:paraId="1B32D4C5" w14:textId="61D445EA" w:rsidR="00BA6450" w:rsidRPr="00306342" w:rsidRDefault="00BA6450" w:rsidP="00BA6450">
      <w:pPr>
        <w:pStyle w:val="NormalWeb"/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Old Policy - </w:t>
      </w:r>
      <w:r w:rsidRPr="00306342">
        <w:rPr>
          <w:rFonts w:ascii="Calibri" w:hAnsi="Calibri" w:cs="Calibri"/>
          <w:sz w:val="22"/>
          <w:szCs w:val="22"/>
        </w:rPr>
        <w:t xml:space="preserve">Compensation for the Executive Director and any other staff shall be reviewed </w:t>
      </w:r>
      <w:proofErr w:type="gramStart"/>
      <w:r w:rsidRPr="00306342">
        <w:rPr>
          <w:rFonts w:ascii="Calibri" w:hAnsi="Calibri" w:cs="Calibri"/>
          <w:sz w:val="22"/>
          <w:szCs w:val="22"/>
        </w:rPr>
        <w:t>annually</w:t>
      </w:r>
      <w:proofErr w:type="gramEnd"/>
      <w:r w:rsidRPr="00306342">
        <w:rPr>
          <w:rFonts w:ascii="Calibri" w:hAnsi="Calibri" w:cs="Calibri"/>
          <w:sz w:val="22"/>
          <w:szCs w:val="22"/>
        </w:rPr>
        <w:t xml:space="preserve"> and adjustments made through the following processes; </w:t>
      </w:r>
    </w:p>
    <w:p w14:paraId="08194A29" w14:textId="77777777" w:rsidR="00BA6450" w:rsidRPr="00306342" w:rsidRDefault="00BA6450" w:rsidP="00BA6450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Cost of Living (COLA) raises will be based on the average of % change in Portland-Salem, CPI from 2nd half of previous year and 1st half of current year. </w:t>
      </w:r>
    </w:p>
    <w:p w14:paraId="4D3EAA09" w14:textId="77777777" w:rsidR="00BA6450" w:rsidRPr="00306342" w:rsidRDefault="00BA6450" w:rsidP="00BA6450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b/>
          <w:bCs/>
          <w:sz w:val="22"/>
          <w:szCs w:val="22"/>
        </w:rPr>
        <w:t xml:space="preserve">https://www.bls.gov/regions/west/news- release/consumerpriceindex_portland.htm </w:t>
      </w:r>
    </w:p>
    <w:p w14:paraId="780DFC60" w14:textId="77777777" w:rsidR="00BA6450" w:rsidRPr="00306342" w:rsidRDefault="00BA6450" w:rsidP="00BA6450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Merit raises of 3% will be provided annually as part of new budget year, provided employees have received a satisfactory performance review. </w:t>
      </w:r>
    </w:p>
    <w:p w14:paraId="6F716723" w14:textId="0E6CD933" w:rsidR="007A4BE7" w:rsidRPr="00306342" w:rsidRDefault="00BA6450" w:rsidP="00306342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>Performance review for the Executive Director will be completed by the current chair and the Executive Director will conduct performance reviews for all employed staff.</w:t>
      </w:r>
    </w:p>
    <w:p w14:paraId="29F71AAA" w14:textId="1D4FE116" w:rsidR="00300EE8" w:rsidRPr="00306342" w:rsidRDefault="00BA6450">
      <w:p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New Proposed Policy – </w:t>
      </w:r>
      <w:r w:rsidR="00DA1AB4" w:rsidRPr="00306342">
        <w:rPr>
          <w:rFonts w:ascii="Calibri" w:hAnsi="Calibri" w:cs="Calibri"/>
          <w:sz w:val="22"/>
          <w:szCs w:val="22"/>
        </w:rPr>
        <w:t>Compensation</w:t>
      </w:r>
      <w:r w:rsidRPr="00306342">
        <w:rPr>
          <w:rFonts w:ascii="Calibri" w:hAnsi="Calibri" w:cs="Calibri"/>
          <w:sz w:val="22"/>
          <w:szCs w:val="22"/>
        </w:rPr>
        <w:t xml:space="preserve"> for the Executive Director and any other staff shall be reviewed each year and any adjustments in salary would be made through the following process: </w:t>
      </w:r>
    </w:p>
    <w:p w14:paraId="6932464F" w14:textId="641D8D21" w:rsidR="00306342" w:rsidRPr="00306342" w:rsidRDefault="00306342" w:rsidP="00306342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</w:rPr>
      </w:pPr>
      <w:r w:rsidRPr="00306342">
        <w:rPr>
          <w:rFonts w:ascii="Calibri" w:eastAsia="Times New Roman" w:hAnsi="Calibri" w:cs="Calibri"/>
          <w:b/>
          <w:bCs/>
          <w:color w:val="222222"/>
          <w:sz w:val="22"/>
          <w:szCs w:val="22"/>
        </w:rPr>
        <w:t xml:space="preserve">Cost of Living Adjustments (COLA) </w:t>
      </w:r>
      <w:r w:rsidRPr="00306342">
        <w:rPr>
          <w:rFonts w:ascii="Calibri" w:eastAsia="Times New Roman" w:hAnsi="Calibri" w:cs="Calibri"/>
          <w:b/>
          <w:bCs/>
          <w:color w:val="222222"/>
          <w:sz w:val="22"/>
          <w:szCs w:val="22"/>
        </w:rPr>
        <w:t>shall be increased by an amount equal to the annual percentage increase in the US Consumer Price Index (CPI-W: Urban Wage Earners and Clerical Workers, West Region All Items, Year to Year Change in Annual Average, as reported by the US Department of Labor), with a minimum of 2% to a maximum of 5%</w:t>
      </w:r>
    </w:p>
    <w:p w14:paraId="608FC821" w14:textId="02FD5FA3" w:rsidR="00DA1AB4" w:rsidRPr="00306342" w:rsidRDefault="00DA1AB4" w:rsidP="00DA1A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>Merit raises of three percent will be provided each year upon successful completion of performance review</w:t>
      </w:r>
      <w:r w:rsidR="00306342" w:rsidRPr="00306342">
        <w:rPr>
          <w:rFonts w:ascii="Calibri" w:hAnsi="Calibri" w:cs="Calibri"/>
          <w:sz w:val="22"/>
          <w:szCs w:val="22"/>
        </w:rPr>
        <w:t xml:space="preserve"> unless employee has reached the salary cap in the salary schedule then they are only eligible for </w:t>
      </w:r>
      <w:r w:rsidR="00306342">
        <w:rPr>
          <w:rFonts w:ascii="Calibri" w:hAnsi="Calibri" w:cs="Calibri"/>
          <w:sz w:val="22"/>
          <w:szCs w:val="22"/>
        </w:rPr>
        <w:t>COLA</w:t>
      </w:r>
      <w:r w:rsidRPr="00306342">
        <w:rPr>
          <w:rFonts w:ascii="Calibri" w:hAnsi="Calibri" w:cs="Calibri"/>
          <w:sz w:val="22"/>
          <w:szCs w:val="22"/>
        </w:rPr>
        <w:t xml:space="preserve">. </w:t>
      </w:r>
    </w:p>
    <w:p w14:paraId="2A84EB23" w14:textId="6F8B5B70" w:rsidR="00DA1AB4" w:rsidRPr="00306342" w:rsidRDefault="00DA1AB4" w:rsidP="00DA1A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sz w:val="22"/>
          <w:szCs w:val="22"/>
        </w:rPr>
        <w:t xml:space="preserve">Performance reviews for the Executive Director will be completed by the current chair with the sign-off from the Executive Committee and the Executive Director will conduct performance reviews for all employed staff. </w:t>
      </w:r>
    </w:p>
    <w:p w14:paraId="66151E07" w14:textId="4D4AB27D" w:rsidR="00DA1AB4" w:rsidRDefault="00DA1AB4" w:rsidP="00DA1AB4">
      <w:pPr>
        <w:rPr>
          <w:rFonts w:ascii="Calibri" w:hAnsi="Calibri" w:cs="Calibri"/>
          <w:sz w:val="22"/>
          <w:szCs w:val="22"/>
        </w:rPr>
      </w:pPr>
    </w:p>
    <w:p w14:paraId="45AE456F" w14:textId="00E604D8" w:rsidR="00306342" w:rsidRDefault="00306342" w:rsidP="00306342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Proposed New Holidays added</w:t>
      </w:r>
    </w:p>
    <w:p w14:paraId="19A911EB" w14:textId="13957BB8" w:rsidR="00306342" w:rsidRDefault="00306342" w:rsidP="00306342">
      <w:pPr>
        <w:rPr>
          <w:rFonts w:ascii="Calibri" w:hAnsi="Calibri" w:cs="Calibri"/>
          <w:sz w:val="22"/>
          <w:szCs w:val="22"/>
        </w:rPr>
      </w:pPr>
    </w:p>
    <w:p w14:paraId="68B80BA5" w14:textId="0D529089" w:rsidR="00306342" w:rsidRDefault="00306342" w:rsidP="003063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 the Juneteenth Holiday to the list of Holidays </w:t>
      </w:r>
    </w:p>
    <w:p w14:paraId="337F8687" w14:textId="52ED9E7D" w:rsidR="00306342" w:rsidRPr="00306342" w:rsidRDefault="00306342" w:rsidP="003063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 Veterans Day to the list of Holidays</w:t>
      </w:r>
    </w:p>
    <w:p w14:paraId="2E389E77" w14:textId="1354875F" w:rsidR="00306342" w:rsidRDefault="00306342" w:rsidP="00DA1AB4">
      <w:pPr>
        <w:rPr>
          <w:rFonts w:ascii="Calibri" w:hAnsi="Calibri" w:cs="Calibri"/>
          <w:sz w:val="22"/>
          <w:szCs w:val="22"/>
        </w:rPr>
      </w:pPr>
    </w:p>
    <w:p w14:paraId="2CDA0422" w14:textId="2A4265AD" w:rsidR="00306342" w:rsidRDefault="00306342" w:rsidP="00306342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Adjust Salary schedule for the Executive Director (to comply with current negotiations as approved by the Executive Committee)</w:t>
      </w:r>
    </w:p>
    <w:p w14:paraId="50436720" w14:textId="012ED64D" w:rsidR="00306342" w:rsidRDefault="00306342" w:rsidP="00306342">
      <w:pPr>
        <w:rPr>
          <w:rFonts w:ascii="Calibri" w:hAnsi="Calibri" w:cs="Calibri"/>
          <w:sz w:val="22"/>
          <w:szCs w:val="22"/>
        </w:rPr>
      </w:pPr>
    </w:p>
    <w:p w14:paraId="03E02B51" w14:textId="30F5AE2C" w:rsidR="00306342" w:rsidRDefault="00306342" w:rsidP="00306342">
      <w:pPr>
        <w:spacing w:before="100" w:beforeAutospacing="1" w:after="100" w:afterAutospacing="1"/>
        <w:rPr>
          <w:rFonts w:ascii="CenturyGothic" w:eastAsia="Times New Roman" w:hAnsi="CenturyGothic" w:cs="Times New Roman"/>
          <w:sz w:val="22"/>
          <w:szCs w:val="22"/>
        </w:rPr>
      </w:pPr>
      <w:r>
        <w:rPr>
          <w:rFonts w:ascii="CenturyGothic" w:eastAsia="Times New Roman" w:hAnsi="CenturyGothic" w:cs="Times New Roman"/>
          <w:sz w:val="22"/>
          <w:szCs w:val="22"/>
        </w:rPr>
        <w:t xml:space="preserve">2021 </w:t>
      </w:r>
      <w:r w:rsidRPr="00306342">
        <w:rPr>
          <w:rFonts w:ascii="CenturyGothic" w:eastAsia="Times New Roman" w:hAnsi="CenturyGothic" w:cs="Times New Roman"/>
          <w:sz w:val="22"/>
          <w:szCs w:val="22"/>
        </w:rPr>
        <w:t xml:space="preserve">Salary </w:t>
      </w:r>
      <w:proofErr w:type="gramStart"/>
      <w:r w:rsidRPr="00306342">
        <w:rPr>
          <w:rFonts w:ascii="CenturyGothic" w:eastAsia="Times New Roman" w:hAnsi="CenturyGothic" w:cs="Times New Roman"/>
          <w:sz w:val="22"/>
          <w:szCs w:val="22"/>
        </w:rPr>
        <w:t>Schedule;</w:t>
      </w:r>
      <w:proofErr w:type="gramEnd"/>
      <w:r w:rsidRPr="00306342">
        <w:rPr>
          <w:rFonts w:ascii="CenturyGothic" w:eastAsia="Times New Roman" w:hAnsi="CenturyGothic" w:cs="Times New Roman"/>
          <w:sz w:val="22"/>
          <w:szCs w:val="22"/>
        </w:rPr>
        <w:t xml:space="preserve"> </w:t>
      </w:r>
    </w:p>
    <w:p w14:paraId="654EC934" w14:textId="6C260033" w:rsidR="00306342" w:rsidRPr="00306342" w:rsidRDefault="00306342" w:rsidP="0030634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06342">
        <w:rPr>
          <w:rFonts w:ascii="CenturyGothic" w:eastAsia="Times New Roman" w:hAnsi="CenturyGothic" w:cs="Times New Roman"/>
          <w:sz w:val="22"/>
          <w:szCs w:val="22"/>
        </w:rPr>
        <w:t>Executive Director $96,746-$</w:t>
      </w:r>
      <w:r w:rsidRPr="00306342">
        <w:rPr>
          <w:rFonts w:ascii="CenturyGothic" w:eastAsia="Times New Roman" w:hAnsi="CenturyGothic" w:cs="Times New Roman"/>
          <w:strike/>
          <w:sz w:val="22"/>
          <w:szCs w:val="22"/>
        </w:rPr>
        <w:t>131,238</w:t>
      </w:r>
      <w:r w:rsidRPr="00306342">
        <w:rPr>
          <w:rFonts w:ascii="CenturyGothic" w:eastAsia="Times New Roman" w:hAnsi="CenturyGothic" w:cs="Times New Roman"/>
          <w:sz w:val="22"/>
          <w:szCs w:val="22"/>
        </w:rPr>
        <w:t xml:space="preserve"> </w:t>
      </w:r>
      <w:r>
        <w:rPr>
          <w:rFonts w:ascii="CenturyGothic" w:eastAsia="Times New Roman" w:hAnsi="CenturyGothic" w:cs="Times New Roman"/>
          <w:sz w:val="22"/>
          <w:szCs w:val="22"/>
        </w:rPr>
        <w:tab/>
        <w:t>$134,620 (2.</w:t>
      </w:r>
      <w:r w:rsidR="006003A6">
        <w:rPr>
          <w:rFonts w:ascii="CenturyGothic" w:eastAsia="Times New Roman" w:hAnsi="CenturyGothic" w:cs="Times New Roman"/>
          <w:sz w:val="22"/>
          <w:szCs w:val="22"/>
        </w:rPr>
        <w:t>6</w:t>
      </w:r>
      <w:r>
        <w:rPr>
          <w:rFonts w:ascii="CenturyGothic" w:eastAsia="Times New Roman" w:hAnsi="CenturyGothic" w:cs="Times New Roman"/>
          <w:sz w:val="22"/>
          <w:szCs w:val="22"/>
        </w:rPr>
        <w:t xml:space="preserve"> % increase)</w:t>
      </w:r>
    </w:p>
    <w:p w14:paraId="1A89B0DA" w14:textId="6DB572EC" w:rsidR="00306342" w:rsidRPr="00306342" w:rsidRDefault="00306342" w:rsidP="0030634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06342">
        <w:rPr>
          <w:rFonts w:ascii="CenturyGothic" w:eastAsia="Times New Roman" w:hAnsi="CenturyGothic" w:cs="Times New Roman"/>
          <w:sz w:val="22"/>
          <w:szCs w:val="22"/>
        </w:rPr>
        <w:t>Program Manager $51,459 - $</w:t>
      </w:r>
      <w:r w:rsidRPr="00306342">
        <w:rPr>
          <w:rFonts w:ascii="CenturyGothic" w:eastAsia="Times New Roman" w:hAnsi="CenturyGothic" w:cs="Times New Roman"/>
          <w:strike/>
          <w:sz w:val="22"/>
          <w:szCs w:val="22"/>
        </w:rPr>
        <w:t>67,261</w:t>
      </w:r>
      <w:r w:rsidRPr="00306342">
        <w:rPr>
          <w:rFonts w:ascii="CenturyGothic" w:eastAsia="Times New Roman" w:hAnsi="CenturyGothic" w:cs="Times New Roman"/>
          <w:sz w:val="22"/>
          <w:szCs w:val="22"/>
        </w:rPr>
        <w:t xml:space="preserve"> </w:t>
      </w:r>
      <w:r>
        <w:rPr>
          <w:rFonts w:ascii="CenturyGothic" w:eastAsia="Times New Roman" w:hAnsi="CenturyGothic" w:cs="Times New Roman"/>
          <w:sz w:val="22"/>
          <w:szCs w:val="22"/>
        </w:rPr>
        <w:t>$69,278 (3% increase)</w:t>
      </w:r>
    </w:p>
    <w:p w14:paraId="7CE006D6" w14:textId="77777777" w:rsidR="00306342" w:rsidRPr="00306342" w:rsidRDefault="00306342" w:rsidP="00306342">
      <w:pPr>
        <w:rPr>
          <w:rFonts w:ascii="Calibri" w:hAnsi="Calibri" w:cs="Calibri"/>
          <w:sz w:val="22"/>
          <w:szCs w:val="22"/>
        </w:rPr>
      </w:pPr>
    </w:p>
    <w:p w14:paraId="7CBC2009" w14:textId="5825EDA2" w:rsidR="00306342" w:rsidRDefault="00306342" w:rsidP="00DA1AB4">
      <w:pPr>
        <w:rPr>
          <w:rFonts w:ascii="Calibri" w:hAnsi="Calibri" w:cs="Calibri"/>
          <w:sz w:val="22"/>
          <w:szCs w:val="22"/>
        </w:rPr>
      </w:pPr>
    </w:p>
    <w:p w14:paraId="421A3D23" w14:textId="77777777" w:rsidR="00306342" w:rsidRPr="00306342" w:rsidRDefault="00306342" w:rsidP="00DA1AB4">
      <w:pPr>
        <w:rPr>
          <w:rFonts w:ascii="Calibri" w:hAnsi="Calibri" w:cs="Calibri"/>
          <w:sz w:val="22"/>
          <w:szCs w:val="22"/>
        </w:rPr>
      </w:pPr>
    </w:p>
    <w:p w14:paraId="24677F54" w14:textId="4FB33DF5" w:rsidR="00DA1AB4" w:rsidRDefault="00DA1AB4" w:rsidP="007A4BE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06342">
        <w:rPr>
          <w:rFonts w:ascii="Calibri" w:hAnsi="Calibri" w:cs="Calibri"/>
          <w:b/>
          <w:bCs/>
          <w:sz w:val="22"/>
          <w:szCs w:val="22"/>
        </w:rPr>
        <w:t>New</w:t>
      </w:r>
      <w:r w:rsidRPr="00306342">
        <w:rPr>
          <w:rFonts w:ascii="Calibri" w:hAnsi="Calibri" w:cs="Calibri"/>
          <w:sz w:val="22"/>
          <w:szCs w:val="22"/>
        </w:rPr>
        <w:t xml:space="preserve"> Fiscal Policy for a CLHO Credit Card</w:t>
      </w:r>
    </w:p>
    <w:p w14:paraId="2A5CBABE" w14:textId="4F2E46BF" w:rsidR="006003A6" w:rsidRDefault="006003A6" w:rsidP="006003A6">
      <w:pPr>
        <w:rPr>
          <w:rFonts w:ascii="Calibri" w:hAnsi="Calibri" w:cs="Calibri"/>
          <w:sz w:val="22"/>
          <w:szCs w:val="22"/>
        </w:rPr>
      </w:pPr>
    </w:p>
    <w:p w14:paraId="3D5CF9CF" w14:textId="6EEA6F22" w:rsidR="00B31EE5" w:rsidRDefault="00B31EE5" w:rsidP="006003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CLHO Executive Director will be issued a credit card for business use only.  The credit card may not be used for the purchase of alcohol and recreational drugs. </w:t>
      </w:r>
    </w:p>
    <w:p w14:paraId="14F8804D" w14:textId="77777777" w:rsidR="00B31EE5" w:rsidRDefault="00B31EE5" w:rsidP="006003A6">
      <w:pPr>
        <w:rPr>
          <w:rFonts w:ascii="Calibri" w:hAnsi="Calibri" w:cs="Calibri"/>
          <w:sz w:val="22"/>
          <w:szCs w:val="22"/>
        </w:rPr>
      </w:pPr>
    </w:p>
    <w:p w14:paraId="1BB073AE" w14:textId="77777777" w:rsidR="00B31EE5" w:rsidRDefault="00B31EE5" w:rsidP="00B31EE5">
      <w:p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Guidelines </w:t>
      </w:r>
    </w:p>
    <w:p w14:paraId="0ACFF691" w14:textId="3C2DB35F" w:rsidR="00B31EE5" w:rsidRP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The Board of Directors will approve the issuance </w:t>
      </w:r>
      <w:r>
        <w:rPr>
          <w:rFonts w:ascii="Times New Roman" w:eastAsia="Times New Roman" w:hAnsi="Times New Roman" w:cs="Times New Roman"/>
        </w:rPr>
        <w:t xml:space="preserve">a credit card to the Executive Director once hired for CLHO-related work only. </w:t>
      </w:r>
      <w:r w:rsidRPr="00B31EE5">
        <w:rPr>
          <w:rFonts w:ascii="Times New Roman" w:eastAsia="Times New Roman" w:hAnsi="Times New Roman" w:cs="Times New Roman"/>
        </w:rPr>
        <w:t xml:space="preserve"> </w:t>
      </w:r>
    </w:p>
    <w:p w14:paraId="24C00F78" w14:textId="4047237F" w:rsidR="00B31EE5" w:rsidRP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Credit cards will be issued in the name of the employee. </w:t>
      </w:r>
    </w:p>
    <w:p w14:paraId="421C2846" w14:textId="4D41EA82" w:rsidR="00B31EE5" w:rsidRPr="00B31EE5" w:rsidRDefault="00B31EE5" w:rsidP="00B31EE5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Current policy authorizes one user, the Nonprofit Network Executive Director. </w:t>
      </w:r>
    </w:p>
    <w:p w14:paraId="1EA79008" w14:textId="4909F592" w:rsid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>The card will have a credit limit of $</w:t>
      </w:r>
      <w:r>
        <w:rPr>
          <w:rFonts w:ascii="Times New Roman" w:eastAsia="Times New Roman" w:hAnsi="Times New Roman" w:cs="Times New Roman"/>
        </w:rPr>
        <w:t>5</w:t>
      </w:r>
      <w:r w:rsidRPr="00B31EE5">
        <w:rPr>
          <w:rFonts w:ascii="Times New Roman" w:eastAsia="Times New Roman" w:hAnsi="Times New Roman" w:cs="Times New Roman"/>
        </w:rPr>
        <w:t xml:space="preserve">,000. </w:t>
      </w:r>
    </w:p>
    <w:p w14:paraId="3AE09999" w14:textId="291E6865" w:rsid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The card may be used only for the purchase of goods or services for official business of the </w:t>
      </w:r>
      <w:r>
        <w:rPr>
          <w:rFonts w:ascii="Times New Roman" w:eastAsia="Times New Roman" w:hAnsi="Times New Roman" w:cs="Times New Roman"/>
        </w:rPr>
        <w:t>Oregon Coalition of Local Health Officials</w:t>
      </w:r>
      <w:r w:rsidRPr="00B31EE5">
        <w:rPr>
          <w:rFonts w:ascii="Times New Roman" w:eastAsia="Times New Roman" w:hAnsi="Times New Roman" w:cs="Times New Roman"/>
        </w:rPr>
        <w:t xml:space="preserve">. </w:t>
      </w:r>
    </w:p>
    <w:p w14:paraId="50EC21F0" w14:textId="31643D89" w:rsid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All purchases will be within current budget </w:t>
      </w:r>
      <w:r w:rsidRPr="00B31EE5">
        <w:rPr>
          <w:rFonts w:ascii="Times New Roman" w:eastAsia="Times New Roman" w:hAnsi="Times New Roman" w:cs="Times New Roman"/>
        </w:rPr>
        <w:t>line-item</w:t>
      </w:r>
      <w:r w:rsidRPr="00B31EE5">
        <w:rPr>
          <w:rFonts w:ascii="Times New Roman" w:eastAsia="Times New Roman" w:hAnsi="Times New Roman" w:cs="Times New Roman"/>
        </w:rPr>
        <w:t xml:space="preserve"> amounts</w:t>
      </w:r>
      <w:r>
        <w:rPr>
          <w:rFonts w:ascii="Times New Roman" w:eastAsia="Times New Roman" w:hAnsi="Times New Roman" w:cs="Times New Roman"/>
        </w:rPr>
        <w:t xml:space="preserve">. </w:t>
      </w:r>
      <w:r w:rsidRPr="00B31EE5">
        <w:rPr>
          <w:rFonts w:ascii="Times New Roman" w:eastAsia="Times New Roman" w:hAnsi="Times New Roman" w:cs="Times New Roman"/>
        </w:rPr>
        <w:t xml:space="preserve"> </w:t>
      </w:r>
    </w:p>
    <w:p w14:paraId="0D302EC6" w14:textId="77777777" w:rsid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The person issued the card is responsible for its protection and </w:t>
      </w:r>
      <w:proofErr w:type="gramStart"/>
      <w:r w:rsidRPr="00B31EE5">
        <w:rPr>
          <w:rFonts w:ascii="Times New Roman" w:eastAsia="Times New Roman" w:hAnsi="Times New Roman" w:cs="Times New Roman"/>
        </w:rPr>
        <w:t>custody, and</w:t>
      </w:r>
      <w:proofErr w:type="gramEnd"/>
      <w:r w:rsidRPr="00B31EE5">
        <w:rPr>
          <w:rFonts w:ascii="Times New Roman" w:eastAsia="Times New Roman" w:hAnsi="Times New Roman" w:cs="Times New Roman"/>
        </w:rPr>
        <w:t xml:space="preserve"> shall immediately notify the credit card company and Board Chair if it is lost or stolen. </w:t>
      </w:r>
    </w:p>
    <w:p w14:paraId="2755B58A" w14:textId="7CE0CDB3" w:rsid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The person issued the card must immediately surrender the card to the current Board Chair or Vice Chair when affiliation with the </w:t>
      </w:r>
      <w:r>
        <w:rPr>
          <w:rFonts w:ascii="Times New Roman" w:eastAsia="Times New Roman" w:hAnsi="Times New Roman" w:cs="Times New Roman"/>
        </w:rPr>
        <w:t xml:space="preserve">CLHO </w:t>
      </w:r>
      <w:r w:rsidRPr="00B31EE5">
        <w:rPr>
          <w:rFonts w:ascii="Times New Roman" w:eastAsia="Times New Roman" w:hAnsi="Times New Roman" w:cs="Times New Roman"/>
        </w:rPr>
        <w:t xml:space="preserve">has ended. </w:t>
      </w:r>
    </w:p>
    <w:p w14:paraId="206277A7" w14:textId="77777777" w:rsidR="00B31EE5" w:rsidRDefault="00B31EE5" w:rsidP="00B31EE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The person using a credit card for purchases that cannot be substantiated as a necessary purchase for official business will be subject to disciplinary action. </w:t>
      </w:r>
    </w:p>
    <w:p w14:paraId="5696DC2E" w14:textId="77777777" w:rsidR="00B31EE5" w:rsidRDefault="00B31EE5" w:rsidP="00B31EE5">
      <w:pPr>
        <w:rPr>
          <w:rFonts w:ascii="Times New Roman" w:eastAsia="Times New Roman" w:hAnsi="Times New Roman" w:cs="Times New Roman"/>
        </w:rPr>
      </w:pPr>
    </w:p>
    <w:p w14:paraId="5AC46DA4" w14:textId="77777777" w:rsidR="00B31EE5" w:rsidRDefault="00B31EE5" w:rsidP="00B31EE5">
      <w:p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Report Requirements </w:t>
      </w:r>
    </w:p>
    <w:p w14:paraId="75E94C02" w14:textId="076CDD47" w:rsidR="00B31EE5" w:rsidRDefault="00B31EE5" w:rsidP="00B31E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part of the </w:t>
      </w:r>
      <w:r w:rsidR="004C62F1">
        <w:rPr>
          <w:rFonts w:ascii="Times New Roman" w:eastAsia="Times New Roman" w:hAnsi="Times New Roman" w:cs="Times New Roman"/>
        </w:rPr>
        <w:t xml:space="preserve">Bank Statement </w:t>
      </w:r>
      <w:r>
        <w:rPr>
          <w:rFonts w:ascii="Times New Roman" w:eastAsia="Times New Roman" w:hAnsi="Times New Roman" w:cs="Times New Roman"/>
        </w:rPr>
        <w:t>reconciliation review the CLHO Treasurer will review c</w:t>
      </w:r>
      <w:r w:rsidRPr="00B31EE5">
        <w:rPr>
          <w:rFonts w:ascii="Times New Roman" w:eastAsia="Times New Roman" w:hAnsi="Times New Roman" w:cs="Times New Roman"/>
        </w:rPr>
        <w:t xml:space="preserve">redit card statements, along with receipts for all items to be paid by </w:t>
      </w:r>
      <w:r>
        <w:rPr>
          <w:rFonts w:ascii="Times New Roman" w:eastAsia="Times New Roman" w:hAnsi="Times New Roman" w:cs="Times New Roman"/>
        </w:rPr>
        <w:t>CLHO</w:t>
      </w:r>
      <w:r w:rsidR="004C62F1">
        <w:rPr>
          <w:rFonts w:ascii="Times New Roman" w:eastAsia="Times New Roman" w:hAnsi="Times New Roman" w:cs="Times New Roman"/>
        </w:rPr>
        <w:t>.  This process will happen on</w:t>
      </w:r>
      <w:r w:rsidRPr="00B31EE5">
        <w:rPr>
          <w:rFonts w:ascii="Times New Roman" w:eastAsia="Times New Roman" w:hAnsi="Times New Roman" w:cs="Times New Roman"/>
        </w:rPr>
        <w:t xml:space="preserve"> on a monthly basis by the Executive Director</w:t>
      </w:r>
      <w:r w:rsidR="004C62F1">
        <w:rPr>
          <w:rFonts w:ascii="Times New Roman" w:eastAsia="Times New Roman" w:hAnsi="Times New Roman" w:cs="Times New Roman"/>
        </w:rPr>
        <w:t xml:space="preserve"> and put forward to the Treasurer for oversight</w:t>
      </w:r>
      <w:r w:rsidRPr="00B31EE5">
        <w:rPr>
          <w:rFonts w:ascii="Times New Roman" w:eastAsia="Times New Roman" w:hAnsi="Times New Roman" w:cs="Times New Roman"/>
        </w:rPr>
        <w:t xml:space="preserve">. </w:t>
      </w:r>
    </w:p>
    <w:p w14:paraId="6E8CF915" w14:textId="77777777" w:rsidR="00B31EE5" w:rsidRDefault="00B31EE5" w:rsidP="00B31EE5">
      <w:pPr>
        <w:rPr>
          <w:rFonts w:ascii="Times New Roman" w:eastAsia="Times New Roman" w:hAnsi="Times New Roman" w:cs="Times New Roman"/>
        </w:rPr>
      </w:pPr>
    </w:p>
    <w:p w14:paraId="38667F4C" w14:textId="010929D6" w:rsidR="00B31EE5" w:rsidRPr="00B31EE5" w:rsidRDefault="00B31EE5" w:rsidP="00B31EE5">
      <w:pPr>
        <w:rPr>
          <w:rFonts w:ascii="Times New Roman" w:eastAsia="Times New Roman" w:hAnsi="Times New Roman" w:cs="Times New Roman"/>
        </w:rPr>
      </w:pPr>
      <w:r w:rsidRPr="00B31EE5">
        <w:rPr>
          <w:rFonts w:ascii="Times New Roman" w:eastAsia="Times New Roman" w:hAnsi="Times New Roman" w:cs="Times New Roman"/>
        </w:rPr>
        <w:t xml:space="preserve">Receipts must show the date, purpose, and name(s) for which the expense was incurred. </w:t>
      </w:r>
    </w:p>
    <w:p w14:paraId="79A12F33" w14:textId="31201F88" w:rsidR="006003A6" w:rsidRPr="006003A6" w:rsidRDefault="006003A6" w:rsidP="00B31EE5">
      <w:pPr>
        <w:rPr>
          <w:rFonts w:ascii="Calibri" w:hAnsi="Calibri" w:cs="Calibri"/>
          <w:sz w:val="22"/>
          <w:szCs w:val="22"/>
        </w:rPr>
      </w:pPr>
    </w:p>
    <w:sectPr w:rsidR="006003A6" w:rsidRPr="0060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7930"/>
    <w:multiLevelType w:val="hybridMultilevel"/>
    <w:tmpl w:val="5192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7948"/>
    <w:multiLevelType w:val="hybridMultilevel"/>
    <w:tmpl w:val="391A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B462E"/>
    <w:multiLevelType w:val="multilevel"/>
    <w:tmpl w:val="44B8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91F94"/>
    <w:multiLevelType w:val="multilevel"/>
    <w:tmpl w:val="3206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274DB"/>
    <w:multiLevelType w:val="multilevel"/>
    <w:tmpl w:val="E99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50"/>
    <w:rsid w:val="00300EE8"/>
    <w:rsid w:val="00306342"/>
    <w:rsid w:val="004C62F1"/>
    <w:rsid w:val="006003A6"/>
    <w:rsid w:val="007A4BE7"/>
    <w:rsid w:val="00B31EE5"/>
    <w:rsid w:val="00BA6450"/>
    <w:rsid w:val="00DA1AB4"/>
    <w:rsid w:val="00F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A46D4"/>
  <w15:chartTrackingRefBased/>
  <w15:docId w15:val="{534117EF-11BF-454A-AA6E-073A0A1B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4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A6450"/>
    <w:rPr>
      <w:b/>
      <w:bCs/>
    </w:rPr>
  </w:style>
  <w:style w:type="paragraph" w:styleId="ListParagraph">
    <w:name w:val="List Paragraph"/>
    <w:basedOn w:val="Normal"/>
    <w:uiPriority w:val="34"/>
    <w:qFormat/>
    <w:rsid w:val="00BA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Cowling</dc:creator>
  <cp:keywords/>
  <dc:description/>
  <cp:lastModifiedBy>Morgan Cowling</cp:lastModifiedBy>
  <cp:revision>3</cp:revision>
  <dcterms:created xsi:type="dcterms:W3CDTF">2021-11-08T21:21:00Z</dcterms:created>
  <dcterms:modified xsi:type="dcterms:W3CDTF">2021-11-09T19:20:00Z</dcterms:modified>
</cp:coreProperties>
</file>