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27ABB" w14:textId="78E47C78" w:rsidR="004B43F7" w:rsidRPr="003157D1" w:rsidRDefault="003157D1">
      <w:pPr>
        <w:contextualSpacing/>
        <w:rPr>
          <w:sz w:val="28"/>
          <w:szCs w:val="28"/>
        </w:rPr>
      </w:pPr>
      <w:r w:rsidRPr="003157D1">
        <w:rPr>
          <w:sz w:val="28"/>
          <w:szCs w:val="28"/>
        </w:rPr>
        <w:t>Proposal for public health modernization matching and incentive funds, 2021-23</w:t>
      </w:r>
    </w:p>
    <w:p w14:paraId="70880D57" w14:textId="0C521FFB" w:rsidR="003157D1" w:rsidRPr="003157D1" w:rsidRDefault="003157D1">
      <w:pPr>
        <w:contextualSpacing/>
        <w:rPr>
          <w:sz w:val="28"/>
          <w:szCs w:val="28"/>
        </w:rPr>
      </w:pPr>
      <w:r w:rsidRPr="003157D1">
        <w:rPr>
          <w:sz w:val="28"/>
          <w:szCs w:val="28"/>
        </w:rPr>
        <w:t>CLHO, June 2021</w:t>
      </w:r>
    </w:p>
    <w:p w14:paraId="45A1A4E5" w14:textId="653FAE52" w:rsidR="003157D1" w:rsidRPr="003157D1" w:rsidRDefault="003157D1">
      <w:pPr>
        <w:rPr>
          <w:sz w:val="28"/>
          <w:szCs w:val="28"/>
        </w:rPr>
      </w:pPr>
    </w:p>
    <w:p w14:paraId="570F646B" w14:textId="2C9DFB75" w:rsidR="003157D1" w:rsidRPr="003157D1" w:rsidRDefault="003157D1">
      <w:pPr>
        <w:rPr>
          <w:sz w:val="28"/>
          <w:szCs w:val="28"/>
        </w:rPr>
      </w:pPr>
      <w:r w:rsidRPr="003157D1">
        <w:rPr>
          <w:sz w:val="28"/>
          <w:szCs w:val="28"/>
        </w:rPr>
        <w:t xml:space="preserve">Background: </w:t>
      </w:r>
      <w:r>
        <w:rPr>
          <w:sz w:val="28"/>
          <w:szCs w:val="28"/>
        </w:rPr>
        <w:t xml:space="preserve">The public health modernization funding formula for LPHAs includes components for matching and incentive funds. As directed by the Public Health Advisory Board, </w:t>
      </w:r>
      <w:r w:rsidR="00156A12">
        <w:rPr>
          <w:sz w:val="28"/>
          <w:szCs w:val="28"/>
        </w:rPr>
        <w:t xml:space="preserve">these components are activated at funding levels to LPHAs at or above $15 million. </w:t>
      </w:r>
    </w:p>
    <w:p w14:paraId="46ED11E7" w14:textId="2847C9A9" w:rsidR="003157D1" w:rsidRPr="003157D1" w:rsidRDefault="003157D1">
      <w:pPr>
        <w:rPr>
          <w:sz w:val="28"/>
          <w:szCs w:val="28"/>
        </w:rPr>
      </w:pPr>
      <w:r w:rsidRPr="003157D1">
        <w:rPr>
          <w:sz w:val="28"/>
          <w:szCs w:val="28"/>
        </w:rPr>
        <w:t xml:space="preserve">Proposal: </w:t>
      </w:r>
      <w:r w:rsidR="00156A12">
        <w:rPr>
          <w:sz w:val="28"/>
          <w:szCs w:val="28"/>
        </w:rPr>
        <w:t xml:space="preserve">Collect data for matching and incentive funds in the 2021-23 biennium, but do not include allocations in the current biennium. Include </w:t>
      </w:r>
      <w:r w:rsidR="00151EAE">
        <w:rPr>
          <w:sz w:val="28"/>
          <w:szCs w:val="28"/>
        </w:rPr>
        <w:t>payments to LPHAs that meet the criteria, beg</w:t>
      </w:r>
      <w:r w:rsidR="00156A12">
        <w:rPr>
          <w:sz w:val="28"/>
          <w:szCs w:val="28"/>
        </w:rPr>
        <w:t>inning in July 2023.</w:t>
      </w:r>
    </w:p>
    <w:p w14:paraId="32623B63" w14:textId="6152D6B5" w:rsidR="003157D1" w:rsidRDefault="003157D1">
      <w:pPr>
        <w:rPr>
          <w:sz w:val="28"/>
          <w:szCs w:val="28"/>
        </w:rPr>
      </w:pPr>
      <w:r w:rsidRPr="003157D1">
        <w:rPr>
          <w:sz w:val="28"/>
          <w:szCs w:val="28"/>
        </w:rPr>
        <w:t>Matching funds</w:t>
      </w:r>
      <w:r w:rsidR="00156A12">
        <w:rPr>
          <w:sz w:val="28"/>
          <w:szCs w:val="28"/>
        </w:rPr>
        <w:t xml:space="preserve">: </w:t>
      </w:r>
    </w:p>
    <w:p w14:paraId="4203D56A" w14:textId="34BDCE77" w:rsidR="00156A12" w:rsidRDefault="00156A12" w:rsidP="00156A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Collect </w:t>
      </w:r>
      <w:r w:rsidR="00E1088C">
        <w:rPr>
          <w:sz w:val="28"/>
          <w:szCs w:val="28"/>
        </w:rPr>
        <w:t>local</w:t>
      </w:r>
      <w:r>
        <w:rPr>
          <w:sz w:val="28"/>
          <w:szCs w:val="28"/>
        </w:rPr>
        <w:t xml:space="preserve"> expenditures data for FY 21 in fall 2021. </w:t>
      </w:r>
    </w:p>
    <w:p w14:paraId="378C4D22" w14:textId="1AC78FBE" w:rsidR="00156A12" w:rsidRDefault="00156A12" w:rsidP="00156A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Collect </w:t>
      </w:r>
      <w:r w:rsidR="00E1088C">
        <w:rPr>
          <w:sz w:val="28"/>
          <w:szCs w:val="28"/>
        </w:rPr>
        <w:t>local</w:t>
      </w:r>
      <w:r>
        <w:rPr>
          <w:sz w:val="28"/>
          <w:szCs w:val="28"/>
        </w:rPr>
        <w:t xml:space="preserve"> expenditures data for FY 22 in fall 2022.</w:t>
      </w:r>
    </w:p>
    <w:p w14:paraId="025D0B2A" w14:textId="6C69F13B" w:rsidR="00E1088C" w:rsidRPr="00156A12" w:rsidRDefault="00E1088C" w:rsidP="00156A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 on maintenance or increase in local expenditures for foundational programs and capabilities in winter 2023.</w:t>
      </w:r>
    </w:p>
    <w:p w14:paraId="6E074660" w14:textId="375857E6" w:rsidR="003157D1" w:rsidRDefault="003157D1">
      <w:pPr>
        <w:rPr>
          <w:sz w:val="28"/>
          <w:szCs w:val="28"/>
        </w:rPr>
      </w:pPr>
      <w:r w:rsidRPr="003157D1">
        <w:rPr>
          <w:sz w:val="28"/>
          <w:szCs w:val="28"/>
        </w:rPr>
        <w:t>Incentives:</w:t>
      </w:r>
    </w:p>
    <w:p w14:paraId="5330E8F2" w14:textId="17DD58A4" w:rsidR="00E1088C" w:rsidRDefault="00E1088C" w:rsidP="00E108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Continue to report on public health accountability metrics annually</w:t>
      </w:r>
      <w:r w:rsidR="00151EAE">
        <w:rPr>
          <w:sz w:val="28"/>
          <w:szCs w:val="28"/>
        </w:rPr>
        <w:t>, in winter 2022 and 2023</w:t>
      </w:r>
      <w:r>
        <w:rPr>
          <w:sz w:val="28"/>
          <w:szCs w:val="28"/>
        </w:rPr>
        <w:t>.</w:t>
      </w:r>
    </w:p>
    <w:p w14:paraId="5AE796B2" w14:textId="4ADC4A4B" w:rsidR="00E1088C" w:rsidRPr="00E1088C" w:rsidRDefault="00151EAE" w:rsidP="00E108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 on which LPHAs met metrics for communicable disease control and environmental health in winter 2023.</w:t>
      </w:r>
    </w:p>
    <w:sectPr w:rsidR="00E1088C" w:rsidRPr="00E10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925EC"/>
    <w:multiLevelType w:val="hybridMultilevel"/>
    <w:tmpl w:val="E01E67D6"/>
    <w:lvl w:ilvl="0" w:tplc="631C98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00"/>
    <w:rsid w:val="00151EAE"/>
    <w:rsid w:val="00156A12"/>
    <w:rsid w:val="002A6C00"/>
    <w:rsid w:val="003157D1"/>
    <w:rsid w:val="004B43F7"/>
    <w:rsid w:val="00DF0483"/>
    <w:rsid w:val="00E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1A07"/>
  <w15:chartTrackingRefBased/>
  <w15:docId w15:val="{419A1893-6670-4A23-89FF-AFEC448C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BEAUDRAULT Sara</cp:lastModifiedBy>
  <cp:revision>2</cp:revision>
  <dcterms:created xsi:type="dcterms:W3CDTF">2021-06-17T00:22:00Z</dcterms:created>
  <dcterms:modified xsi:type="dcterms:W3CDTF">2021-06-17T00:54:00Z</dcterms:modified>
</cp:coreProperties>
</file>