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CE450" w14:textId="77777777" w:rsidR="004E6A47" w:rsidRDefault="004E6A47" w:rsidP="004E6A47">
      <w:pPr>
        <w:pStyle w:val="NormalWeb"/>
        <w:shd w:val="clear" w:color="auto" w:fill="FFFFFF"/>
        <w:spacing w:after="0" w:afterAutospacing="0" w:line="216" w:lineRule="atLeast"/>
        <w:rPr>
          <w:color w:val="222222"/>
        </w:rPr>
      </w:pPr>
      <w:r>
        <w:rPr>
          <w:rFonts w:ascii="Calibri Light" w:hAnsi="Calibri Light" w:cs="Calibri Light"/>
          <w:color w:val="FF0000"/>
          <w:sz w:val="28"/>
          <w:szCs w:val="28"/>
        </w:rPr>
        <w:t>DRAFT</w:t>
      </w:r>
      <w:r>
        <w:rPr>
          <w:rFonts w:ascii="Calibri Light" w:hAnsi="Calibri Light" w:cs="Calibri Light"/>
          <w:color w:val="000000"/>
          <w:sz w:val="28"/>
          <w:szCs w:val="28"/>
        </w:rPr>
        <w:t xml:space="preserve"> Re: </w:t>
      </w:r>
      <w:proofErr w:type="gramStart"/>
      <w:r>
        <w:rPr>
          <w:rFonts w:ascii="Calibri Light" w:hAnsi="Calibri Light" w:cs="Calibri Light"/>
          <w:color w:val="000000"/>
          <w:sz w:val="28"/>
          <w:szCs w:val="28"/>
        </w:rPr>
        <w:t>….your</w:t>
      </w:r>
      <w:proofErr w:type="gramEnd"/>
      <w:r>
        <w:rPr>
          <w:rFonts w:ascii="Calibri Light" w:hAnsi="Calibri Light" w:cs="Calibri Light"/>
          <w:color w:val="000000"/>
          <w:sz w:val="28"/>
          <w:szCs w:val="28"/>
        </w:rPr>
        <w:t xml:space="preserve"> preparation and participation in the discussion of the proposed rules for the Air Toxics Alignment rulemaking…look forward to receiving written feedback by </w:t>
      </w:r>
      <w:r>
        <w:rPr>
          <w:rFonts w:ascii="Calibri Light" w:hAnsi="Calibri Light" w:cs="Calibri Light"/>
          <w:color w:val="000000"/>
          <w:sz w:val="28"/>
          <w:szCs w:val="28"/>
          <w:u w:val="single"/>
        </w:rPr>
        <w:t>COB Friday, February 26 </w:t>
      </w:r>
      <w:r>
        <w:rPr>
          <w:rFonts w:ascii="Calibri Light" w:hAnsi="Calibri Light" w:cs="Calibri Light"/>
          <w:color w:val="000000"/>
          <w:sz w:val="28"/>
          <w:szCs w:val="28"/>
        </w:rPr>
        <w:t>to email (</w:t>
      </w:r>
      <w:hyperlink r:id="rId4" w:tgtFrame="_blank" w:history="1">
        <w:r>
          <w:rPr>
            <w:rStyle w:val="Hyperlink"/>
            <w:rFonts w:ascii="Calibri Light" w:hAnsi="Calibri Light" w:cs="Calibri Light"/>
            <w:color w:val="000000"/>
            <w:sz w:val="28"/>
            <w:szCs w:val="28"/>
          </w:rPr>
          <w:t>wilkinson.hannah@deq.state.or.us</w:t>
        </w:r>
      </w:hyperlink>
      <w:r>
        <w:rPr>
          <w:rFonts w:ascii="Calibri Light" w:hAnsi="Calibri Light" w:cs="Calibri Light"/>
          <w:color w:val="000000"/>
          <w:sz w:val="28"/>
          <w:szCs w:val="28"/>
        </w:rPr>
        <w:t>).</w:t>
      </w:r>
    </w:p>
    <w:p w14:paraId="74CF7FF7" w14:textId="77777777" w:rsidR="004E6A47" w:rsidRDefault="004E6A47" w:rsidP="004E6A47">
      <w:pPr>
        <w:pStyle w:val="NormalWeb"/>
        <w:shd w:val="clear" w:color="auto" w:fill="FFFFFF"/>
        <w:spacing w:after="0" w:afterAutospacing="0" w:line="216" w:lineRule="atLeast"/>
        <w:rPr>
          <w:color w:val="222222"/>
        </w:rPr>
      </w:pPr>
      <w:r>
        <w:rPr>
          <w:rFonts w:ascii="Calibri" w:hAnsi="Calibri" w:cs="Calibri"/>
          <w:color w:val="000000"/>
          <w:sz w:val="28"/>
          <w:szCs w:val="28"/>
        </w:rPr>
        <w:t xml:space="preserve">CLHO appreciates inclusion in this process and the continuation of taking advantage of </w:t>
      </w:r>
      <w:proofErr w:type="gramStart"/>
      <w:r>
        <w:rPr>
          <w:rFonts w:ascii="Calibri" w:hAnsi="Calibri" w:cs="Calibri"/>
          <w:color w:val="000000"/>
          <w:sz w:val="28"/>
          <w:szCs w:val="28"/>
        </w:rPr>
        <w:t>third party</w:t>
      </w:r>
      <w:proofErr w:type="gramEnd"/>
      <w:r>
        <w:rPr>
          <w:rFonts w:ascii="Calibri" w:hAnsi="Calibri" w:cs="Calibri"/>
          <w:color w:val="000000"/>
          <w:sz w:val="28"/>
          <w:szCs w:val="28"/>
        </w:rPr>
        <w:t xml:space="preserve"> scientific expertise in Toxicity Reference Values (TRVs). </w:t>
      </w:r>
    </w:p>
    <w:p w14:paraId="576D1BB1" w14:textId="77777777" w:rsidR="004E6A47" w:rsidRDefault="004E6A47" w:rsidP="004E6A47">
      <w:pPr>
        <w:pStyle w:val="NormalWeb"/>
        <w:shd w:val="clear" w:color="auto" w:fill="FFFFFF"/>
        <w:spacing w:after="0" w:afterAutospacing="0" w:line="216" w:lineRule="atLeast"/>
        <w:rPr>
          <w:color w:val="222222"/>
        </w:rPr>
      </w:pPr>
      <w:r>
        <w:rPr>
          <w:rFonts w:ascii="Calibri" w:hAnsi="Calibri" w:cs="Calibri"/>
          <w:color w:val="000000"/>
          <w:sz w:val="28"/>
          <w:szCs w:val="28"/>
        </w:rPr>
        <w:t>After these 16 hours of presentations and deliberations, it appears that Cleaner Air Oregon and DEQ have not made their case to reduce any of the historical or current input and technical advisory opportunities afforded by ATSAC. </w:t>
      </w:r>
    </w:p>
    <w:p w14:paraId="0FCC43F9" w14:textId="77777777" w:rsidR="004E6A47" w:rsidRDefault="004E6A47" w:rsidP="004E6A47">
      <w:pPr>
        <w:pStyle w:val="NormalWeb"/>
        <w:shd w:val="clear" w:color="auto" w:fill="FFFFFF"/>
        <w:spacing w:after="0" w:afterAutospacing="0" w:line="216" w:lineRule="atLeast"/>
        <w:rPr>
          <w:color w:val="222222"/>
        </w:rPr>
      </w:pPr>
      <w:r>
        <w:rPr>
          <w:rFonts w:ascii="Calibri" w:hAnsi="Calibri" w:cs="Calibri"/>
          <w:color w:val="000000"/>
          <w:sz w:val="28"/>
          <w:szCs w:val="28"/>
        </w:rPr>
        <w:t>CLHO recommends that ATSAC continue to include representatives of Public Health, Environmental Health, and Medical organizations, as well as other experts in risk assessment and air pollution modeling.  CLHO further expresses its perplexity over why the utility and value of such expertise was ever questioned.  </w:t>
      </w:r>
    </w:p>
    <w:p w14:paraId="2A5865CD" w14:textId="77777777" w:rsidR="004E6A47" w:rsidRDefault="004E6A47" w:rsidP="004E6A47">
      <w:pPr>
        <w:pStyle w:val="NormalWeb"/>
        <w:shd w:val="clear" w:color="auto" w:fill="FFFFFF"/>
        <w:spacing w:after="0" w:afterAutospacing="0" w:line="216" w:lineRule="atLeast"/>
        <w:rPr>
          <w:color w:val="222222"/>
        </w:rPr>
      </w:pPr>
      <w:r>
        <w:rPr>
          <w:rFonts w:ascii="Calibri" w:hAnsi="Calibri" w:cs="Calibri"/>
          <w:color w:val="000000"/>
          <w:sz w:val="28"/>
          <w:szCs w:val="28"/>
        </w:rPr>
        <w:t>CLHO also recommends that, in the new Division 247, that DEQ continue to have ATSAC evaluate overall progress in reducing emissions/ exposure to airborne toxins and convene and rely upon ATSAC to advise on questions requiring scientific expertise.</w:t>
      </w:r>
    </w:p>
    <w:p w14:paraId="1C4621BF" w14:textId="77777777" w:rsidR="004E6A47" w:rsidRDefault="004E6A47" w:rsidP="004E6A47">
      <w:pPr>
        <w:pStyle w:val="NormalWeb"/>
        <w:shd w:val="clear" w:color="auto" w:fill="FFFFFF"/>
        <w:spacing w:after="0" w:afterAutospacing="0" w:line="216" w:lineRule="atLeast"/>
        <w:rPr>
          <w:color w:val="222222"/>
        </w:rPr>
      </w:pPr>
      <w:r>
        <w:rPr>
          <w:rFonts w:ascii="Calibri" w:hAnsi="Calibri" w:cs="Calibri"/>
          <w:color w:val="000000"/>
          <w:sz w:val="28"/>
          <w:szCs w:val="28"/>
        </w:rPr>
        <w:t>CLHO also encourages the use of quorums and consensus building during such deliberations.</w:t>
      </w:r>
    </w:p>
    <w:p w14:paraId="49895FAC" w14:textId="77777777" w:rsidR="004E6A47" w:rsidRDefault="004E6A47" w:rsidP="004E6A47">
      <w:pPr>
        <w:pStyle w:val="NormalWeb"/>
        <w:shd w:val="clear" w:color="auto" w:fill="FFFFFF"/>
        <w:spacing w:after="0" w:afterAutospacing="0" w:line="216" w:lineRule="atLeast"/>
        <w:rPr>
          <w:color w:val="222222"/>
        </w:rPr>
      </w:pPr>
      <w:r>
        <w:rPr>
          <w:rFonts w:ascii="Calibri" w:hAnsi="Calibri" w:cs="Calibri"/>
          <w:color w:val="000000"/>
          <w:sz w:val="28"/>
          <w:szCs w:val="28"/>
        </w:rPr>
        <w:t>Thank you.</w:t>
      </w:r>
    </w:p>
    <w:p w14:paraId="75C0B1FF" w14:textId="77777777" w:rsidR="00602838" w:rsidRDefault="00602838"/>
    <w:sectPr w:rsidR="00602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47"/>
    <w:rsid w:val="004E6A47"/>
    <w:rsid w:val="00602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6D394C"/>
  <w15:chartTrackingRefBased/>
  <w15:docId w15:val="{FFE22313-141C-3444-94B6-8F556838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A4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E6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9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lkinson.hannah@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Cowling</dc:creator>
  <cp:keywords/>
  <dc:description/>
  <cp:lastModifiedBy>Morgan Cowling</cp:lastModifiedBy>
  <cp:revision>1</cp:revision>
  <dcterms:created xsi:type="dcterms:W3CDTF">2021-02-18T00:48:00Z</dcterms:created>
  <dcterms:modified xsi:type="dcterms:W3CDTF">2021-02-18T00:49:00Z</dcterms:modified>
</cp:coreProperties>
</file>