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658A"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b/>
          <w:bCs/>
          <w:color w:val="222222"/>
        </w:rPr>
        <w:t>Talk about challenges CD committee is having with giving feedback to OHA:</w:t>
      </w:r>
    </w:p>
    <w:p w14:paraId="5CE71A8D"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28F26EA3"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I wanted to just start by saying that this workgroup was started after discussion and consultation with both OHA and CLHO. It was started to address the need for open lines of communication between LPHAs and OHA during COVID.</w:t>
      </w:r>
    </w:p>
    <w:p w14:paraId="778B2DC4"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3167AE24"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In November of 2020, a weekly CLHO-CD COVID specific workgroup was formalized with members of CLHO-CD and some additional COVID-specific staff selected by CLHO-CD committee counties. County members understood the focus of the workgroup to be discussions for big picture operational changes prior to implementation, the impact of the COVID response at the local level and a place to review updates to the investigative guidelines prior to implementation.</w:t>
      </w:r>
    </w:p>
    <w:p w14:paraId="71907151"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4D583340"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Over the last 6 months, workgroup members have felt that the objectives have not been met. There has been frustration at the lack of meaningful items brought to the group, duplication between calls, inability to routinely review the IGs before they are released and unrealistic timelines for feedback.</w:t>
      </w:r>
    </w:p>
    <w:p w14:paraId="4BB2FDC8"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2CBED233"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xml:space="preserve">The county workgroup members sent a letter to Jocelyn, </w:t>
      </w:r>
      <w:proofErr w:type="gramStart"/>
      <w:r w:rsidRPr="005F5654">
        <w:rPr>
          <w:rFonts w:ascii="Arial" w:eastAsia="Times New Roman" w:hAnsi="Arial" w:cs="Arial"/>
          <w:color w:val="222222"/>
        </w:rPr>
        <w:t>Paul</w:t>
      </w:r>
      <w:proofErr w:type="gramEnd"/>
      <w:r w:rsidRPr="005F5654">
        <w:rPr>
          <w:rFonts w:ascii="Arial" w:eastAsia="Times New Roman" w:hAnsi="Arial" w:cs="Arial"/>
          <w:color w:val="222222"/>
        </w:rPr>
        <w:t xml:space="preserve"> and Collette on June 2</w:t>
      </w:r>
      <w:r w:rsidRPr="005F5654">
        <w:rPr>
          <w:rFonts w:ascii="Arial" w:eastAsia="Times New Roman" w:hAnsi="Arial" w:cs="Arial"/>
          <w:color w:val="222222"/>
          <w:vertAlign w:val="superscript"/>
        </w:rPr>
        <w:t>nd</w:t>
      </w:r>
      <w:r w:rsidRPr="005F5654">
        <w:rPr>
          <w:rFonts w:ascii="Arial" w:eastAsia="Times New Roman" w:hAnsi="Arial" w:cs="Arial"/>
          <w:color w:val="222222"/>
        </w:rPr>
        <w:t> to express these concerns and offer recommendations for the workgroup to move forward. Those recommendations included: having a clear delineation between agenda items for the CLHO-CD COVID workgroup versus other meetings with OHA throughout the week, having agenda items that meet the purpose of the workgroup and consider that county decisionmakers for COVID are in attendance and brining OHA decisionmakers to workgroup meetings to ensure robust discussion and movement.</w:t>
      </w:r>
    </w:p>
    <w:p w14:paraId="2F92C1A0"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2C1ADB76"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On June 10, OHA responded to the workgroup with a letter and Wendy and I, along with Jocelyn, had a meeting with OHA last Friday to discuss next steps. It was decided to continue the workgroup with a CLHO-CD meeting scheduled the second to last Friday of each month specific to COVID. We are looking at scheduling a meeting the first week of July to inform the July 6 IG and discuss reopening so that key OHA staff can be in attendance to discuss expectations for the workgroup moving forward. The workgroup will then shift to the second to last Friday of the month.</w:t>
      </w:r>
    </w:p>
    <w:p w14:paraId="1D620A85"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553A6330"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xml:space="preserve">We wanted to ask you all if you have concerns about moving from a weekly meeting to a </w:t>
      </w:r>
      <w:proofErr w:type="gramStart"/>
      <w:r w:rsidRPr="005F5654">
        <w:rPr>
          <w:rFonts w:ascii="Arial" w:eastAsia="Times New Roman" w:hAnsi="Arial" w:cs="Arial"/>
          <w:color w:val="222222"/>
        </w:rPr>
        <w:t>once a month</w:t>
      </w:r>
      <w:proofErr w:type="gramEnd"/>
      <w:r w:rsidRPr="005F5654">
        <w:rPr>
          <w:rFonts w:ascii="Arial" w:eastAsia="Times New Roman" w:hAnsi="Arial" w:cs="Arial"/>
          <w:color w:val="222222"/>
        </w:rPr>
        <w:t xml:space="preserve"> COVID collaboration meeting and any other recommendations you have for us moving forward.</w:t>
      </w:r>
    </w:p>
    <w:p w14:paraId="3BFBFE3B"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4D54F673"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Also wanted to say that if your county is not currently involved in the CLHO-CD COVID workgroup but would like to be, please reach out.</w:t>
      </w:r>
    </w:p>
    <w:p w14:paraId="4F7F6B86"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664CD409"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2C6F4DBD"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Thank you,</w:t>
      </w:r>
    </w:p>
    <w:p w14:paraId="450617CA"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p w14:paraId="15CB68D7"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Kathleen</w:t>
      </w:r>
    </w:p>
    <w:p w14:paraId="3781CC62" w14:textId="77777777" w:rsidR="005F5654" w:rsidRPr="005F5654" w:rsidRDefault="005F5654" w:rsidP="005F5654">
      <w:pPr>
        <w:shd w:val="clear" w:color="auto" w:fill="FFFFFF"/>
        <w:rPr>
          <w:rFonts w:ascii="Arial" w:eastAsia="Times New Roman" w:hAnsi="Arial" w:cs="Arial"/>
          <w:color w:val="222222"/>
        </w:rPr>
      </w:pPr>
      <w:r w:rsidRPr="005F5654">
        <w:rPr>
          <w:rFonts w:ascii="Arial" w:eastAsia="Times New Roman" w:hAnsi="Arial" w:cs="Arial"/>
          <w:color w:val="222222"/>
        </w:rPr>
        <w:t> </w:t>
      </w:r>
    </w:p>
    <w:tbl>
      <w:tblPr>
        <w:tblW w:w="0" w:type="auto"/>
        <w:shd w:val="clear" w:color="auto" w:fill="FFFFFF"/>
        <w:tblCellMar>
          <w:left w:w="0" w:type="dxa"/>
          <w:right w:w="0" w:type="dxa"/>
        </w:tblCellMar>
        <w:tblLook w:val="04A0" w:firstRow="1" w:lastRow="0" w:firstColumn="1" w:lastColumn="0" w:noHBand="0" w:noVBand="1"/>
      </w:tblPr>
      <w:tblGrid>
        <w:gridCol w:w="6300"/>
      </w:tblGrid>
      <w:tr w:rsidR="005F5654" w:rsidRPr="005F5654" w14:paraId="00CF23FB" w14:textId="77777777" w:rsidTr="005F5654">
        <w:tc>
          <w:tcPr>
            <w:tcW w:w="6300" w:type="dxa"/>
            <w:shd w:val="clear" w:color="auto" w:fill="FFFFFF"/>
            <w:hideMark/>
          </w:tcPr>
          <w:p w14:paraId="098AA1FF" w14:textId="77777777" w:rsidR="005F5654" w:rsidRPr="005F5654" w:rsidRDefault="005F5654" w:rsidP="005F5654">
            <w:pPr>
              <w:rPr>
                <w:rFonts w:ascii="Roboto" w:eastAsia="Times New Roman" w:hAnsi="Roboto" w:cs="Arial"/>
                <w:color w:val="222222"/>
              </w:rPr>
            </w:pPr>
            <w:r w:rsidRPr="005F5654">
              <w:rPr>
                <w:rFonts w:ascii="Roboto" w:eastAsia="Times New Roman" w:hAnsi="Roboto" w:cs="Arial"/>
                <w:b/>
                <w:bCs/>
                <w:color w:val="0078AE"/>
                <w:sz w:val="21"/>
                <w:szCs w:val="21"/>
              </w:rPr>
              <w:t>Kathleen Rees, MSPH</w:t>
            </w:r>
            <w:r w:rsidRPr="005F5654">
              <w:rPr>
                <w:rFonts w:ascii="Roboto" w:eastAsia="Times New Roman" w:hAnsi="Roboto" w:cs="Arial"/>
                <w:b/>
                <w:bCs/>
                <w:color w:val="000000"/>
                <w:sz w:val="21"/>
                <w:szCs w:val="21"/>
              </w:rPr>
              <w:t> </w:t>
            </w:r>
            <w:r w:rsidRPr="005F5654">
              <w:rPr>
                <w:rFonts w:ascii="Roboto" w:eastAsia="Times New Roman" w:hAnsi="Roboto" w:cs="Arial"/>
                <w:color w:val="000000"/>
                <w:sz w:val="21"/>
                <w:szCs w:val="21"/>
              </w:rPr>
              <w:t>| </w:t>
            </w:r>
            <w:r w:rsidRPr="005F5654">
              <w:rPr>
                <w:rFonts w:ascii="Roboto" w:eastAsia="Times New Roman" w:hAnsi="Roboto" w:cs="Arial"/>
                <w:b/>
                <w:bCs/>
                <w:color w:val="0078AE"/>
                <w:sz w:val="21"/>
                <w:szCs w:val="21"/>
              </w:rPr>
              <w:t>Translational Research &amp; Policy Analyst/</w:t>
            </w:r>
          </w:p>
          <w:p w14:paraId="267577AC" w14:textId="77777777" w:rsidR="005F5654" w:rsidRPr="005F5654" w:rsidRDefault="005F5654" w:rsidP="005F5654">
            <w:pPr>
              <w:rPr>
                <w:rFonts w:ascii="Roboto" w:eastAsia="Times New Roman" w:hAnsi="Roboto" w:cs="Arial"/>
                <w:color w:val="222222"/>
              </w:rPr>
            </w:pPr>
            <w:r w:rsidRPr="005F5654">
              <w:rPr>
                <w:rFonts w:ascii="Roboto" w:eastAsia="Times New Roman" w:hAnsi="Roboto" w:cs="Arial"/>
                <w:b/>
                <w:bCs/>
                <w:color w:val="0078AE"/>
                <w:sz w:val="21"/>
                <w:szCs w:val="21"/>
              </w:rPr>
              <w:lastRenderedPageBreak/>
              <w:t>COVID-19 Epidemiology High Risk Task Force Supervisor</w:t>
            </w:r>
          </w:p>
          <w:p w14:paraId="037CD8A1" w14:textId="77777777" w:rsidR="005F5654" w:rsidRPr="005F5654" w:rsidRDefault="005F5654" w:rsidP="005F5654">
            <w:pPr>
              <w:shd w:val="clear" w:color="auto" w:fill="FFFFFF"/>
              <w:rPr>
                <w:rFonts w:ascii="Roboto" w:eastAsia="Times New Roman" w:hAnsi="Roboto" w:cs="Arial"/>
                <w:color w:val="222222"/>
              </w:rPr>
            </w:pPr>
            <w:r w:rsidRPr="005F5654">
              <w:rPr>
                <w:rFonts w:ascii="Roboto" w:eastAsia="Times New Roman" w:hAnsi="Roboto" w:cs="Arial"/>
                <w:i/>
                <w:iCs/>
                <w:color w:val="000000"/>
                <w:sz w:val="21"/>
                <w:szCs w:val="21"/>
              </w:rPr>
              <w:t>Pronouns: she/her/hers</w:t>
            </w:r>
          </w:p>
          <w:p w14:paraId="678F557A" w14:textId="77777777" w:rsidR="005F5654" w:rsidRPr="005F5654" w:rsidRDefault="005F5654" w:rsidP="005F5654">
            <w:pPr>
              <w:shd w:val="clear" w:color="auto" w:fill="FFFFFF"/>
              <w:rPr>
                <w:rFonts w:ascii="Roboto" w:eastAsia="Times New Roman" w:hAnsi="Roboto" w:cs="Arial"/>
                <w:color w:val="222222"/>
              </w:rPr>
            </w:pPr>
            <w:r w:rsidRPr="005F5654">
              <w:rPr>
                <w:rFonts w:ascii="Roboto" w:eastAsia="Times New Roman" w:hAnsi="Roboto" w:cs="Arial"/>
                <w:color w:val="000000"/>
                <w:sz w:val="21"/>
                <w:szCs w:val="21"/>
              </w:rPr>
              <w:t>Washington County Public Health Division</w:t>
            </w:r>
          </w:p>
        </w:tc>
      </w:tr>
      <w:tr w:rsidR="005F5654" w:rsidRPr="005F5654" w14:paraId="22C3792E" w14:textId="77777777" w:rsidTr="005F5654">
        <w:trPr>
          <w:trHeight w:val="276"/>
        </w:trPr>
        <w:tc>
          <w:tcPr>
            <w:tcW w:w="6300" w:type="dxa"/>
            <w:shd w:val="clear" w:color="auto" w:fill="FFFFFF"/>
            <w:hideMark/>
          </w:tcPr>
          <w:p w14:paraId="25A414EC" w14:textId="77777777" w:rsidR="005F5654" w:rsidRPr="005F5654" w:rsidRDefault="005F5654" w:rsidP="005F5654">
            <w:pPr>
              <w:rPr>
                <w:rFonts w:ascii="Roboto" w:eastAsia="Times New Roman" w:hAnsi="Roboto" w:cs="Arial"/>
                <w:color w:val="222222"/>
              </w:rPr>
            </w:pPr>
            <w:r w:rsidRPr="005F5654">
              <w:rPr>
                <w:rFonts w:ascii="Roboto" w:eastAsia="Times New Roman" w:hAnsi="Roboto" w:cs="Arial"/>
                <w:color w:val="000000"/>
                <w:sz w:val="21"/>
                <w:szCs w:val="21"/>
              </w:rPr>
              <w:lastRenderedPageBreak/>
              <w:t>503-846-8743</w:t>
            </w:r>
          </w:p>
        </w:tc>
      </w:tr>
    </w:tbl>
    <w:p w14:paraId="1C2EFF4B" w14:textId="77777777" w:rsidR="00CF4E51" w:rsidRDefault="00CF4E51"/>
    <w:sectPr w:rsidR="00CF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54"/>
    <w:rsid w:val="005F5654"/>
    <w:rsid w:val="00A917A7"/>
    <w:rsid w:val="00CF4E51"/>
    <w:rsid w:val="00E0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E46F2"/>
  <w15:chartTrackingRefBased/>
  <w15:docId w15:val="{9FDCEE01-6434-3349-A956-9C62083D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olkit Heading 1"/>
    <w:basedOn w:val="Normal"/>
    <w:next w:val="Normal"/>
    <w:autoRedefine/>
    <w:uiPriority w:val="39"/>
    <w:unhideWhenUsed/>
    <w:qFormat/>
    <w:rsid w:val="00A917A7"/>
    <w:pPr>
      <w:spacing w:before="240" w:after="120"/>
    </w:pPr>
    <w:rPr>
      <w:rFonts w:ascii="Century Gothic" w:eastAsiaTheme="minorEastAsia" w:hAnsi="Century Gothic" w:cstheme="minorBidi"/>
      <w:b/>
      <w:bCs/>
      <w:color w:val="00B050"/>
      <w:sz w:val="28"/>
      <w:szCs w:val="20"/>
    </w:rPr>
  </w:style>
  <w:style w:type="paragraph" w:styleId="TOC2">
    <w:name w:val="toc 2"/>
    <w:aliases w:val="Toolkit Heading 2"/>
    <w:basedOn w:val="Normal"/>
    <w:next w:val="Normal"/>
    <w:autoRedefine/>
    <w:uiPriority w:val="39"/>
    <w:unhideWhenUsed/>
    <w:qFormat/>
    <w:rsid w:val="00A917A7"/>
    <w:pPr>
      <w:spacing w:before="120"/>
    </w:pPr>
    <w:rPr>
      <w:rFonts w:ascii="Century Gothic" w:eastAsiaTheme="minorEastAsia" w:hAnsi="Century Gothic" w:cstheme="minorBidi"/>
      <w:b/>
      <w:iCs/>
      <w:color w:val="000000" w:themeColor="text1"/>
      <w:szCs w:val="20"/>
    </w:rPr>
  </w:style>
  <w:style w:type="paragraph" w:customStyle="1" w:styleId="LauraHeading1">
    <w:name w:val="Laura Heading 1"/>
    <w:basedOn w:val="Normal"/>
    <w:qFormat/>
    <w:rsid w:val="00E0091E"/>
    <w:pPr>
      <w:spacing w:after="200" w:line="276" w:lineRule="auto"/>
    </w:pPr>
    <w:rPr>
      <w:rFonts w:ascii="Century Gothic" w:hAnsi="Century Gothic" w:cs="Arial"/>
      <w:b/>
      <w:color w:val="00B050"/>
      <w:sz w:val="28"/>
    </w:rPr>
  </w:style>
  <w:style w:type="paragraph" w:customStyle="1" w:styleId="LauraHeading2">
    <w:name w:val="Laura Heading 2"/>
    <w:basedOn w:val="Normal"/>
    <w:qFormat/>
    <w:rsid w:val="00E0091E"/>
    <w:pPr>
      <w:spacing w:after="200" w:line="276" w:lineRule="auto"/>
    </w:pPr>
    <w:rPr>
      <w:rFonts w:ascii="Century Gothic" w:hAnsi="Century Gothic" w:cs="Arial"/>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3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Daily</dc:creator>
  <cp:keywords/>
  <dc:description/>
  <cp:lastModifiedBy>Laura Daily</cp:lastModifiedBy>
  <cp:revision>1</cp:revision>
  <dcterms:created xsi:type="dcterms:W3CDTF">2021-06-18T19:39:00Z</dcterms:created>
  <dcterms:modified xsi:type="dcterms:W3CDTF">2021-06-18T19:40:00Z</dcterms:modified>
</cp:coreProperties>
</file>