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D4D8" w14:textId="3C45C9D3" w:rsidR="002B41DB" w:rsidRPr="00102610" w:rsidRDefault="002B41DB" w:rsidP="00102610">
      <w:pPr>
        <w:jc w:val="center"/>
        <w:rPr>
          <w:b/>
          <w:bCs/>
        </w:rPr>
      </w:pPr>
      <w:r w:rsidRPr="00102610">
        <w:rPr>
          <w:b/>
          <w:bCs/>
        </w:rPr>
        <w:t>2021 COVID-19 Funding Sources for Local Public Health Authorities</w:t>
      </w:r>
    </w:p>
    <w:p w14:paraId="49BC1897" w14:textId="5AD31252" w:rsidR="00102610" w:rsidRDefault="00102610">
      <w:r>
        <w:t xml:space="preserve">This is not an exhaustive list of all of the funding that has come to local public health authorities during the pandemic.  However, </w:t>
      </w:r>
      <w:r w:rsidR="00C3068C">
        <w:t xml:space="preserve">this document </w:t>
      </w:r>
      <w:r>
        <w:t xml:space="preserve">does represent specific funding allocations that have come to local public health authorities </w:t>
      </w:r>
      <w:r w:rsidR="00C3068C">
        <w:t>in the Inter-Governmental Agreement with the</w:t>
      </w:r>
      <w:r>
        <w:t xml:space="preserve"> Oregon Health Authority </w:t>
      </w:r>
      <w:r w:rsidR="00C3068C">
        <w:t xml:space="preserve">from </w:t>
      </w:r>
      <w:r>
        <w:t xml:space="preserve"> federal funding streams. More information about all funding streams can be found here - </w:t>
      </w:r>
      <w:r w:rsidRPr="00102610">
        <w:rPr>
          <w:sz w:val="20"/>
          <w:szCs w:val="20"/>
        </w:rPr>
        <w:t>https://www.oregon.gov/oha/PH/PROVIDERPARTNERRESOURCES/LOCALHEALTHDEPARTMENTRESOURCES/Documents/COVID-19-LPHA-Funding-REVISED.pdf</w:t>
      </w:r>
    </w:p>
    <w:tbl>
      <w:tblPr>
        <w:tblStyle w:val="TableGrid"/>
        <w:tblW w:w="1050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070"/>
        <w:gridCol w:w="2250"/>
        <w:gridCol w:w="1980"/>
        <w:gridCol w:w="2250"/>
        <w:gridCol w:w="1953"/>
      </w:tblGrid>
      <w:tr w:rsidR="00517729" w:rsidRPr="00B61F77" w14:paraId="063599E9" w14:textId="77777777" w:rsidTr="00F31414">
        <w:tc>
          <w:tcPr>
            <w:tcW w:w="2070" w:type="dxa"/>
          </w:tcPr>
          <w:p w14:paraId="07B3EB6F" w14:textId="31195327" w:rsidR="00517729" w:rsidRPr="00B61F77" w:rsidRDefault="00517729" w:rsidP="00095DA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B61F77">
              <w:rPr>
                <w:b/>
                <w:bCs/>
                <w:sz w:val="24"/>
                <w:szCs w:val="24"/>
              </w:rPr>
              <w:t>Funding source</w:t>
            </w:r>
          </w:p>
        </w:tc>
        <w:tc>
          <w:tcPr>
            <w:tcW w:w="4230" w:type="dxa"/>
            <w:gridSpan w:val="2"/>
          </w:tcPr>
          <w:p w14:paraId="3FD41295" w14:textId="77777777" w:rsidR="00F31414" w:rsidRDefault="00517729" w:rsidP="00F31414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Federal Funds – CDC Epidemiology and Laboratory Capacity (ELC) grant </w:t>
            </w:r>
          </w:p>
          <w:p w14:paraId="4EEB6E3B" w14:textId="7C4A0CA5" w:rsidR="00517729" w:rsidRPr="00F31414" w:rsidRDefault="00F31414" w:rsidP="00F31414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17729">
              <w:rPr>
                <w:sz w:val="24"/>
                <w:szCs w:val="24"/>
              </w:rPr>
              <w:t>CARES Act of 2020 Package)</w:t>
            </w:r>
          </w:p>
          <w:p w14:paraId="05424D80" w14:textId="38F099F0" w:rsidR="00517729" w:rsidRDefault="00517729" w:rsidP="00095DA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5BA3EC48" w14:textId="3520336E" w:rsidR="00517729" w:rsidRDefault="00517729" w:rsidP="00095DA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Federal Funds – CDC Epidemiology and Laboratory Capacity (ELC) grant (</w:t>
            </w:r>
            <w:r w:rsidR="00102610">
              <w:rPr>
                <w:sz w:val="24"/>
                <w:szCs w:val="24"/>
              </w:rPr>
              <w:t xml:space="preserve">COVID Relief Package </w:t>
            </w:r>
            <w:r>
              <w:rPr>
                <w:sz w:val="24"/>
                <w:szCs w:val="24"/>
              </w:rPr>
              <w:t>Dec</w:t>
            </w:r>
            <w:r w:rsidR="00102610">
              <w:rPr>
                <w:sz w:val="24"/>
                <w:szCs w:val="24"/>
              </w:rPr>
              <w:t>ember</w:t>
            </w:r>
            <w:r>
              <w:rPr>
                <w:sz w:val="24"/>
                <w:szCs w:val="24"/>
              </w:rPr>
              <w:t xml:space="preserve"> 20)</w:t>
            </w:r>
          </w:p>
        </w:tc>
        <w:tc>
          <w:tcPr>
            <w:tcW w:w="1953" w:type="dxa"/>
          </w:tcPr>
          <w:p w14:paraId="3AAC7C9E" w14:textId="5830930E" w:rsidR="00517729" w:rsidRDefault="00517729" w:rsidP="00095DA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Federal Funds – CDC Immunization </w:t>
            </w:r>
            <w:r w:rsidR="00102610">
              <w:rPr>
                <w:sz w:val="24"/>
                <w:szCs w:val="24"/>
              </w:rPr>
              <w:t>(COVID Relief Package December 20)</w:t>
            </w:r>
          </w:p>
        </w:tc>
      </w:tr>
      <w:tr w:rsidR="00095DA9" w:rsidRPr="00B61F77" w14:paraId="0017DB52" w14:textId="024BFFD5" w:rsidTr="00F31414">
        <w:tc>
          <w:tcPr>
            <w:tcW w:w="2070" w:type="dxa"/>
          </w:tcPr>
          <w:p w14:paraId="5C284E53" w14:textId="711207F8" w:rsidR="00095DA9" w:rsidRDefault="00AC1684" w:rsidP="00095DA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PH </w:t>
            </w:r>
            <w:r w:rsidR="00095DA9">
              <w:rPr>
                <w:b/>
                <w:bCs/>
                <w:sz w:val="24"/>
                <w:szCs w:val="24"/>
              </w:rPr>
              <w:t xml:space="preserve">IGA </w:t>
            </w:r>
          </w:p>
        </w:tc>
        <w:tc>
          <w:tcPr>
            <w:tcW w:w="2250" w:type="dxa"/>
          </w:tcPr>
          <w:p w14:paraId="6DF6135F" w14:textId="6BE21ABA" w:rsidR="00095DA9" w:rsidRPr="00B61F77" w:rsidRDefault="00095DA9" w:rsidP="00095DA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01-07</w:t>
            </w:r>
          </w:p>
        </w:tc>
        <w:tc>
          <w:tcPr>
            <w:tcW w:w="1980" w:type="dxa"/>
          </w:tcPr>
          <w:p w14:paraId="1452199A" w14:textId="77777777" w:rsidR="00095DA9" w:rsidRPr="00B61F77" w:rsidRDefault="00095DA9" w:rsidP="00095DA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01-08</w:t>
            </w:r>
          </w:p>
        </w:tc>
        <w:tc>
          <w:tcPr>
            <w:tcW w:w="2250" w:type="dxa"/>
          </w:tcPr>
          <w:p w14:paraId="2CACE69D" w14:textId="77777777" w:rsidR="00095DA9" w:rsidRPr="00B61F77" w:rsidRDefault="00095DA9" w:rsidP="00095DA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01-09</w:t>
            </w:r>
          </w:p>
        </w:tc>
        <w:tc>
          <w:tcPr>
            <w:tcW w:w="1953" w:type="dxa"/>
          </w:tcPr>
          <w:p w14:paraId="265C18BA" w14:textId="1EBED5D7" w:rsidR="00095DA9" w:rsidRDefault="00095DA9" w:rsidP="00095DA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01-10</w:t>
            </w:r>
          </w:p>
        </w:tc>
      </w:tr>
      <w:tr w:rsidR="00095DA9" w14:paraId="610A08BA" w14:textId="460FA5DA" w:rsidTr="00F31414">
        <w:tc>
          <w:tcPr>
            <w:tcW w:w="2070" w:type="dxa"/>
          </w:tcPr>
          <w:p w14:paraId="05F1C83D" w14:textId="2DBFED55" w:rsidR="00095DA9" w:rsidRDefault="00095DA9" w:rsidP="00095DA9">
            <w:pPr>
              <w:spacing w:after="240"/>
              <w:rPr>
                <w:sz w:val="24"/>
                <w:szCs w:val="24"/>
              </w:rPr>
            </w:pPr>
            <w:r w:rsidRPr="00B61F77">
              <w:rPr>
                <w:b/>
                <w:bCs/>
                <w:sz w:val="24"/>
                <w:szCs w:val="24"/>
              </w:rPr>
              <w:t xml:space="preserve">Start-end dates </w:t>
            </w:r>
          </w:p>
        </w:tc>
        <w:tc>
          <w:tcPr>
            <w:tcW w:w="2250" w:type="dxa"/>
          </w:tcPr>
          <w:p w14:paraId="2E459ACD" w14:textId="1151B0A1" w:rsidR="00095DA9" w:rsidRDefault="00095DA9" w:rsidP="00095DA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12/31/20-6/30/21, </w:t>
            </w:r>
            <w:r w:rsidRPr="00B22C57">
              <w:rPr>
                <w:sz w:val="24"/>
                <w:szCs w:val="24"/>
              </w:rPr>
              <w:t>unspent funds will be carried forward to FY22</w:t>
            </w:r>
          </w:p>
        </w:tc>
        <w:tc>
          <w:tcPr>
            <w:tcW w:w="1980" w:type="dxa"/>
          </w:tcPr>
          <w:p w14:paraId="3F50854A" w14:textId="77777777" w:rsidR="00095DA9" w:rsidRDefault="00095DA9" w:rsidP="00095DA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12/31/20-6/30/21, </w:t>
            </w:r>
            <w:r w:rsidRPr="00B22C57">
              <w:rPr>
                <w:sz w:val="24"/>
                <w:szCs w:val="24"/>
              </w:rPr>
              <w:t>unspent funds will be carried forward to FY22</w:t>
            </w:r>
          </w:p>
        </w:tc>
        <w:tc>
          <w:tcPr>
            <w:tcW w:w="2250" w:type="dxa"/>
          </w:tcPr>
          <w:p w14:paraId="0F162EB2" w14:textId="4452CEF5" w:rsidR="00095DA9" w:rsidRDefault="00095DA9" w:rsidP="00095DA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01/15/21-6/3</w:t>
            </w:r>
            <w:r w:rsidR="002111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/</w:t>
            </w:r>
            <w:r w:rsidR="00655488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14:paraId="043D0AAC" w14:textId="7DBDD0EE" w:rsidR="00095DA9" w:rsidRDefault="00AE5F62" w:rsidP="00095DA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1684">
              <w:rPr>
                <w:sz w:val="24"/>
                <w:szCs w:val="24"/>
              </w:rPr>
              <w:t>7</w:t>
            </w:r>
            <w:r w:rsidR="002111D1">
              <w:rPr>
                <w:sz w:val="24"/>
                <w:szCs w:val="24"/>
              </w:rPr>
              <w:t>/1</w:t>
            </w:r>
            <w:r w:rsidR="00AC1684">
              <w:rPr>
                <w:sz w:val="24"/>
                <w:szCs w:val="24"/>
              </w:rPr>
              <w:t xml:space="preserve">/20 </w:t>
            </w:r>
            <w:proofErr w:type="gramStart"/>
            <w:r w:rsidR="00AC168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="00095DA9">
              <w:rPr>
                <w:sz w:val="24"/>
                <w:szCs w:val="24"/>
              </w:rPr>
              <w:t>6</w:t>
            </w:r>
            <w:proofErr w:type="gramEnd"/>
            <w:r w:rsidR="00095DA9">
              <w:rPr>
                <w:sz w:val="24"/>
                <w:szCs w:val="24"/>
              </w:rPr>
              <w:t>/30/24</w:t>
            </w:r>
          </w:p>
        </w:tc>
      </w:tr>
      <w:tr w:rsidR="00AC1684" w14:paraId="796BB1C7" w14:textId="77777777" w:rsidTr="00F31414">
        <w:tc>
          <w:tcPr>
            <w:tcW w:w="2070" w:type="dxa"/>
          </w:tcPr>
          <w:p w14:paraId="647E3705" w14:textId="5D4BA7B4" w:rsidR="00AC1684" w:rsidRPr="00B61F77" w:rsidRDefault="00517729" w:rsidP="00095DA9">
            <w:pPr>
              <w:spacing w:after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Amount Allocated to </w:t>
            </w:r>
            <w:r w:rsidR="00AC1684">
              <w:rPr>
                <w:b/>
                <w:bCs/>
                <w:sz w:val="24"/>
                <w:szCs w:val="24"/>
              </w:rPr>
              <w:t>Oregon Funding</w:t>
            </w:r>
          </w:p>
        </w:tc>
        <w:tc>
          <w:tcPr>
            <w:tcW w:w="4230" w:type="dxa"/>
            <w:gridSpan w:val="2"/>
          </w:tcPr>
          <w:p w14:paraId="131BFBB9" w14:textId="72A9B54C" w:rsidR="00AC1684" w:rsidRDefault="00AC1684" w:rsidP="0010261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$86 million</w:t>
            </w:r>
          </w:p>
        </w:tc>
        <w:tc>
          <w:tcPr>
            <w:tcW w:w="2250" w:type="dxa"/>
          </w:tcPr>
          <w:p w14:paraId="3394A2E1" w14:textId="6A58952C" w:rsidR="00AC1684" w:rsidRDefault="00AC1684" w:rsidP="0010261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$242 million</w:t>
            </w:r>
          </w:p>
        </w:tc>
        <w:tc>
          <w:tcPr>
            <w:tcW w:w="1953" w:type="dxa"/>
          </w:tcPr>
          <w:p w14:paraId="68394DD4" w14:textId="71A18ED5" w:rsidR="00AC1684" w:rsidRDefault="00AC1684" w:rsidP="0010261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$38 million</w:t>
            </w:r>
          </w:p>
        </w:tc>
      </w:tr>
      <w:tr w:rsidR="00095DA9" w14:paraId="0DB96A15" w14:textId="77777777" w:rsidTr="00F31414">
        <w:trPr>
          <w:trHeight w:val="1178"/>
        </w:trPr>
        <w:tc>
          <w:tcPr>
            <w:tcW w:w="2070" w:type="dxa"/>
          </w:tcPr>
          <w:p w14:paraId="35898213" w14:textId="6DF20503" w:rsidR="00095DA9" w:rsidRPr="00B61F77" w:rsidRDefault="00095DA9" w:rsidP="00095DA9">
            <w:pPr>
              <w:spacing w:after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Amount Allocated to LPHAs</w:t>
            </w:r>
          </w:p>
        </w:tc>
        <w:tc>
          <w:tcPr>
            <w:tcW w:w="2250" w:type="dxa"/>
          </w:tcPr>
          <w:p w14:paraId="774FEED6" w14:textId="282B5304" w:rsidR="00095DA9" w:rsidRDefault="00AE5F62" w:rsidP="00095DA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 million</w:t>
            </w:r>
            <w:r w:rsidR="00655488">
              <w:rPr>
                <w:sz w:val="24"/>
                <w:szCs w:val="24"/>
              </w:rPr>
              <w:t xml:space="preserve"> allocated via formula</w:t>
            </w:r>
          </w:p>
        </w:tc>
        <w:tc>
          <w:tcPr>
            <w:tcW w:w="1980" w:type="dxa"/>
          </w:tcPr>
          <w:p w14:paraId="508A8313" w14:textId="3A85A102" w:rsidR="00095DA9" w:rsidRDefault="00AE5F62" w:rsidP="00095DA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$20,000 per </w:t>
            </w:r>
            <w:r w:rsidR="00655488">
              <w:rPr>
                <w:sz w:val="24"/>
                <w:szCs w:val="24"/>
              </w:rPr>
              <w:t>LPHA</w:t>
            </w:r>
            <w:r w:rsidR="00AC1684">
              <w:rPr>
                <w:sz w:val="24"/>
                <w:szCs w:val="24"/>
              </w:rPr>
              <w:t xml:space="preserve"> who opt</w:t>
            </w:r>
            <w:r w:rsidR="00D07EC3">
              <w:rPr>
                <w:sz w:val="24"/>
                <w:szCs w:val="24"/>
              </w:rPr>
              <w:t>ed</w:t>
            </w:r>
            <w:r w:rsidR="00AC1684">
              <w:rPr>
                <w:sz w:val="24"/>
                <w:szCs w:val="24"/>
              </w:rPr>
              <w:t xml:space="preserve"> in</w:t>
            </w:r>
          </w:p>
        </w:tc>
        <w:tc>
          <w:tcPr>
            <w:tcW w:w="2250" w:type="dxa"/>
          </w:tcPr>
          <w:p w14:paraId="3AC03D6F" w14:textId="18F0360F" w:rsidR="00095DA9" w:rsidRDefault="00095DA9" w:rsidP="00095DA9">
            <w:pPr>
              <w:spacing w:after="0" w:line="240" w:lineRule="auto"/>
              <w:rPr>
                <w:sz w:val="24"/>
                <w:szCs w:val="24"/>
              </w:rPr>
            </w:pPr>
            <w:r>
              <w:t>$63,910,417</w:t>
            </w:r>
            <w:r w:rsidR="00655488">
              <w:t xml:space="preserve"> allocated via formula</w:t>
            </w:r>
          </w:p>
          <w:p w14:paraId="6CD34924" w14:textId="77777777" w:rsidR="00095DA9" w:rsidRDefault="00095DA9" w:rsidP="00095DA9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14:paraId="00A9D0BC" w14:textId="5C7F013E" w:rsidR="00095DA9" w:rsidRDefault="00095DA9" w:rsidP="00095DA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$17 million</w:t>
            </w:r>
            <w:r w:rsidR="00655488">
              <w:rPr>
                <w:sz w:val="24"/>
                <w:szCs w:val="24"/>
              </w:rPr>
              <w:t xml:space="preserve"> allocated via formula</w:t>
            </w:r>
          </w:p>
        </w:tc>
      </w:tr>
      <w:tr w:rsidR="00095DA9" w14:paraId="14181D9F" w14:textId="353231F6" w:rsidTr="00F31414">
        <w:tc>
          <w:tcPr>
            <w:tcW w:w="2070" w:type="dxa"/>
          </w:tcPr>
          <w:p w14:paraId="3A99A42C" w14:textId="028BF02B" w:rsidR="00095DA9" w:rsidRDefault="00095DA9" w:rsidP="00095DA9">
            <w:pPr>
              <w:spacing w:after="240"/>
              <w:rPr>
                <w:sz w:val="24"/>
                <w:szCs w:val="24"/>
              </w:rPr>
            </w:pPr>
            <w:r w:rsidRPr="00B61F77">
              <w:rPr>
                <w:b/>
                <w:bCs/>
                <w:sz w:val="24"/>
                <w:szCs w:val="24"/>
              </w:rPr>
              <w:t>Funded activities</w:t>
            </w:r>
          </w:p>
        </w:tc>
        <w:tc>
          <w:tcPr>
            <w:tcW w:w="2250" w:type="dxa"/>
          </w:tcPr>
          <w:p w14:paraId="69DA7E10" w14:textId="7E2327E4" w:rsidR="00FD372D" w:rsidRDefault="00FD372D" w:rsidP="00FD372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COVID-19 active monitoring, </w:t>
            </w:r>
            <w:proofErr w:type="gramStart"/>
            <w:r>
              <w:t>including:</w:t>
            </w:r>
            <w:proofErr w:type="gramEnd"/>
            <w:r>
              <w:t xml:space="preserve"> cultural and linguistic competency,</w:t>
            </w:r>
          </w:p>
          <w:p w14:paraId="4D529596" w14:textId="77777777" w:rsidR="00FD372D" w:rsidRDefault="00FD372D" w:rsidP="00FD372D">
            <w:pPr>
              <w:spacing w:after="0" w:line="240" w:lineRule="auto"/>
              <w:rPr>
                <w:sz w:val="24"/>
                <w:szCs w:val="24"/>
              </w:rPr>
            </w:pPr>
            <w:r>
              <w:t>testing coordination, case investigation, contact tracing, isolation and quarantine, social services and wraparound supports</w:t>
            </w:r>
          </w:p>
          <w:p w14:paraId="105E9B1A" w14:textId="5D7E756B" w:rsidR="00095DA9" w:rsidRDefault="00095DA9" w:rsidP="00095DA9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870FACE" w14:textId="77777777" w:rsidR="00095DA9" w:rsidRDefault="00095DA9" w:rsidP="00095DA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housing, utilities and food for individuals in isolation/quarantine.</w:t>
            </w:r>
          </w:p>
        </w:tc>
        <w:tc>
          <w:tcPr>
            <w:tcW w:w="2250" w:type="dxa"/>
          </w:tcPr>
          <w:p w14:paraId="415279D1" w14:textId="77777777" w:rsidR="00095DA9" w:rsidRDefault="00095DA9" w:rsidP="00095DA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 as PE 01-07.</w:t>
            </w:r>
          </w:p>
        </w:tc>
        <w:tc>
          <w:tcPr>
            <w:tcW w:w="1953" w:type="dxa"/>
          </w:tcPr>
          <w:p w14:paraId="5A81F48B" w14:textId="04A4C748" w:rsidR="00095DA9" w:rsidRDefault="00095DA9" w:rsidP="00095DA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Vaccine planning and delivery: collaborating with partners; assuring cultural and linguistic access; </w:t>
            </w:r>
          </w:p>
        </w:tc>
      </w:tr>
      <w:tr w:rsidR="000845F4" w14:paraId="7F4760D5" w14:textId="77777777" w:rsidTr="00F31414">
        <w:tc>
          <w:tcPr>
            <w:tcW w:w="2070" w:type="dxa"/>
          </w:tcPr>
          <w:p w14:paraId="65D4536E" w14:textId="7F7DBE45" w:rsidR="000845F4" w:rsidRPr="00B61F77" w:rsidRDefault="000845F4" w:rsidP="000845F4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B61F77">
              <w:rPr>
                <w:b/>
                <w:bCs/>
                <w:sz w:val="24"/>
                <w:szCs w:val="24"/>
              </w:rPr>
              <w:lastRenderedPageBreak/>
              <w:t>Deliverables</w:t>
            </w:r>
          </w:p>
        </w:tc>
        <w:tc>
          <w:tcPr>
            <w:tcW w:w="2250" w:type="dxa"/>
          </w:tcPr>
          <w:p w14:paraId="1D918113" w14:textId="15F964B1" w:rsidR="000845F4" w:rsidRDefault="000845F4" w:rsidP="000845F4">
            <w:pPr>
              <w:spacing w:after="0" w:line="240" w:lineRule="auto"/>
            </w:pPr>
            <w:r>
              <w:rPr>
                <w:sz w:val="24"/>
                <w:szCs w:val="24"/>
              </w:rPr>
              <w:t>Budget plan and narrative due May 31, 2021.</w:t>
            </w:r>
          </w:p>
        </w:tc>
        <w:tc>
          <w:tcPr>
            <w:tcW w:w="1980" w:type="dxa"/>
          </w:tcPr>
          <w:p w14:paraId="72116EC5" w14:textId="1B988516" w:rsidR="000845F4" w:rsidRDefault="000845F4" w:rsidP="000845F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on revenue and expenditure report.</w:t>
            </w:r>
          </w:p>
        </w:tc>
        <w:tc>
          <w:tcPr>
            <w:tcW w:w="2250" w:type="dxa"/>
          </w:tcPr>
          <w:p w14:paraId="21D3769A" w14:textId="45366BF7" w:rsidR="000845F4" w:rsidRDefault="000845F4" w:rsidP="000845F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Budget plan and narrative within 60 days of receiving amendment. Due by May </w:t>
            </w:r>
            <w:proofErr w:type="gramStart"/>
            <w:r>
              <w:rPr>
                <w:sz w:val="24"/>
                <w:szCs w:val="24"/>
              </w:rPr>
              <w:t>31</w:t>
            </w:r>
            <w:proofErr w:type="gramEnd"/>
            <w:r>
              <w:rPr>
                <w:sz w:val="24"/>
                <w:szCs w:val="24"/>
              </w:rPr>
              <w:t xml:space="preserve"> 2021.</w:t>
            </w:r>
          </w:p>
        </w:tc>
        <w:tc>
          <w:tcPr>
            <w:tcW w:w="1953" w:type="dxa"/>
          </w:tcPr>
          <w:p w14:paraId="4879AF50" w14:textId="53D8CDCD" w:rsidR="000845F4" w:rsidRDefault="000845F4" w:rsidP="000845F4">
            <w:pPr>
              <w:spacing w:after="240"/>
              <w:rPr>
                <w:sz w:val="24"/>
                <w:szCs w:val="24"/>
              </w:rPr>
            </w:pPr>
            <w:r w:rsidRPr="00020384">
              <w:rPr>
                <w:sz w:val="24"/>
                <w:szCs w:val="24"/>
              </w:rPr>
              <w:t xml:space="preserve">Budget plan and narrative within 60 days of receiving amendment. Due by </w:t>
            </w:r>
            <w:r>
              <w:rPr>
                <w:sz w:val="24"/>
                <w:szCs w:val="24"/>
              </w:rPr>
              <w:t>May 31,</w:t>
            </w:r>
            <w:r w:rsidRPr="00020384">
              <w:rPr>
                <w:sz w:val="24"/>
                <w:szCs w:val="24"/>
              </w:rPr>
              <w:t xml:space="preserve"> 2021.</w:t>
            </w:r>
            <w:r>
              <w:rPr>
                <w:sz w:val="24"/>
                <w:szCs w:val="24"/>
              </w:rPr>
              <w:t xml:space="preserve"> Quarterly performance reporting.</w:t>
            </w:r>
          </w:p>
        </w:tc>
      </w:tr>
    </w:tbl>
    <w:p w14:paraId="23012B82" w14:textId="018A5C24" w:rsidR="00102610" w:rsidRDefault="00102610" w:rsidP="00102610">
      <w:pPr>
        <w:pStyle w:val="ListParagraph"/>
        <w:numPr>
          <w:ilvl w:val="0"/>
          <w:numId w:val="4"/>
        </w:numPr>
      </w:pPr>
      <w:r>
        <w:t xml:space="preserve">Funding to Oregon has come through the ELC grant in many packages. According to the CDC Oregon has received a total of $340 million in funding to the ELC grant between April 2020 and January 2021.  </w:t>
      </w:r>
    </w:p>
    <w:sectPr w:rsidR="0010261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FC0B1" w14:textId="77777777" w:rsidR="00C76C53" w:rsidRDefault="00C76C53" w:rsidP="00D07EC3">
      <w:pPr>
        <w:spacing w:after="0" w:line="240" w:lineRule="auto"/>
      </w:pPr>
      <w:r>
        <w:separator/>
      </w:r>
    </w:p>
  </w:endnote>
  <w:endnote w:type="continuationSeparator" w:id="0">
    <w:p w14:paraId="698F3714" w14:textId="77777777" w:rsidR="00C76C53" w:rsidRDefault="00C76C53" w:rsidP="00D0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C7249" w14:textId="3E6A7575" w:rsidR="00D07EC3" w:rsidRDefault="00102610">
    <w:pPr>
      <w:pStyle w:val="Footer"/>
    </w:pPr>
    <w:r>
      <w:t>Updated 3/3/21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6FBD4" w14:textId="77777777" w:rsidR="00C76C53" w:rsidRDefault="00C76C53" w:rsidP="00D07EC3">
      <w:pPr>
        <w:spacing w:after="0" w:line="240" w:lineRule="auto"/>
      </w:pPr>
      <w:r>
        <w:separator/>
      </w:r>
    </w:p>
  </w:footnote>
  <w:footnote w:type="continuationSeparator" w:id="0">
    <w:p w14:paraId="43A8AAE8" w14:textId="77777777" w:rsidR="00C76C53" w:rsidRDefault="00C76C53" w:rsidP="00D07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4210A"/>
    <w:multiLevelType w:val="hybridMultilevel"/>
    <w:tmpl w:val="578289E0"/>
    <w:lvl w:ilvl="0" w:tplc="C8421D6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10410"/>
    <w:multiLevelType w:val="hybridMultilevel"/>
    <w:tmpl w:val="C3F4F818"/>
    <w:lvl w:ilvl="0" w:tplc="6668201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161C7"/>
    <w:multiLevelType w:val="hybridMultilevel"/>
    <w:tmpl w:val="F780B64E"/>
    <w:lvl w:ilvl="0" w:tplc="34389F9E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F63A6"/>
    <w:multiLevelType w:val="hybridMultilevel"/>
    <w:tmpl w:val="C910E0DC"/>
    <w:lvl w:ilvl="0" w:tplc="157A5790">
      <w:start w:val="20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A9"/>
    <w:rsid w:val="000845F4"/>
    <w:rsid w:val="00095DA9"/>
    <w:rsid w:val="00102610"/>
    <w:rsid w:val="002111D1"/>
    <w:rsid w:val="002B41DB"/>
    <w:rsid w:val="00517729"/>
    <w:rsid w:val="00555FED"/>
    <w:rsid w:val="005D1F99"/>
    <w:rsid w:val="00602838"/>
    <w:rsid w:val="00655488"/>
    <w:rsid w:val="00A55D29"/>
    <w:rsid w:val="00AC1684"/>
    <w:rsid w:val="00AE5F62"/>
    <w:rsid w:val="00C3068C"/>
    <w:rsid w:val="00C76C53"/>
    <w:rsid w:val="00D07EC3"/>
    <w:rsid w:val="00F31414"/>
    <w:rsid w:val="00F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B306D"/>
  <w15:chartTrackingRefBased/>
  <w15:docId w15:val="{BDC633EB-FED1-B741-9FE7-2B044694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A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D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EC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EC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0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FB8311-C5E9-BE48-B0F0-4F1A3CFF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Cowling</dc:creator>
  <cp:keywords/>
  <dc:description/>
  <cp:lastModifiedBy>Morgan Cowling</cp:lastModifiedBy>
  <cp:revision>4</cp:revision>
  <dcterms:created xsi:type="dcterms:W3CDTF">2021-03-02T22:30:00Z</dcterms:created>
  <dcterms:modified xsi:type="dcterms:W3CDTF">2021-03-03T23:08:00Z</dcterms:modified>
</cp:coreProperties>
</file>