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464C" w14:textId="77777777" w:rsidR="003D1C1F" w:rsidRPr="00F46A75" w:rsidRDefault="003D1C1F" w:rsidP="003D1C1F">
      <w:pPr>
        <w:jc w:val="center"/>
        <w:rPr>
          <w:rFonts w:ascii="Arial" w:hAnsi="Arial" w:cs="Arial"/>
          <w:szCs w:val="24"/>
        </w:rPr>
      </w:pPr>
      <w:bookmarkStart w:id="0" w:name="_Hlk27563560"/>
      <w:r w:rsidRPr="00F46A75">
        <w:rPr>
          <w:rFonts w:ascii="Arial" w:hAnsi="Arial" w:cs="Arial"/>
          <w:b/>
          <w:szCs w:val="24"/>
        </w:rPr>
        <w:t>Attachment 1</w:t>
      </w:r>
    </w:p>
    <w:p w14:paraId="5C08C61F" w14:textId="77777777" w:rsidR="003D1C1F" w:rsidRPr="00782D47" w:rsidRDefault="003D1C1F" w:rsidP="00782D47">
      <w:pPr>
        <w:pStyle w:val="NoSpacing"/>
        <w:jc w:val="center"/>
        <w:rPr>
          <w:rFonts w:ascii="Arial" w:hAnsi="Arial" w:cs="Arial"/>
          <w:b/>
        </w:rPr>
      </w:pPr>
      <w:r w:rsidRPr="00782D47">
        <w:rPr>
          <w:rFonts w:ascii="Arial" w:eastAsia="Calibri" w:hAnsi="Arial" w:cs="Arial"/>
          <w:b/>
        </w:rPr>
        <w:t>Reproductive Health Program – FY 21 Local Program Plan Guid</w:t>
      </w:r>
      <w:r w:rsidR="00782D47">
        <w:rPr>
          <w:rFonts w:ascii="Arial" w:eastAsia="Calibri" w:hAnsi="Arial" w:cs="Arial"/>
          <w:b/>
        </w:rPr>
        <w:t>ance</w:t>
      </w:r>
    </w:p>
    <w:p w14:paraId="57A57E68" w14:textId="77777777" w:rsidR="00782D47" w:rsidRPr="00782D47" w:rsidRDefault="003D1C1F" w:rsidP="00782D47">
      <w:pPr>
        <w:pStyle w:val="NoSpacing"/>
        <w:jc w:val="center"/>
        <w:rPr>
          <w:rFonts w:ascii="Arial" w:eastAsia="Calibri" w:hAnsi="Arial" w:cs="Arial"/>
          <w:b/>
        </w:rPr>
      </w:pPr>
      <w:r w:rsidRPr="00782D47">
        <w:rPr>
          <w:rFonts w:ascii="Arial" w:eastAsia="Calibri" w:hAnsi="Arial" w:cs="Arial"/>
          <w:b/>
        </w:rPr>
        <w:t>Community Participation and Assurance of Access to</w:t>
      </w:r>
    </w:p>
    <w:p w14:paraId="02EF523F" w14:textId="77777777" w:rsidR="003D1C1F" w:rsidRPr="00782D47" w:rsidRDefault="003D1C1F" w:rsidP="00782D47">
      <w:pPr>
        <w:pStyle w:val="NoSpacing"/>
        <w:jc w:val="center"/>
        <w:rPr>
          <w:rFonts w:ascii="Arial" w:eastAsia="Calibri" w:hAnsi="Arial" w:cs="Arial"/>
          <w:b/>
        </w:rPr>
      </w:pPr>
      <w:r w:rsidRPr="00782D47">
        <w:rPr>
          <w:rFonts w:ascii="Arial" w:eastAsia="Calibri" w:hAnsi="Arial" w:cs="Arial"/>
          <w:b/>
        </w:rPr>
        <w:t>Reproductive Health Services</w:t>
      </w:r>
    </w:p>
    <w:p w14:paraId="3232F508" w14:textId="77777777" w:rsidR="005A7256" w:rsidRPr="00F46A75" w:rsidRDefault="005A7256" w:rsidP="00782D47">
      <w:pPr>
        <w:pStyle w:val="NoSpacing"/>
        <w:rPr>
          <w:rFonts w:eastAsia="Calibri"/>
        </w:rPr>
      </w:pPr>
    </w:p>
    <w:p w14:paraId="67EF0BF2" w14:textId="77777777" w:rsidR="003D1C1F" w:rsidRPr="00212E8D" w:rsidRDefault="003D1C1F" w:rsidP="003D1C1F">
      <w:pPr>
        <w:spacing w:after="120"/>
        <w:rPr>
          <w:rFonts w:ascii="Arial" w:hAnsi="Arial" w:cs="Arial"/>
          <w:szCs w:val="24"/>
        </w:rPr>
      </w:pPr>
      <w:r w:rsidRPr="00212E8D">
        <w:rPr>
          <w:rFonts w:ascii="Arial" w:eastAsia="Calibri" w:hAnsi="Arial" w:cs="Arial"/>
          <w:b/>
          <w:szCs w:val="24"/>
        </w:rPr>
        <w:t>Overarching Goal</w:t>
      </w:r>
      <w:r w:rsidRPr="00212E8D">
        <w:rPr>
          <w:rFonts w:ascii="Arial" w:eastAsia="Calibri" w:hAnsi="Arial" w:cs="Arial"/>
          <w:szCs w:val="24"/>
        </w:rPr>
        <w:t xml:space="preserve">:  </w:t>
      </w:r>
      <w:bookmarkStart w:id="1" w:name="_Hlk27561439"/>
      <w:r w:rsidRPr="00212E8D">
        <w:rPr>
          <w:rFonts w:ascii="Arial" w:hAnsi="Arial" w:cs="Arial"/>
          <w:szCs w:val="24"/>
        </w:rPr>
        <w:t>Ensure regional access to reproductive health services with a focus on serving individuals with limited resources</w:t>
      </w:r>
      <w:bookmarkEnd w:id="1"/>
      <w:r w:rsidRPr="00212E8D">
        <w:rPr>
          <w:rFonts w:ascii="Arial" w:hAnsi="Arial" w:cs="Arial"/>
          <w:szCs w:val="24"/>
        </w:rPr>
        <w:t>.</w:t>
      </w:r>
    </w:p>
    <w:p w14:paraId="58AA442A" w14:textId="77777777" w:rsidR="003C4633" w:rsidRDefault="003C4633" w:rsidP="00212E8D">
      <w:pPr>
        <w:pStyle w:val="NoSpacing"/>
        <w:rPr>
          <w:rFonts w:ascii="Arial" w:hAnsi="Arial" w:cs="Arial"/>
          <w:u w:val="single"/>
        </w:rPr>
        <w:sectPr w:rsidR="003C463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05E5C3" w14:textId="77777777" w:rsidR="00212E8D" w:rsidRDefault="00212E8D" w:rsidP="00212E8D">
      <w:pPr>
        <w:pStyle w:val="NoSpacing"/>
        <w:rPr>
          <w:rFonts w:ascii="Arial" w:hAnsi="Arial" w:cs="Arial"/>
          <w:u w:val="single"/>
        </w:rPr>
      </w:pPr>
    </w:p>
    <w:p w14:paraId="584C2FE6" w14:textId="77777777" w:rsidR="005F0603" w:rsidRDefault="0047574B" w:rsidP="00212E8D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539D641" wp14:editId="46DD761F">
            <wp:simplePos x="0" y="0"/>
            <wp:positionH relativeFrom="margin">
              <wp:posOffset>2406650</wp:posOffset>
            </wp:positionH>
            <wp:positionV relativeFrom="paragraph">
              <wp:posOffset>7620</wp:posOffset>
            </wp:positionV>
            <wp:extent cx="3841750" cy="3225800"/>
            <wp:effectExtent l="0" t="0" r="0" b="127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65E05" w14:textId="77777777" w:rsidR="005F0603" w:rsidRDefault="005F0603" w:rsidP="00212E8D">
      <w:pPr>
        <w:pStyle w:val="NoSpacing"/>
        <w:rPr>
          <w:rFonts w:ascii="Arial" w:hAnsi="Arial" w:cs="Arial"/>
          <w:u w:val="single"/>
        </w:rPr>
      </w:pPr>
    </w:p>
    <w:p w14:paraId="23E1F35C" w14:textId="77777777" w:rsidR="003D1C1F" w:rsidRPr="00212E8D" w:rsidRDefault="003D1C1F" w:rsidP="00212E8D">
      <w:pPr>
        <w:pStyle w:val="NoSpacing"/>
        <w:rPr>
          <w:rFonts w:ascii="Arial" w:hAnsi="Arial" w:cs="Arial"/>
          <w:u w:val="single"/>
        </w:rPr>
      </w:pPr>
      <w:r w:rsidRPr="00212E8D">
        <w:rPr>
          <w:rFonts w:ascii="Arial" w:hAnsi="Arial" w:cs="Arial"/>
          <w:u w:val="single"/>
        </w:rPr>
        <w:t>Instructions</w:t>
      </w:r>
    </w:p>
    <w:bookmarkEnd w:id="0"/>
    <w:p w14:paraId="2E41C88B" w14:textId="77777777" w:rsidR="00B656E1" w:rsidRDefault="00F45351" w:rsidP="00212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Determine where your agency best fits </w:t>
      </w:r>
      <w:r w:rsidR="00EC101B">
        <w:rPr>
          <w:rFonts w:ascii="Arial" w:hAnsi="Arial" w:cs="Arial"/>
        </w:rPr>
        <w:t xml:space="preserve">on the </w:t>
      </w:r>
      <w:r w:rsidR="003D1C1F" w:rsidRPr="00212E8D">
        <w:rPr>
          <w:rFonts w:ascii="Arial" w:hAnsi="Arial" w:cs="Arial"/>
        </w:rPr>
        <w:t xml:space="preserve">continuum of </w:t>
      </w:r>
      <w:r w:rsidR="00E228B3">
        <w:rPr>
          <w:rFonts w:ascii="Arial" w:hAnsi="Arial" w:cs="Arial"/>
        </w:rPr>
        <w:t>p</w:t>
      </w:r>
      <w:r w:rsidR="003D1C1F" w:rsidRPr="00212E8D">
        <w:rPr>
          <w:rFonts w:ascii="Arial" w:hAnsi="Arial" w:cs="Arial"/>
        </w:rPr>
        <w:t xml:space="preserve">rogram </w:t>
      </w:r>
      <w:r w:rsidR="00E228B3">
        <w:rPr>
          <w:rFonts w:ascii="Arial" w:hAnsi="Arial" w:cs="Arial"/>
        </w:rPr>
        <w:t>c</w:t>
      </w:r>
      <w:r w:rsidR="003D1C1F" w:rsidRPr="00212E8D">
        <w:rPr>
          <w:rFonts w:ascii="Arial" w:hAnsi="Arial" w:cs="Arial"/>
        </w:rPr>
        <w:t>omponents</w:t>
      </w:r>
      <w:r w:rsidR="00EC101B">
        <w:rPr>
          <w:rFonts w:ascii="Arial" w:hAnsi="Arial" w:cs="Arial"/>
        </w:rPr>
        <w:t xml:space="preserve"> </w:t>
      </w:r>
      <w:r w:rsidR="00E228B3">
        <w:rPr>
          <w:rFonts w:ascii="Arial" w:hAnsi="Arial" w:cs="Arial"/>
        </w:rPr>
        <w:t>identified to meet the overarching goal. I</w:t>
      </w:r>
      <w:r w:rsidR="003D1C1F" w:rsidRPr="00212E8D">
        <w:rPr>
          <w:rFonts w:ascii="Arial" w:hAnsi="Arial" w:cs="Arial"/>
        </w:rPr>
        <w:t xml:space="preserve">dentify objectives </w:t>
      </w:r>
      <w:r w:rsidR="00EC101B">
        <w:rPr>
          <w:rFonts w:ascii="Arial" w:hAnsi="Arial" w:cs="Arial"/>
        </w:rPr>
        <w:t xml:space="preserve">and activities </w:t>
      </w:r>
      <w:r w:rsidR="003D1C1F" w:rsidRPr="00212E8D">
        <w:rPr>
          <w:rFonts w:ascii="Arial" w:hAnsi="Arial" w:cs="Arial"/>
        </w:rPr>
        <w:t xml:space="preserve">to </w:t>
      </w:r>
      <w:r w:rsidR="00EC101B">
        <w:rPr>
          <w:rFonts w:ascii="Arial" w:hAnsi="Arial" w:cs="Arial"/>
        </w:rPr>
        <w:t>support work</w:t>
      </w:r>
      <w:r w:rsidR="00E228B3">
        <w:rPr>
          <w:rFonts w:ascii="Arial" w:hAnsi="Arial" w:cs="Arial"/>
        </w:rPr>
        <w:t xml:space="preserve"> at that stage,</w:t>
      </w:r>
      <w:r w:rsidR="003D1C1F" w:rsidRPr="00212E8D">
        <w:rPr>
          <w:rFonts w:ascii="Arial" w:hAnsi="Arial" w:cs="Arial"/>
        </w:rPr>
        <w:t xml:space="preserve"> with the </w:t>
      </w:r>
      <w:r w:rsidR="005936B8" w:rsidRPr="00212E8D">
        <w:rPr>
          <w:rFonts w:ascii="Arial" w:hAnsi="Arial" w:cs="Arial"/>
        </w:rPr>
        <w:t xml:space="preserve">goal of </w:t>
      </w:r>
      <w:r w:rsidR="003D1C1F" w:rsidRPr="00212E8D">
        <w:rPr>
          <w:rFonts w:ascii="Arial" w:hAnsi="Arial" w:cs="Arial"/>
        </w:rPr>
        <w:t>eventually moving to the next component on the continuum.</w:t>
      </w:r>
      <w:r w:rsidR="00873E14" w:rsidRPr="00212E8D">
        <w:rPr>
          <w:rFonts w:ascii="Arial" w:hAnsi="Arial" w:cs="Arial"/>
        </w:rPr>
        <w:t xml:space="preserve">  </w:t>
      </w:r>
    </w:p>
    <w:p w14:paraId="2CB75836" w14:textId="77777777" w:rsidR="005F0603" w:rsidRPr="00212E8D" w:rsidRDefault="005F0603" w:rsidP="00212E8D">
      <w:pPr>
        <w:pStyle w:val="NoSpacing"/>
        <w:rPr>
          <w:rFonts w:ascii="Arial" w:hAnsi="Arial" w:cs="Arial"/>
        </w:rPr>
      </w:pPr>
    </w:p>
    <w:p w14:paraId="10BFCFAF" w14:textId="77777777" w:rsidR="005F0603" w:rsidRPr="0047574B" w:rsidRDefault="005F0603" w:rsidP="005F0603">
      <w:pPr>
        <w:pStyle w:val="NoSpacing"/>
        <w:rPr>
          <w:rFonts w:ascii="Arial" w:hAnsi="Arial" w:cs="Arial"/>
        </w:rPr>
      </w:pPr>
      <w:r w:rsidRPr="0047574B">
        <w:rPr>
          <w:rFonts w:ascii="Arial" w:hAnsi="Arial" w:cs="Arial"/>
        </w:rPr>
        <w:t>It is understood that the work may not necessarily be linear but may identify the need to circle back to an earlier step, such as the need to bring in additional partners.</w:t>
      </w:r>
    </w:p>
    <w:p w14:paraId="298F2BAA" w14:textId="77777777" w:rsidR="005F0603" w:rsidRDefault="005F0603" w:rsidP="005936B8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p w14:paraId="748AF059" w14:textId="77777777" w:rsidR="0047574B" w:rsidRDefault="0047574B" w:rsidP="005936B8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p w14:paraId="11336D23" w14:textId="77777777" w:rsidR="00460F06" w:rsidRDefault="00460F06" w:rsidP="005F0603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p w14:paraId="7CEE9348" w14:textId="77777777" w:rsidR="00460F06" w:rsidRDefault="00460F06" w:rsidP="005F0603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p w14:paraId="67951A81" w14:textId="77777777" w:rsidR="00460F06" w:rsidRDefault="00460F06" w:rsidP="005F0603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p w14:paraId="5E26AFB0" w14:textId="77777777" w:rsidR="005F0603" w:rsidRDefault="005F0603" w:rsidP="005936B8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p w14:paraId="0D2ED133" w14:textId="77777777" w:rsidR="005F0603" w:rsidRDefault="005F0603" w:rsidP="005936B8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p w14:paraId="581C5855" w14:textId="77777777" w:rsidR="005F0603" w:rsidRDefault="005F0603" w:rsidP="005936B8">
      <w:pPr>
        <w:spacing w:after="120"/>
        <w:rPr>
          <w:rFonts w:ascii="Arial" w:eastAsia="Calibri" w:hAnsi="Arial" w:cs="Arial"/>
          <w:b/>
          <w:szCs w:val="24"/>
          <w:u w:val="single"/>
        </w:rPr>
        <w:sectPr w:rsidR="005F0603" w:rsidSect="003C46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A1675" w14:paraId="06AE2F74" w14:textId="77777777" w:rsidTr="00806B55">
        <w:tc>
          <w:tcPr>
            <w:tcW w:w="10795" w:type="dxa"/>
            <w:shd w:val="clear" w:color="auto" w:fill="ED7D31" w:themeFill="accent2"/>
          </w:tcPr>
          <w:p w14:paraId="5275A7AB" w14:textId="77777777" w:rsidR="009A1675" w:rsidRPr="009A1675" w:rsidRDefault="009A1675" w:rsidP="005936B8">
            <w:pPr>
              <w:spacing w:after="120"/>
              <w:rPr>
                <w:rFonts w:ascii="Arial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Program Component 1: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  Develop </w:t>
            </w:r>
            <w:r>
              <w:rPr>
                <w:rFonts w:ascii="Arial" w:eastAsia="Calibri" w:hAnsi="Arial" w:cs="Arial"/>
                <w:szCs w:val="24"/>
              </w:rPr>
              <w:t xml:space="preserve">and maintain </w:t>
            </w:r>
            <w:r w:rsidRPr="00F46A75">
              <w:rPr>
                <w:rFonts w:ascii="Arial" w:eastAsia="Calibri" w:hAnsi="Arial" w:cs="Arial"/>
                <w:szCs w:val="24"/>
              </w:rPr>
              <w:t>strategic partnerships with shared accountability to drive a collective impact to support public health goals related to RH.</w:t>
            </w:r>
          </w:p>
        </w:tc>
      </w:tr>
      <w:tr w:rsidR="009A1675" w14:paraId="55E518B7" w14:textId="77777777" w:rsidTr="00806B55">
        <w:tc>
          <w:tcPr>
            <w:tcW w:w="10795" w:type="dxa"/>
            <w:shd w:val="clear" w:color="auto" w:fill="FBE4D5" w:themeFill="accent2" w:themeFillTint="33"/>
          </w:tcPr>
          <w:p w14:paraId="635F30EE" w14:textId="487378E5" w:rsidR="009A1675" w:rsidRPr="009A1675" w:rsidRDefault="009A1675" w:rsidP="009A1675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Objective 1A: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   Convene on-going partnership meetings focused on assuring access to RH services, minimizing gaps and barriers, and/or improving the quality of reproductive health services</w:t>
            </w:r>
            <w:r w:rsidR="009E04B7">
              <w:rPr>
                <w:rFonts w:ascii="Arial" w:eastAsia="Calibri" w:hAnsi="Arial" w:cs="Arial"/>
                <w:szCs w:val="24"/>
              </w:rPr>
              <w:t xml:space="preserve"> within your community.</w:t>
            </w:r>
            <w:bookmarkStart w:id="2" w:name="_GoBack"/>
            <w:bookmarkEnd w:id="2"/>
            <w:r w:rsidRPr="00F46A75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9A1675" w14:paraId="6F153D31" w14:textId="77777777" w:rsidTr="000F5408">
        <w:tc>
          <w:tcPr>
            <w:tcW w:w="107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0F200CB" w14:textId="77777777" w:rsidR="009A1675" w:rsidRPr="009A1675" w:rsidRDefault="009A1675" w:rsidP="009A1675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  <w:r w:rsidRPr="00F46A75">
              <w:rPr>
                <w:rFonts w:ascii="Arial" w:hAnsi="Arial" w:cs="Arial"/>
                <w:b/>
                <w:szCs w:val="24"/>
                <w:u w:val="single"/>
              </w:rPr>
              <w:t>Objective</w:t>
            </w:r>
            <w:r w:rsidRPr="00F46A75"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F46A75">
              <w:rPr>
                <w:rFonts w:ascii="Arial" w:hAnsi="Arial" w:cs="Arial"/>
                <w:b/>
                <w:szCs w:val="24"/>
                <w:u w:val="single"/>
              </w:rPr>
              <w:t>1B</w:t>
            </w:r>
            <w:r w:rsidRPr="00F46A75">
              <w:rPr>
                <w:rFonts w:ascii="Arial" w:hAnsi="Arial" w:cs="Arial"/>
                <w:szCs w:val="24"/>
              </w:rPr>
              <w:t>:</w:t>
            </w:r>
            <w:r w:rsidRPr="00F46A75">
              <w:rPr>
                <w:rFonts w:ascii="Arial" w:hAnsi="Arial" w:cs="Arial"/>
                <w:b/>
                <w:szCs w:val="24"/>
              </w:rPr>
              <w:t xml:space="preserve"> </w:t>
            </w:r>
            <w:r w:rsidRPr="00F46A75">
              <w:rPr>
                <w:rFonts w:ascii="Arial" w:hAnsi="Arial" w:cs="Arial"/>
                <w:szCs w:val="24"/>
              </w:rPr>
              <w:t xml:space="preserve"> Create your own objective related to developing strategic partnerships, with shared accountability, to drive a collective impact in support of public health goals related to RH. </w:t>
            </w:r>
          </w:p>
        </w:tc>
      </w:tr>
      <w:tr w:rsidR="009A1675" w14:paraId="5C039A0B" w14:textId="77777777" w:rsidTr="000F5408">
        <w:tc>
          <w:tcPr>
            <w:tcW w:w="107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CD96BA7" w14:textId="77777777" w:rsidR="009A1675" w:rsidRPr="009A1675" w:rsidRDefault="009A1675" w:rsidP="009A1675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  <w:bookmarkStart w:id="3" w:name="_Hlk27561595"/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 xml:space="preserve">Suggested </w:t>
            </w:r>
            <w:r w:rsidR="00A6007E">
              <w:rPr>
                <w:rFonts w:ascii="Arial" w:eastAsia="Calibri" w:hAnsi="Arial" w:cs="Arial"/>
                <w:b/>
                <w:szCs w:val="24"/>
                <w:u w:val="single"/>
              </w:rPr>
              <w:t>A</w:t>
            </w: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ctivities</w:t>
            </w:r>
            <w:r w:rsidRPr="00B739F9">
              <w:rPr>
                <w:rFonts w:ascii="Arial" w:eastAsia="Calibri" w:hAnsi="Arial" w:cs="Arial"/>
                <w:b/>
                <w:szCs w:val="24"/>
              </w:rPr>
              <w:t>:</w:t>
            </w:r>
            <w:r w:rsidRPr="00B739F9">
              <w:rPr>
                <w:rFonts w:ascii="Arial" w:eastAsia="Calibri" w:hAnsi="Arial" w:cs="Arial"/>
                <w:szCs w:val="24"/>
              </w:rPr>
              <w:t xml:space="preserve"> 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Create partnership agreements with community providers identifying roles and areas of collaboration; host or co-host community forums/outreach events; develop preliminary community plan; </w:t>
            </w:r>
            <w:r w:rsidRPr="00F46A75">
              <w:rPr>
                <w:rFonts w:ascii="Arial" w:hAnsi="Arial" w:cs="Arial"/>
                <w:szCs w:val="24"/>
              </w:rPr>
              <w:t>establish coalition with regular meetings; create charter and/or workplan.</w:t>
            </w:r>
            <w:bookmarkEnd w:id="3"/>
          </w:p>
        </w:tc>
      </w:tr>
    </w:tbl>
    <w:p w14:paraId="11397091" w14:textId="77777777" w:rsidR="00873E14" w:rsidRDefault="00873E14" w:rsidP="005936B8">
      <w:pPr>
        <w:spacing w:after="120"/>
        <w:rPr>
          <w:rFonts w:ascii="Arial" w:eastAsia="Calibri" w:hAnsi="Arial" w:cs="Arial"/>
          <w:b/>
          <w:szCs w:val="24"/>
          <w:u w:val="single"/>
        </w:rPr>
      </w:pPr>
      <w:bookmarkStart w:id="4" w:name="_Hlk29304088"/>
    </w:p>
    <w:p w14:paraId="63A0129C" w14:textId="77777777" w:rsidR="00B656E1" w:rsidRDefault="00B656E1" w:rsidP="005936B8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41DD" w14:paraId="308C5156" w14:textId="77777777" w:rsidTr="00B941DD">
        <w:tc>
          <w:tcPr>
            <w:tcW w:w="10790" w:type="dxa"/>
            <w:shd w:val="clear" w:color="auto" w:fill="BFBFBF" w:themeFill="background1" w:themeFillShade="BF"/>
          </w:tcPr>
          <w:p w14:paraId="0EF6E3C2" w14:textId="77777777" w:rsidR="00B941DD" w:rsidRPr="00B941DD" w:rsidRDefault="00B941DD" w:rsidP="00B941DD">
            <w:pPr>
              <w:shd w:val="clear" w:color="auto" w:fill="BFBFBF" w:themeFill="background1" w:themeFillShade="BF"/>
              <w:spacing w:after="120"/>
              <w:rPr>
                <w:rFonts w:ascii="Arial" w:hAnsi="Arial" w:cs="Arial"/>
                <w:szCs w:val="24"/>
              </w:rPr>
            </w:pPr>
            <w:r w:rsidRPr="00B941DD">
              <w:rPr>
                <w:rFonts w:ascii="Arial" w:eastAsia="Calibri" w:hAnsi="Arial" w:cs="Arial"/>
                <w:b/>
                <w:szCs w:val="24"/>
                <w:u w:val="single"/>
              </w:rPr>
              <w:lastRenderedPageBreak/>
              <w:t>Prog</w:t>
            </w:r>
            <w:r w:rsidRPr="00B941DD">
              <w:rPr>
                <w:rFonts w:ascii="Arial" w:eastAsia="Calibri" w:hAnsi="Arial" w:cs="Arial"/>
                <w:b/>
                <w:szCs w:val="24"/>
                <w:u w:val="single"/>
                <w:shd w:val="clear" w:color="auto" w:fill="BFBFBF" w:themeFill="background1" w:themeFillShade="BF"/>
              </w:rPr>
              <w:t>ram Component 2</w:t>
            </w:r>
            <w:r w:rsidRPr="00B941DD">
              <w:rPr>
                <w:rFonts w:ascii="Arial" w:eastAsia="Calibri" w:hAnsi="Arial" w:cs="Arial"/>
                <w:b/>
                <w:szCs w:val="24"/>
                <w:shd w:val="clear" w:color="auto" w:fill="BFBFBF" w:themeFill="background1" w:themeFillShade="BF"/>
              </w:rPr>
              <w:t>:</w:t>
            </w:r>
            <w:r w:rsidRPr="00B941DD">
              <w:rPr>
                <w:rFonts w:ascii="Arial" w:eastAsia="Calibri" w:hAnsi="Arial" w:cs="Arial"/>
                <w:szCs w:val="24"/>
                <w:shd w:val="clear" w:color="auto" w:fill="BFBFBF" w:themeFill="background1" w:themeFillShade="BF"/>
              </w:rPr>
              <w:t xml:space="preserve"> Identify barriers to access and gaps in RH services  </w:t>
            </w:r>
          </w:p>
        </w:tc>
      </w:tr>
      <w:tr w:rsidR="00B941DD" w14:paraId="65CD0EB6" w14:textId="77777777" w:rsidTr="00B941DD">
        <w:tc>
          <w:tcPr>
            <w:tcW w:w="10790" w:type="dxa"/>
            <w:shd w:val="clear" w:color="auto" w:fill="F2F2F2" w:themeFill="background1" w:themeFillShade="F2"/>
          </w:tcPr>
          <w:p w14:paraId="12190B24" w14:textId="77777777" w:rsidR="00B941DD" w:rsidRPr="009A1675" w:rsidRDefault="00B941DD" w:rsidP="00B941DD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Objective 2A</w:t>
            </w:r>
            <w:r w:rsidRPr="00B739F9">
              <w:rPr>
                <w:rFonts w:ascii="Arial" w:eastAsia="Calibri" w:hAnsi="Arial" w:cs="Arial"/>
                <w:b/>
                <w:szCs w:val="24"/>
              </w:rPr>
              <w:t>:</w:t>
            </w:r>
            <w:r w:rsidRPr="00B739F9">
              <w:rPr>
                <w:rFonts w:ascii="Arial" w:eastAsia="Calibri" w:hAnsi="Arial" w:cs="Arial"/>
                <w:szCs w:val="24"/>
              </w:rPr>
              <w:t xml:space="preserve"> 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 </w:t>
            </w:r>
            <w:r w:rsidRPr="00F46A75">
              <w:rPr>
                <w:rFonts w:ascii="Arial" w:hAnsi="Arial" w:cs="Arial"/>
                <w:szCs w:val="24"/>
              </w:rPr>
              <w:t xml:space="preserve">In collaboration with the OR RH Program and community partners, 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conduct local assessment(s) of access to culturally responsive, high-quality, evidence-based RH services to identify barriers to access and gaps in services. </w:t>
            </w:r>
          </w:p>
        </w:tc>
      </w:tr>
      <w:tr w:rsidR="00B941DD" w14:paraId="32BD1245" w14:textId="77777777" w:rsidTr="00B941DD">
        <w:tc>
          <w:tcPr>
            <w:tcW w:w="10790" w:type="dxa"/>
            <w:shd w:val="clear" w:color="auto" w:fill="F2F2F2" w:themeFill="background1" w:themeFillShade="F2"/>
          </w:tcPr>
          <w:p w14:paraId="06BA4386" w14:textId="77777777" w:rsidR="00B941DD" w:rsidRPr="009A1675" w:rsidRDefault="00B941DD" w:rsidP="00B941DD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Objective 2B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>: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   Evaluate the impact of local policies, interventions, and programs on access to culturally responsive, high-quality, evidenced-based RH services and associated barriers and gaps. </w:t>
            </w:r>
          </w:p>
        </w:tc>
      </w:tr>
      <w:tr w:rsidR="00B941DD" w14:paraId="3BDB6616" w14:textId="77777777" w:rsidTr="00B941DD">
        <w:tc>
          <w:tcPr>
            <w:tcW w:w="10790" w:type="dxa"/>
            <w:shd w:val="clear" w:color="auto" w:fill="F2F2F2" w:themeFill="background1" w:themeFillShade="F2"/>
          </w:tcPr>
          <w:p w14:paraId="1A72A973" w14:textId="77777777" w:rsidR="00B941DD" w:rsidRPr="009A1675" w:rsidRDefault="00B941DD" w:rsidP="00B941DD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Objective 2C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>:</w:t>
            </w:r>
            <w:r w:rsidRPr="00123C63">
              <w:rPr>
                <w:rFonts w:ascii="Arial" w:hAnsi="Arial" w:cs="Arial"/>
                <w:szCs w:val="24"/>
              </w:rPr>
              <w:t xml:space="preserve"> </w:t>
            </w:r>
            <w:r w:rsidRPr="00F46A75">
              <w:rPr>
                <w:rFonts w:ascii="Arial" w:hAnsi="Arial" w:cs="Arial"/>
                <w:szCs w:val="24"/>
              </w:rPr>
              <w:t>Following assessment and/or evaluation, s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hare data, summaries and reports, following assessment and/or evaluation, with community members, partners, policy makers, and others. </w:t>
            </w:r>
          </w:p>
        </w:tc>
      </w:tr>
      <w:tr w:rsidR="00B941DD" w14:paraId="693322E2" w14:textId="77777777" w:rsidTr="00B941DD">
        <w:tc>
          <w:tcPr>
            <w:tcW w:w="10790" w:type="dxa"/>
            <w:shd w:val="clear" w:color="auto" w:fill="F2F2F2" w:themeFill="background1" w:themeFillShade="F2"/>
          </w:tcPr>
          <w:p w14:paraId="6AE83481" w14:textId="77777777" w:rsidR="00B941DD" w:rsidRPr="009A1675" w:rsidRDefault="00B941DD" w:rsidP="00B941DD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  <w:r w:rsidRPr="00F46A75">
              <w:rPr>
                <w:rFonts w:ascii="Arial" w:hAnsi="Arial" w:cs="Arial"/>
                <w:b/>
                <w:szCs w:val="24"/>
                <w:u w:val="single"/>
              </w:rPr>
              <w:t>Objective 2D</w:t>
            </w:r>
            <w:r w:rsidRPr="00F46A75">
              <w:rPr>
                <w:rFonts w:ascii="Arial" w:hAnsi="Arial" w:cs="Arial"/>
                <w:szCs w:val="24"/>
              </w:rPr>
              <w:t xml:space="preserve">:  Create your own objective to identify barriers to access and gaps in RH services. </w:t>
            </w:r>
          </w:p>
        </w:tc>
      </w:tr>
      <w:tr w:rsidR="00B941DD" w14:paraId="27755875" w14:textId="77777777" w:rsidTr="00B941DD">
        <w:tc>
          <w:tcPr>
            <w:tcW w:w="10790" w:type="dxa"/>
            <w:shd w:val="clear" w:color="auto" w:fill="F2F2F2" w:themeFill="background1" w:themeFillShade="F2"/>
          </w:tcPr>
          <w:p w14:paraId="69CE3933" w14:textId="77777777" w:rsidR="00B941DD" w:rsidRPr="009A1675" w:rsidRDefault="00B941DD" w:rsidP="00B941DD">
            <w:pPr>
              <w:spacing w:after="120"/>
              <w:ind w:left="360"/>
              <w:rPr>
                <w:rFonts w:ascii="Arial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 xml:space="preserve">Suggested </w:t>
            </w:r>
            <w:r w:rsidR="00A6007E">
              <w:rPr>
                <w:rFonts w:ascii="Arial" w:eastAsia="Calibri" w:hAnsi="Arial" w:cs="Arial"/>
                <w:b/>
                <w:szCs w:val="24"/>
                <w:u w:val="single"/>
              </w:rPr>
              <w:t>A</w:t>
            </w: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ctivities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>:</w:t>
            </w:r>
            <w:r w:rsidRPr="00123C63">
              <w:rPr>
                <w:rFonts w:ascii="Arial" w:eastAsia="Calibri" w:hAnsi="Arial" w:cs="Arial"/>
                <w:szCs w:val="24"/>
              </w:rPr>
              <w:t xml:space="preserve"> 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Conduct survey or focus groups; interview key stakeholders and/or consumers; present findings and other data to community partners, members, and decision-makers; </w:t>
            </w:r>
            <w:r w:rsidRPr="00F46A75">
              <w:rPr>
                <w:rFonts w:ascii="Arial" w:hAnsi="Arial" w:cs="Arial"/>
                <w:szCs w:val="24"/>
              </w:rPr>
              <w:t>review regional policies and evaluate effectiveness in addressing gaps or barriers in access; share data/results through community meetings, written report, and/or online resources.</w:t>
            </w:r>
          </w:p>
        </w:tc>
      </w:tr>
    </w:tbl>
    <w:p w14:paraId="5BCF4ECD" w14:textId="77777777" w:rsidR="00B941DD" w:rsidRDefault="00B941DD" w:rsidP="005936B8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9A1675" w14:paraId="4AA1C0CE" w14:textId="77777777" w:rsidTr="00126ACF">
        <w:tc>
          <w:tcPr>
            <w:tcW w:w="10795" w:type="dxa"/>
            <w:shd w:val="clear" w:color="auto" w:fill="FFC000" w:themeFill="accent4"/>
          </w:tcPr>
          <w:p w14:paraId="3B0F078F" w14:textId="77777777" w:rsidR="009A1675" w:rsidRPr="009A1675" w:rsidRDefault="009A1675" w:rsidP="005936B8">
            <w:pPr>
              <w:spacing w:after="120"/>
              <w:rPr>
                <w:rFonts w:ascii="Arial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Program Component 3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 xml:space="preserve">: </w:t>
            </w:r>
            <w:r w:rsidRPr="00F46A75">
              <w:rPr>
                <w:rFonts w:ascii="Arial" w:eastAsia="Calibri" w:hAnsi="Arial" w:cs="Arial"/>
                <w:szCs w:val="24"/>
              </w:rPr>
              <w:t>Develop and implement strategic plans to address gaps and barriers to accessing RH services</w:t>
            </w:r>
          </w:p>
        </w:tc>
      </w:tr>
      <w:tr w:rsidR="009A1675" w14:paraId="3C34E9B7" w14:textId="77777777" w:rsidTr="00126ACF">
        <w:tc>
          <w:tcPr>
            <w:tcW w:w="10795" w:type="dxa"/>
            <w:shd w:val="clear" w:color="auto" w:fill="FFF2CC" w:themeFill="accent4" w:themeFillTint="33"/>
          </w:tcPr>
          <w:p w14:paraId="3A6E8018" w14:textId="77777777" w:rsidR="009A1675" w:rsidRPr="009A1675" w:rsidRDefault="009A1675" w:rsidP="009A1675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Objective 3A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>:</w:t>
            </w:r>
            <w:r w:rsidRPr="00123C63">
              <w:rPr>
                <w:rFonts w:ascii="Arial" w:eastAsia="Calibri" w:hAnsi="Arial" w:cs="Arial"/>
                <w:szCs w:val="24"/>
              </w:rPr>
              <w:t xml:space="preserve"> 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With community partners and, as needed, the OR RH Program, develop </w:t>
            </w:r>
            <w:r>
              <w:rPr>
                <w:rFonts w:ascii="Arial" w:eastAsia="Calibri" w:hAnsi="Arial" w:cs="Arial"/>
                <w:szCs w:val="24"/>
              </w:rPr>
              <w:t xml:space="preserve">a </w:t>
            </w:r>
            <w:r w:rsidRPr="00F46A75">
              <w:rPr>
                <w:rFonts w:ascii="Arial" w:eastAsia="Calibri" w:hAnsi="Arial" w:cs="Arial"/>
                <w:szCs w:val="24"/>
              </w:rPr>
              <w:t>plan for improving access to RH services, addressing how to reduce or eliminate health disparities.</w:t>
            </w:r>
          </w:p>
        </w:tc>
      </w:tr>
      <w:tr w:rsidR="009A1675" w14:paraId="21B6C30E" w14:textId="77777777" w:rsidTr="00126ACF">
        <w:tc>
          <w:tcPr>
            <w:tcW w:w="10795" w:type="dxa"/>
            <w:shd w:val="clear" w:color="auto" w:fill="FFF2CC" w:themeFill="accent4" w:themeFillTint="33"/>
          </w:tcPr>
          <w:p w14:paraId="54F6F8E1" w14:textId="77777777" w:rsidR="009A1675" w:rsidRPr="009A1675" w:rsidRDefault="009A1675" w:rsidP="009A1675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Objective 3B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>:</w:t>
            </w:r>
            <w:r w:rsidRPr="00123C63">
              <w:rPr>
                <w:rFonts w:ascii="Arial" w:eastAsia="Calibri" w:hAnsi="Arial" w:cs="Arial"/>
                <w:szCs w:val="24"/>
              </w:rPr>
              <w:t xml:space="preserve"> 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Specifically engage communities experiencing health disparities so they can actively participate in planning to address their needs. </w:t>
            </w:r>
          </w:p>
        </w:tc>
      </w:tr>
      <w:tr w:rsidR="009A1675" w14:paraId="086298E8" w14:textId="77777777" w:rsidTr="00126ACF">
        <w:tc>
          <w:tcPr>
            <w:tcW w:w="10795" w:type="dxa"/>
            <w:shd w:val="clear" w:color="auto" w:fill="FFF2CC" w:themeFill="accent4" w:themeFillTint="33"/>
          </w:tcPr>
          <w:p w14:paraId="7B65B877" w14:textId="77777777" w:rsidR="009A1675" w:rsidRPr="009A1675" w:rsidRDefault="009A1675" w:rsidP="009A1675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Objective 3C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 xml:space="preserve">: 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With community partners, implement plan for improved access to RH services. </w:t>
            </w:r>
          </w:p>
        </w:tc>
      </w:tr>
      <w:tr w:rsidR="009A1675" w14:paraId="4ED035DB" w14:textId="77777777" w:rsidTr="00126ACF">
        <w:tc>
          <w:tcPr>
            <w:tcW w:w="10795" w:type="dxa"/>
            <w:shd w:val="clear" w:color="auto" w:fill="FFF2CC" w:themeFill="accent4" w:themeFillTint="33"/>
          </w:tcPr>
          <w:p w14:paraId="4990B082" w14:textId="77777777" w:rsidR="009A1675" w:rsidRPr="009A1675" w:rsidRDefault="009A1675" w:rsidP="009A1675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>Objective 3</w:t>
            </w:r>
            <w:r w:rsidR="00F84CE4">
              <w:rPr>
                <w:rFonts w:ascii="Arial" w:eastAsia="Calibri" w:hAnsi="Arial" w:cs="Arial"/>
                <w:b/>
                <w:szCs w:val="24"/>
                <w:u w:val="single"/>
              </w:rPr>
              <w:t>D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>:</w:t>
            </w:r>
            <w:r w:rsidRPr="00F46A75">
              <w:rPr>
                <w:rFonts w:ascii="Arial" w:eastAsia="Calibri" w:hAnsi="Arial" w:cs="Arial"/>
                <w:szCs w:val="24"/>
              </w:rPr>
              <w:t xml:space="preserve"> Assure that community members are aware of RH providers within the community through multiple communication channels  </w:t>
            </w:r>
          </w:p>
        </w:tc>
      </w:tr>
      <w:tr w:rsidR="009A1675" w14:paraId="65315C6A" w14:textId="77777777" w:rsidTr="00126ACF">
        <w:tc>
          <w:tcPr>
            <w:tcW w:w="107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4AEE91A" w14:textId="77777777" w:rsidR="009A1675" w:rsidRPr="009A1675" w:rsidRDefault="009A1675" w:rsidP="009A1675">
            <w:pPr>
              <w:spacing w:after="120"/>
              <w:ind w:left="360"/>
              <w:rPr>
                <w:rFonts w:ascii="Arial" w:hAnsi="Arial" w:cs="Arial"/>
                <w:i/>
                <w:szCs w:val="24"/>
              </w:rPr>
            </w:pPr>
            <w:r w:rsidRPr="00F46A75">
              <w:rPr>
                <w:rFonts w:ascii="Arial" w:hAnsi="Arial" w:cs="Arial"/>
                <w:b/>
                <w:szCs w:val="24"/>
                <w:u w:val="single"/>
              </w:rPr>
              <w:t>Objective 3</w:t>
            </w:r>
            <w:r w:rsidR="00F84CE4">
              <w:rPr>
                <w:rFonts w:ascii="Arial" w:hAnsi="Arial" w:cs="Arial"/>
                <w:b/>
                <w:szCs w:val="24"/>
                <w:u w:val="single"/>
              </w:rPr>
              <w:t>E</w:t>
            </w:r>
            <w:r w:rsidRPr="00F46A75">
              <w:rPr>
                <w:rFonts w:ascii="Arial" w:hAnsi="Arial" w:cs="Arial"/>
                <w:szCs w:val="24"/>
              </w:rPr>
              <w:t>: Create your own objective to develop and implement strategic plans to address gaps and barriers to accessing RH services.</w:t>
            </w:r>
          </w:p>
        </w:tc>
      </w:tr>
      <w:tr w:rsidR="009A1675" w14:paraId="453BC0AC" w14:textId="77777777" w:rsidTr="00126ACF">
        <w:tc>
          <w:tcPr>
            <w:tcW w:w="10795" w:type="dxa"/>
            <w:shd w:val="clear" w:color="auto" w:fill="FFF2CC" w:themeFill="accent4" w:themeFillTint="33"/>
          </w:tcPr>
          <w:p w14:paraId="31B343C6" w14:textId="0841E0A3" w:rsidR="009A1675" w:rsidRPr="00C910AD" w:rsidRDefault="00C910AD" w:rsidP="00126ACF">
            <w:pPr>
              <w:tabs>
                <w:tab w:val="left" w:pos="610"/>
              </w:tabs>
              <w:spacing w:after="120"/>
              <w:ind w:left="340" w:hanging="360"/>
              <w:rPr>
                <w:rFonts w:ascii="Arial" w:eastAsia="Calibri" w:hAnsi="Arial" w:cs="Arial"/>
                <w:szCs w:val="24"/>
              </w:rPr>
            </w:pPr>
            <w:bookmarkStart w:id="5" w:name="_Hlk27563412"/>
            <w:r w:rsidRPr="00C910AD">
              <w:rPr>
                <w:rFonts w:ascii="Arial" w:eastAsia="Calibri" w:hAnsi="Arial" w:cs="Arial"/>
                <w:b/>
                <w:szCs w:val="24"/>
              </w:rPr>
              <w:t xml:space="preserve">     </w:t>
            </w:r>
            <w:r w:rsidR="009A1675" w:rsidRPr="00F46A75">
              <w:rPr>
                <w:rFonts w:ascii="Arial" w:eastAsia="Calibri" w:hAnsi="Arial" w:cs="Arial"/>
                <w:b/>
                <w:szCs w:val="24"/>
                <w:u w:val="single"/>
              </w:rPr>
              <w:t xml:space="preserve">Suggested </w:t>
            </w:r>
            <w:r w:rsidR="00A6007E">
              <w:rPr>
                <w:rFonts w:ascii="Arial" w:eastAsia="Calibri" w:hAnsi="Arial" w:cs="Arial"/>
                <w:b/>
                <w:szCs w:val="24"/>
                <w:u w:val="single"/>
              </w:rPr>
              <w:t>A</w:t>
            </w:r>
            <w:r w:rsidR="009A1675" w:rsidRPr="00F46A75">
              <w:rPr>
                <w:rFonts w:ascii="Arial" w:eastAsia="Calibri" w:hAnsi="Arial" w:cs="Arial"/>
                <w:b/>
                <w:szCs w:val="24"/>
                <w:u w:val="single"/>
              </w:rPr>
              <w:t>ctivities:</w:t>
            </w:r>
            <w:r w:rsidR="009A1675" w:rsidRPr="00F46A75">
              <w:rPr>
                <w:rFonts w:ascii="Arial" w:eastAsia="Calibri" w:hAnsi="Arial" w:cs="Arial"/>
                <w:szCs w:val="24"/>
              </w:rPr>
              <w:t xml:space="preserve"> Host community listening and planning sessions to create </w:t>
            </w:r>
            <w:r w:rsidR="006A2D5C">
              <w:rPr>
                <w:rFonts w:ascii="Arial" w:eastAsia="Calibri" w:hAnsi="Arial" w:cs="Arial"/>
                <w:szCs w:val="24"/>
              </w:rPr>
              <w:t xml:space="preserve">a </w:t>
            </w:r>
            <w:r w:rsidR="009A1675" w:rsidRPr="00F46A75">
              <w:rPr>
                <w:rFonts w:ascii="Arial" w:eastAsia="Calibri" w:hAnsi="Arial" w:cs="Arial"/>
                <w:szCs w:val="24"/>
              </w:rPr>
              <w:t>strategic</w:t>
            </w:r>
            <w:r w:rsidR="00A6007E">
              <w:rPr>
                <w:rFonts w:ascii="Arial" w:eastAsia="Calibri" w:hAnsi="Arial" w:cs="Arial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 xml:space="preserve">       </w:t>
            </w:r>
            <w:r w:rsidR="00474867">
              <w:rPr>
                <w:rFonts w:ascii="Arial" w:eastAsia="Calibri" w:hAnsi="Arial" w:cs="Arial"/>
                <w:szCs w:val="24"/>
              </w:rPr>
              <w:t xml:space="preserve">        </w:t>
            </w:r>
            <w:r w:rsidR="005F22F6">
              <w:rPr>
                <w:rFonts w:ascii="Arial" w:eastAsia="Calibri" w:hAnsi="Arial" w:cs="Arial"/>
                <w:szCs w:val="24"/>
              </w:rPr>
              <w:t xml:space="preserve">    </w:t>
            </w:r>
            <w:r>
              <w:rPr>
                <w:rFonts w:ascii="Arial" w:eastAsia="Calibri" w:hAnsi="Arial" w:cs="Arial"/>
                <w:szCs w:val="24"/>
              </w:rPr>
              <w:t>p</w:t>
            </w:r>
            <w:r w:rsidR="000F5408" w:rsidRPr="00F46A75">
              <w:rPr>
                <w:rFonts w:ascii="Arial" w:eastAsia="Calibri" w:hAnsi="Arial" w:cs="Arial"/>
                <w:szCs w:val="24"/>
              </w:rPr>
              <w:t>lan</w:t>
            </w:r>
            <w:r w:rsidR="006A2D5C">
              <w:rPr>
                <w:rFonts w:ascii="Arial" w:eastAsia="Calibri" w:hAnsi="Arial" w:cs="Arial"/>
                <w:szCs w:val="24"/>
              </w:rPr>
              <w:t>;</w:t>
            </w:r>
            <w:r w:rsidR="00A6007E">
              <w:rPr>
                <w:rFonts w:ascii="Arial" w:eastAsia="Calibri" w:hAnsi="Arial" w:cs="Arial"/>
                <w:szCs w:val="24"/>
              </w:rPr>
              <w:t xml:space="preserve"> co</w:t>
            </w:r>
            <w:r w:rsidR="009A1675" w:rsidRPr="00F46A75">
              <w:rPr>
                <w:rFonts w:ascii="Arial" w:eastAsia="Calibri" w:hAnsi="Arial" w:cs="Arial"/>
                <w:szCs w:val="24"/>
              </w:rPr>
              <w:t xml:space="preserve">llaboratively develop and implement strategic outreach/marketing plan; develop online or print materials with information about RH providers within the community; </w:t>
            </w:r>
            <w:r w:rsidR="009A1675" w:rsidRPr="00F46A75">
              <w:rPr>
                <w:rFonts w:ascii="Arial" w:hAnsi="Arial" w:cs="Arial"/>
                <w:szCs w:val="24"/>
              </w:rPr>
              <w:t>develop evaluation plan or process; utilize evaluation findings to make system improvements; hold a forum; create a website.</w:t>
            </w:r>
            <w:bookmarkEnd w:id="5"/>
          </w:p>
        </w:tc>
      </w:tr>
      <w:bookmarkEnd w:id="4"/>
    </w:tbl>
    <w:p w14:paraId="205B53BD" w14:textId="77777777" w:rsidR="000F5408" w:rsidRDefault="000F5408" w:rsidP="00863CBD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F5408" w14:paraId="5267F769" w14:textId="77777777" w:rsidTr="000F5408">
        <w:tc>
          <w:tcPr>
            <w:tcW w:w="10790" w:type="dxa"/>
            <w:shd w:val="clear" w:color="auto" w:fill="5B9BD5" w:themeFill="accent5"/>
          </w:tcPr>
          <w:p w14:paraId="6AA8378C" w14:textId="77777777" w:rsidR="000F5408" w:rsidRPr="00E007A4" w:rsidRDefault="000F5408" w:rsidP="000F5408">
            <w:pPr>
              <w:spacing w:after="120"/>
              <w:rPr>
                <w:rFonts w:ascii="Arial" w:hAnsi="Arial" w:cs="Arial"/>
                <w:szCs w:val="24"/>
              </w:rPr>
            </w:pP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 xml:space="preserve">Program Component </w:t>
            </w:r>
            <w:r>
              <w:rPr>
                <w:rFonts w:ascii="Arial" w:eastAsia="Calibri" w:hAnsi="Arial" w:cs="Arial"/>
                <w:b/>
                <w:szCs w:val="24"/>
                <w:u w:val="single"/>
              </w:rPr>
              <w:t>4</w:t>
            </w:r>
            <w:r w:rsidRPr="00873E14">
              <w:rPr>
                <w:rFonts w:ascii="Arial" w:eastAsia="Calibri" w:hAnsi="Arial" w:cs="Arial"/>
                <w:b/>
                <w:szCs w:val="24"/>
                <w:u w:val="single"/>
              </w:rPr>
              <w:t>:</w:t>
            </w:r>
            <w:r w:rsidRPr="00873E14">
              <w:rPr>
                <w:rFonts w:ascii="Arial" w:eastAsia="Calibri" w:hAnsi="Arial" w:cs="Arial"/>
                <w:szCs w:val="24"/>
              </w:rPr>
              <w:t xml:space="preserve"> Evaluate the </w:t>
            </w:r>
            <w:r>
              <w:rPr>
                <w:rFonts w:ascii="Arial" w:eastAsia="Calibri" w:hAnsi="Arial" w:cs="Arial"/>
                <w:szCs w:val="24"/>
              </w:rPr>
              <w:t xml:space="preserve">impact of your </w:t>
            </w:r>
            <w:r w:rsidRPr="00873E14">
              <w:rPr>
                <w:rFonts w:ascii="Arial" w:eastAsia="Calibri" w:hAnsi="Arial" w:cs="Arial"/>
                <w:szCs w:val="24"/>
              </w:rPr>
              <w:t>plan</w:t>
            </w:r>
          </w:p>
        </w:tc>
      </w:tr>
      <w:tr w:rsidR="000F5408" w14:paraId="71020177" w14:textId="77777777" w:rsidTr="000F5408">
        <w:tc>
          <w:tcPr>
            <w:tcW w:w="10790" w:type="dxa"/>
            <w:shd w:val="clear" w:color="auto" w:fill="DEEAF6" w:themeFill="accent5" w:themeFillTint="33"/>
          </w:tcPr>
          <w:p w14:paraId="798B5327" w14:textId="77777777" w:rsidR="000F5408" w:rsidRPr="00F84CE4" w:rsidRDefault="000F5408" w:rsidP="000F5408">
            <w:pPr>
              <w:spacing w:after="120"/>
              <w:ind w:left="360"/>
              <w:rPr>
                <w:rFonts w:ascii="Arial" w:eastAsia="Calibri" w:hAnsi="Arial" w:cs="Arial"/>
                <w:szCs w:val="24"/>
              </w:rPr>
            </w:pPr>
            <w:r w:rsidRPr="00F46A75">
              <w:rPr>
                <w:rFonts w:ascii="Arial" w:hAnsi="Arial" w:cs="Arial"/>
                <w:b/>
                <w:szCs w:val="24"/>
                <w:u w:val="single"/>
              </w:rPr>
              <w:t xml:space="preserve">Objective </w:t>
            </w:r>
            <w:r>
              <w:rPr>
                <w:rFonts w:ascii="Arial" w:hAnsi="Arial" w:cs="Arial"/>
                <w:b/>
                <w:szCs w:val="24"/>
                <w:u w:val="single"/>
              </w:rPr>
              <w:t>4A</w:t>
            </w:r>
            <w:r w:rsidRPr="00123C63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F84CE4">
              <w:rPr>
                <w:rFonts w:ascii="Arial" w:hAnsi="Arial" w:cs="Arial"/>
                <w:szCs w:val="24"/>
              </w:rPr>
              <w:t>With community partners evaluate previously implemented plan to improve access to RH services.</w:t>
            </w:r>
            <w:r w:rsidRPr="00F46A75">
              <w:rPr>
                <w:rFonts w:ascii="Arial" w:hAnsi="Arial" w:cs="Arial"/>
                <w:szCs w:val="24"/>
              </w:rPr>
              <w:t xml:space="preserve"> </w:t>
            </w:r>
            <w:r w:rsidRPr="00F46A75">
              <w:rPr>
                <w:rFonts w:ascii="Arial" w:hAnsi="Arial" w:cs="Arial"/>
                <w:i/>
                <w:szCs w:val="24"/>
              </w:rPr>
              <w:t xml:space="preserve">  </w:t>
            </w:r>
          </w:p>
        </w:tc>
      </w:tr>
      <w:tr w:rsidR="000F5408" w14:paraId="7C86A658" w14:textId="77777777" w:rsidTr="000F5408">
        <w:tc>
          <w:tcPr>
            <w:tcW w:w="10790" w:type="dxa"/>
            <w:shd w:val="clear" w:color="auto" w:fill="DEEAF6" w:themeFill="accent5" w:themeFillTint="33"/>
          </w:tcPr>
          <w:p w14:paraId="74FF2DA2" w14:textId="77777777" w:rsidR="000F5408" w:rsidRPr="00561BC8" w:rsidRDefault="000F5408" w:rsidP="000F5408">
            <w:pPr>
              <w:spacing w:after="12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     </w:t>
            </w: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 xml:space="preserve">Objective </w:t>
            </w:r>
            <w:r>
              <w:rPr>
                <w:rFonts w:ascii="Arial" w:eastAsia="Calibri" w:hAnsi="Arial" w:cs="Arial"/>
                <w:b/>
                <w:szCs w:val="24"/>
                <w:u w:val="single"/>
              </w:rPr>
              <w:t>4B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szCs w:val="24"/>
              </w:rPr>
              <w:t>Consult with the RH Program to determine evaluation process.</w:t>
            </w:r>
          </w:p>
        </w:tc>
      </w:tr>
      <w:tr w:rsidR="000F5408" w14:paraId="5F422CA0" w14:textId="77777777" w:rsidTr="000F5408">
        <w:tc>
          <w:tcPr>
            <w:tcW w:w="10790" w:type="dxa"/>
            <w:shd w:val="clear" w:color="auto" w:fill="DEEAF6" w:themeFill="accent5" w:themeFillTint="33"/>
          </w:tcPr>
          <w:p w14:paraId="54A87FF8" w14:textId="77777777" w:rsidR="000F5408" w:rsidRPr="00F46A75" w:rsidRDefault="000F5408" w:rsidP="000F5408">
            <w:pPr>
              <w:spacing w:after="120"/>
              <w:rPr>
                <w:rFonts w:ascii="Arial" w:eastAsia="Calibri" w:hAnsi="Arial" w:cs="Arial"/>
                <w:b/>
                <w:szCs w:val="24"/>
                <w:u w:val="single"/>
              </w:rPr>
            </w:pPr>
            <w:r w:rsidRPr="00DB7EA1">
              <w:rPr>
                <w:rFonts w:ascii="Arial" w:eastAsia="Calibri" w:hAnsi="Arial" w:cs="Arial"/>
                <w:b/>
                <w:szCs w:val="24"/>
              </w:rPr>
              <w:t xml:space="preserve">     </w:t>
            </w:r>
            <w:r w:rsidRPr="00F46A75">
              <w:rPr>
                <w:rFonts w:ascii="Arial" w:eastAsia="Calibri" w:hAnsi="Arial" w:cs="Arial"/>
                <w:b/>
                <w:szCs w:val="24"/>
                <w:u w:val="single"/>
              </w:rPr>
              <w:t xml:space="preserve">Objective </w:t>
            </w:r>
            <w:r>
              <w:rPr>
                <w:rFonts w:ascii="Arial" w:eastAsia="Calibri" w:hAnsi="Arial" w:cs="Arial"/>
                <w:b/>
                <w:szCs w:val="24"/>
                <w:u w:val="single"/>
              </w:rPr>
              <w:t>4C</w:t>
            </w:r>
            <w:r w:rsidRPr="00123C63">
              <w:rPr>
                <w:rFonts w:ascii="Arial" w:eastAsia="Calibri" w:hAnsi="Arial" w:cs="Arial"/>
                <w:b/>
                <w:szCs w:val="24"/>
              </w:rPr>
              <w:t>:</w:t>
            </w:r>
            <w:r w:rsidRPr="003D696B">
              <w:rPr>
                <w:rFonts w:ascii="Arial" w:eastAsia="Calibri" w:hAnsi="Arial" w:cs="Arial"/>
                <w:b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Determine your own evaluation process.</w:t>
            </w:r>
          </w:p>
        </w:tc>
      </w:tr>
      <w:tr w:rsidR="0047574B" w14:paraId="6BBC0137" w14:textId="77777777" w:rsidTr="000F5408">
        <w:tc>
          <w:tcPr>
            <w:tcW w:w="10790" w:type="dxa"/>
            <w:shd w:val="clear" w:color="auto" w:fill="DEEAF6" w:themeFill="accent5" w:themeFillTint="33"/>
          </w:tcPr>
          <w:p w14:paraId="08B6E6AC" w14:textId="17F7C80E" w:rsidR="0047574B" w:rsidRPr="0047574B" w:rsidRDefault="0047574B" w:rsidP="00126ACF">
            <w:pPr>
              <w:spacing w:after="120"/>
              <w:ind w:left="340" w:hanging="3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     </w:t>
            </w:r>
            <w:r w:rsidRPr="0047574B">
              <w:rPr>
                <w:rFonts w:ascii="Arial" w:eastAsia="Calibri" w:hAnsi="Arial" w:cs="Arial"/>
                <w:b/>
                <w:szCs w:val="24"/>
                <w:u w:val="single"/>
              </w:rPr>
              <w:t xml:space="preserve">Suggested </w:t>
            </w:r>
            <w:r w:rsidR="00C910AD">
              <w:rPr>
                <w:rFonts w:ascii="Arial" w:eastAsia="Calibri" w:hAnsi="Arial" w:cs="Arial"/>
                <w:b/>
                <w:szCs w:val="24"/>
                <w:u w:val="single"/>
              </w:rPr>
              <w:t>A</w:t>
            </w:r>
            <w:r w:rsidRPr="0047574B">
              <w:rPr>
                <w:rFonts w:ascii="Arial" w:eastAsia="Calibri" w:hAnsi="Arial" w:cs="Arial"/>
                <w:b/>
                <w:szCs w:val="24"/>
                <w:u w:val="single"/>
              </w:rPr>
              <w:t>ctivities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szCs w:val="24"/>
              </w:rPr>
              <w:t>Evaluate impact of community coalitions; evaluate existing resources/</w:t>
            </w:r>
            <w:r w:rsidR="00126ACF">
              <w:rPr>
                <w:rFonts w:ascii="Arial" w:eastAsia="Calibri" w:hAnsi="Arial" w:cs="Arial"/>
                <w:szCs w:val="24"/>
              </w:rPr>
              <w:t xml:space="preserve"> tools.</w:t>
            </w:r>
          </w:p>
        </w:tc>
      </w:tr>
    </w:tbl>
    <w:p w14:paraId="45FF6128" w14:textId="77777777" w:rsidR="00EE176A" w:rsidRPr="000F5408" w:rsidRDefault="00EE176A" w:rsidP="000F5408">
      <w:pPr>
        <w:spacing w:after="120"/>
        <w:rPr>
          <w:rFonts w:ascii="Arial" w:eastAsia="Calibri" w:hAnsi="Arial" w:cs="Arial"/>
          <w:b/>
          <w:szCs w:val="24"/>
          <w:u w:val="single"/>
        </w:rPr>
      </w:pPr>
    </w:p>
    <w:sectPr w:rsidR="00EE176A" w:rsidRPr="000F5408" w:rsidSect="00806B5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83C80"/>
    <w:multiLevelType w:val="hybridMultilevel"/>
    <w:tmpl w:val="7850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1F"/>
    <w:rsid w:val="00046177"/>
    <w:rsid w:val="000F5408"/>
    <w:rsid w:val="0010268D"/>
    <w:rsid w:val="00123C63"/>
    <w:rsid w:val="00126ACF"/>
    <w:rsid w:val="001314A5"/>
    <w:rsid w:val="001677CB"/>
    <w:rsid w:val="001E3D3E"/>
    <w:rsid w:val="00212E8D"/>
    <w:rsid w:val="00232B07"/>
    <w:rsid w:val="002F33D2"/>
    <w:rsid w:val="00381D44"/>
    <w:rsid w:val="003C4633"/>
    <w:rsid w:val="003D1C1F"/>
    <w:rsid w:val="003D696B"/>
    <w:rsid w:val="00460F06"/>
    <w:rsid w:val="00472D15"/>
    <w:rsid w:val="00474867"/>
    <w:rsid w:val="0047574B"/>
    <w:rsid w:val="004B2005"/>
    <w:rsid w:val="00560571"/>
    <w:rsid w:val="00561BC8"/>
    <w:rsid w:val="0058513E"/>
    <w:rsid w:val="005936B8"/>
    <w:rsid w:val="005A7256"/>
    <w:rsid w:val="005F0603"/>
    <w:rsid w:val="005F22F6"/>
    <w:rsid w:val="006A2D5C"/>
    <w:rsid w:val="006C5194"/>
    <w:rsid w:val="00706F2E"/>
    <w:rsid w:val="00782D47"/>
    <w:rsid w:val="007F27E6"/>
    <w:rsid w:val="00806B55"/>
    <w:rsid w:val="00863CBD"/>
    <w:rsid w:val="00866D71"/>
    <w:rsid w:val="00873E14"/>
    <w:rsid w:val="008B2E12"/>
    <w:rsid w:val="008E22DC"/>
    <w:rsid w:val="008E7047"/>
    <w:rsid w:val="00923312"/>
    <w:rsid w:val="0094149B"/>
    <w:rsid w:val="009818DF"/>
    <w:rsid w:val="009A1675"/>
    <w:rsid w:val="009D120C"/>
    <w:rsid w:val="009E04B7"/>
    <w:rsid w:val="00A03AC8"/>
    <w:rsid w:val="00A1580F"/>
    <w:rsid w:val="00A40C48"/>
    <w:rsid w:val="00A6007E"/>
    <w:rsid w:val="00AB6DA8"/>
    <w:rsid w:val="00AD2075"/>
    <w:rsid w:val="00B01ABB"/>
    <w:rsid w:val="00B25EAB"/>
    <w:rsid w:val="00B656E1"/>
    <w:rsid w:val="00B739F9"/>
    <w:rsid w:val="00B941DD"/>
    <w:rsid w:val="00BA3F62"/>
    <w:rsid w:val="00C16460"/>
    <w:rsid w:val="00C433D7"/>
    <w:rsid w:val="00C910AD"/>
    <w:rsid w:val="00CF06EE"/>
    <w:rsid w:val="00DB37AF"/>
    <w:rsid w:val="00DB7EA1"/>
    <w:rsid w:val="00DC45C0"/>
    <w:rsid w:val="00E007A4"/>
    <w:rsid w:val="00E228B3"/>
    <w:rsid w:val="00EC101B"/>
    <w:rsid w:val="00EE176A"/>
    <w:rsid w:val="00F14FF8"/>
    <w:rsid w:val="00F45351"/>
    <w:rsid w:val="00F46A75"/>
    <w:rsid w:val="00F84CE4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CB51"/>
  <w15:chartTrackingRefBased/>
  <w15:docId w15:val="{39D05CF0-89B9-4480-A29A-8B3F7C3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1C1F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93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6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B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82D47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</w:rPr>
  </w:style>
  <w:style w:type="table" w:styleId="TableGrid">
    <w:name w:val="Table Grid"/>
    <w:basedOn w:val="TableNormal"/>
    <w:uiPriority w:val="39"/>
    <w:rsid w:val="009A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76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2D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DBB964-E704-4783-A6AA-505E23722973}" type="doc">
      <dgm:prSet loTypeId="urn:microsoft.com/office/officeart/2009/layout/CircleArrowProcess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7A90774-14A6-4AD6-80F3-E151D97ABEFF}">
      <dgm:prSet phldrT="[Text]" custT="1"/>
      <dgm:spPr/>
      <dgm:t>
        <a:bodyPr/>
        <a:lstStyle/>
        <a:p>
          <a:r>
            <a:rPr lang="en-US" sz="900"/>
            <a:t>Establish</a:t>
          </a:r>
          <a:r>
            <a:rPr lang="en-US" sz="1000"/>
            <a:t> Partnerships</a:t>
          </a:r>
        </a:p>
      </dgm:t>
    </dgm:pt>
    <dgm:pt modelId="{32F63802-2421-4C3B-84B2-45B5A5A59AC9}" type="parTrans" cxnId="{FA6020A0-BA71-4879-A09A-C976CE602576}">
      <dgm:prSet/>
      <dgm:spPr/>
      <dgm:t>
        <a:bodyPr/>
        <a:lstStyle/>
        <a:p>
          <a:endParaRPr lang="en-US"/>
        </a:p>
      </dgm:t>
    </dgm:pt>
    <dgm:pt modelId="{2132766F-FC4C-4B50-82B1-3E57AF465FA0}" type="sibTrans" cxnId="{FA6020A0-BA71-4879-A09A-C976CE602576}">
      <dgm:prSet/>
      <dgm:spPr/>
      <dgm:t>
        <a:bodyPr/>
        <a:lstStyle/>
        <a:p>
          <a:endParaRPr lang="en-US"/>
        </a:p>
      </dgm:t>
    </dgm:pt>
    <dgm:pt modelId="{FB69B5EB-3D8B-4471-89C2-64AB1703D780}">
      <dgm:prSet phldrT="[Text]" custT="1"/>
      <dgm:spPr/>
      <dgm:t>
        <a:bodyPr/>
        <a:lstStyle/>
        <a:p>
          <a:r>
            <a:rPr lang="en-US" sz="900"/>
            <a:t>Develop</a:t>
          </a:r>
          <a:r>
            <a:rPr lang="en-US" sz="800"/>
            <a:t> and Implement Plan</a:t>
          </a:r>
        </a:p>
      </dgm:t>
    </dgm:pt>
    <dgm:pt modelId="{827EFCC1-8D88-4DDC-BC8A-7A1992D22E25}" type="parTrans" cxnId="{4267CC16-12B6-4754-9925-355385F0B5E5}">
      <dgm:prSet/>
      <dgm:spPr/>
      <dgm:t>
        <a:bodyPr/>
        <a:lstStyle/>
        <a:p>
          <a:endParaRPr lang="en-US"/>
        </a:p>
      </dgm:t>
    </dgm:pt>
    <dgm:pt modelId="{F6E9C622-49AF-4DFE-94C1-882A07AB00FE}" type="sibTrans" cxnId="{4267CC16-12B6-4754-9925-355385F0B5E5}">
      <dgm:prSet/>
      <dgm:spPr/>
      <dgm:t>
        <a:bodyPr/>
        <a:lstStyle/>
        <a:p>
          <a:endParaRPr lang="en-US"/>
        </a:p>
      </dgm:t>
    </dgm:pt>
    <dgm:pt modelId="{B3657A1C-B0C0-4F94-A3D3-6FF28A47E8AA}">
      <dgm:prSet phldrT="[Text]"/>
      <dgm:spPr/>
      <dgm:t>
        <a:bodyPr/>
        <a:lstStyle/>
        <a:p>
          <a:r>
            <a:rPr lang="en-US"/>
            <a:t>Evalluate Impact</a:t>
          </a:r>
        </a:p>
      </dgm:t>
    </dgm:pt>
    <dgm:pt modelId="{C3F1DDC4-47AB-4CA4-8FAE-95C6812183EA}" type="sibTrans" cxnId="{48DC2B43-E1A8-4BFC-B672-E196FE5E8E6A}">
      <dgm:prSet/>
      <dgm:spPr/>
      <dgm:t>
        <a:bodyPr/>
        <a:lstStyle/>
        <a:p>
          <a:endParaRPr lang="en-US"/>
        </a:p>
      </dgm:t>
    </dgm:pt>
    <dgm:pt modelId="{3ADB2B13-61D2-4B05-8C88-79DC67880611}" type="parTrans" cxnId="{48DC2B43-E1A8-4BFC-B672-E196FE5E8E6A}">
      <dgm:prSet/>
      <dgm:spPr/>
      <dgm:t>
        <a:bodyPr/>
        <a:lstStyle/>
        <a:p>
          <a:endParaRPr lang="en-US"/>
        </a:p>
      </dgm:t>
    </dgm:pt>
    <dgm:pt modelId="{21677160-654C-414F-8130-DCA675DCF952}">
      <dgm:prSet phldrT="[Text]" custT="1"/>
      <dgm:spPr/>
      <dgm:t>
        <a:bodyPr/>
        <a:lstStyle/>
        <a:p>
          <a:r>
            <a:rPr lang="en-US" sz="900"/>
            <a:t>Assess Gaps and Barriers</a:t>
          </a:r>
        </a:p>
      </dgm:t>
    </dgm:pt>
    <dgm:pt modelId="{F71230FC-0966-4AA8-B453-DF2FBE2783B2}" type="sibTrans" cxnId="{3F5D3933-9B22-4A4C-BA07-02E02A610A62}">
      <dgm:prSet/>
      <dgm:spPr/>
      <dgm:t>
        <a:bodyPr/>
        <a:lstStyle/>
        <a:p>
          <a:endParaRPr lang="en-US"/>
        </a:p>
      </dgm:t>
    </dgm:pt>
    <dgm:pt modelId="{C87207E6-6987-4A8C-B22C-39765B991D1F}" type="parTrans" cxnId="{3F5D3933-9B22-4A4C-BA07-02E02A610A62}">
      <dgm:prSet/>
      <dgm:spPr/>
      <dgm:t>
        <a:bodyPr/>
        <a:lstStyle/>
        <a:p>
          <a:endParaRPr lang="en-US"/>
        </a:p>
      </dgm:t>
    </dgm:pt>
    <dgm:pt modelId="{3CCF3EA4-36C8-45FF-BC2C-2428321129D6}" type="pres">
      <dgm:prSet presAssocID="{ABDBB964-E704-4783-A6AA-505E23722973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109A2793-347A-4BED-AED9-AEC1F50D5581}" type="pres">
      <dgm:prSet presAssocID="{97A90774-14A6-4AD6-80F3-E151D97ABEFF}" presName="Accent1" presStyleCnt="0"/>
      <dgm:spPr/>
    </dgm:pt>
    <dgm:pt modelId="{F618CD9A-29F2-4584-9F56-A43D42CC6959}" type="pres">
      <dgm:prSet presAssocID="{97A90774-14A6-4AD6-80F3-E151D97ABEFF}" presName="Accent" presStyleLbl="node1" presStyleIdx="0" presStyleCnt="4" custLinFactNeighborX="1252" custLinFactNeighborY="-1879"/>
      <dgm:spPr/>
    </dgm:pt>
    <dgm:pt modelId="{BCA54323-0865-44F8-A143-D475B1802D87}" type="pres">
      <dgm:prSet presAssocID="{97A90774-14A6-4AD6-80F3-E151D97ABEFF}" presName="Parent1" presStyleLbl="revTx" presStyleIdx="0" presStyleCnt="4" custFlipHor="1" custScaleX="135219">
        <dgm:presLayoutVars>
          <dgm:chMax val="1"/>
          <dgm:chPref val="1"/>
          <dgm:bulletEnabled val="1"/>
        </dgm:presLayoutVars>
      </dgm:prSet>
      <dgm:spPr/>
    </dgm:pt>
    <dgm:pt modelId="{B1CA7AF4-E9D9-4C05-BDAB-6DBAE728F66A}" type="pres">
      <dgm:prSet presAssocID="{21677160-654C-414F-8130-DCA675DCF952}" presName="Accent2" presStyleCnt="0"/>
      <dgm:spPr/>
    </dgm:pt>
    <dgm:pt modelId="{C63D2820-B97D-44AD-A2E6-6FA70C6DF773}" type="pres">
      <dgm:prSet presAssocID="{21677160-654C-414F-8130-DCA675DCF952}" presName="Accent" presStyleLbl="node1" presStyleIdx="1" presStyleCnt="4"/>
      <dgm:spPr/>
    </dgm:pt>
    <dgm:pt modelId="{99218A0E-663E-4070-9DF0-2D01DF6771C7}" type="pres">
      <dgm:prSet presAssocID="{21677160-654C-414F-8130-DCA675DCF952}" presName="Parent2" presStyleLbl="revTx" presStyleIdx="1" presStyleCnt="4">
        <dgm:presLayoutVars>
          <dgm:chMax val="1"/>
          <dgm:chPref val="1"/>
          <dgm:bulletEnabled val="1"/>
        </dgm:presLayoutVars>
      </dgm:prSet>
      <dgm:spPr/>
    </dgm:pt>
    <dgm:pt modelId="{E0FDE834-4627-4D1C-98F3-E17A1425ED26}" type="pres">
      <dgm:prSet presAssocID="{FB69B5EB-3D8B-4471-89C2-64AB1703D780}" presName="Accent3" presStyleCnt="0"/>
      <dgm:spPr/>
    </dgm:pt>
    <dgm:pt modelId="{24FD0906-13DD-4A2F-847D-ED82EFB245F9}" type="pres">
      <dgm:prSet presAssocID="{FB69B5EB-3D8B-4471-89C2-64AB1703D780}" presName="Accent" presStyleLbl="node1" presStyleIdx="2" presStyleCnt="4"/>
      <dgm:spPr/>
    </dgm:pt>
    <dgm:pt modelId="{809C0577-2E7C-487E-A95F-BE59DDA6CC5E}" type="pres">
      <dgm:prSet presAssocID="{FB69B5EB-3D8B-4471-89C2-64AB1703D780}" presName="Parent3" presStyleLbl="revTx" presStyleIdx="2" presStyleCnt="4" custLinFactNeighborX="5611" custLinFactNeighborY="-8978">
        <dgm:presLayoutVars>
          <dgm:chMax val="1"/>
          <dgm:chPref val="1"/>
          <dgm:bulletEnabled val="1"/>
        </dgm:presLayoutVars>
      </dgm:prSet>
      <dgm:spPr/>
    </dgm:pt>
    <dgm:pt modelId="{EE6FB82B-795F-4347-B496-829620D00A51}" type="pres">
      <dgm:prSet presAssocID="{B3657A1C-B0C0-4F94-A3D3-6FF28A47E8AA}" presName="Accent4" presStyleCnt="0"/>
      <dgm:spPr/>
    </dgm:pt>
    <dgm:pt modelId="{2226C404-8FA7-444C-80F3-95EB32AE68D3}" type="pres">
      <dgm:prSet presAssocID="{B3657A1C-B0C0-4F94-A3D3-6FF28A47E8AA}" presName="Accent" presStyleLbl="node1" presStyleIdx="3" presStyleCnt="4"/>
      <dgm:spPr/>
    </dgm:pt>
    <dgm:pt modelId="{D8112353-12AB-410E-86A0-104569CDAEC8}" type="pres">
      <dgm:prSet presAssocID="{B3657A1C-B0C0-4F94-A3D3-6FF28A47E8AA}" presName="Parent4" presStyleLbl="revTx" presStyleIdx="3" presStyleCnt="4">
        <dgm:presLayoutVars>
          <dgm:chMax val="1"/>
          <dgm:chPref val="1"/>
          <dgm:bulletEnabled val="1"/>
        </dgm:presLayoutVars>
      </dgm:prSet>
      <dgm:spPr/>
    </dgm:pt>
  </dgm:ptLst>
  <dgm:cxnLst>
    <dgm:cxn modelId="{4267CC16-12B6-4754-9925-355385F0B5E5}" srcId="{ABDBB964-E704-4783-A6AA-505E23722973}" destId="{FB69B5EB-3D8B-4471-89C2-64AB1703D780}" srcOrd="2" destOrd="0" parTransId="{827EFCC1-8D88-4DDC-BC8A-7A1992D22E25}" sibTransId="{F6E9C622-49AF-4DFE-94C1-882A07AB00FE}"/>
    <dgm:cxn modelId="{3F5D3933-9B22-4A4C-BA07-02E02A610A62}" srcId="{ABDBB964-E704-4783-A6AA-505E23722973}" destId="{21677160-654C-414F-8130-DCA675DCF952}" srcOrd="1" destOrd="0" parTransId="{C87207E6-6987-4A8C-B22C-39765B991D1F}" sibTransId="{F71230FC-0966-4AA8-B453-DF2FBE2783B2}"/>
    <dgm:cxn modelId="{48DC2B43-E1A8-4BFC-B672-E196FE5E8E6A}" srcId="{ABDBB964-E704-4783-A6AA-505E23722973}" destId="{B3657A1C-B0C0-4F94-A3D3-6FF28A47E8AA}" srcOrd="3" destOrd="0" parTransId="{3ADB2B13-61D2-4B05-8C88-79DC67880611}" sibTransId="{C3F1DDC4-47AB-4CA4-8FAE-95C6812183EA}"/>
    <dgm:cxn modelId="{BAF80C4D-49B4-4252-8072-461D171D56CF}" type="presOf" srcId="{B3657A1C-B0C0-4F94-A3D3-6FF28A47E8AA}" destId="{D8112353-12AB-410E-86A0-104569CDAEC8}" srcOrd="0" destOrd="0" presId="urn:microsoft.com/office/officeart/2009/layout/CircleArrowProcess"/>
    <dgm:cxn modelId="{9404FF50-6305-452A-9978-C97F18BCE830}" type="presOf" srcId="{FB69B5EB-3D8B-4471-89C2-64AB1703D780}" destId="{809C0577-2E7C-487E-A95F-BE59DDA6CC5E}" srcOrd="0" destOrd="0" presId="urn:microsoft.com/office/officeart/2009/layout/CircleArrowProcess"/>
    <dgm:cxn modelId="{E8386353-D016-42E2-B348-6CF02F630DBE}" type="presOf" srcId="{97A90774-14A6-4AD6-80F3-E151D97ABEFF}" destId="{BCA54323-0865-44F8-A143-D475B1802D87}" srcOrd="0" destOrd="0" presId="urn:microsoft.com/office/officeart/2009/layout/CircleArrowProcess"/>
    <dgm:cxn modelId="{FA6020A0-BA71-4879-A09A-C976CE602576}" srcId="{ABDBB964-E704-4783-A6AA-505E23722973}" destId="{97A90774-14A6-4AD6-80F3-E151D97ABEFF}" srcOrd="0" destOrd="0" parTransId="{32F63802-2421-4C3B-84B2-45B5A5A59AC9}" sibTransId="{2132766F-FC4C-4B50-82B1-3E57AF465FA0}"/>
    <dgm:cxn modelId="{D2568CA5-AB02-4B82-B62B-2295CDF9E634}" type="presOf" srcId="{ABDBB964-E704-4783-A6AA-505E23722973}" destId="{3CCF3EA4-36C8-45FF-BC2C-2428321129D6}" srcOrd="0" destOrd="0" presId="urn:microsoft.com/office/officeart/2009/layout/CircleArrowProcess"/>
    <dgm:cxn modelId="{23E34FC0-F8AE-4077-9562-6E7D0BFB7DDF}" type="presOf" srcId="{21677160-654C-414F-8130-DCA675DCF952}" destId="{99218A0E-663E-4070-9DF0-2D01DF6771C7}" srcOrd="0" destOrd="0" presId="urn:microsoft.com/office/officeart/2009/layout/CircleArrowProcess"/>
    <dgm:cxn modelId="{FCA839B6-6C9C-4A59-BFA7-2E95A7926EF8}" type="presParOf" srcId="{3CCF3EA4-36C8-45FF-BC2C-2428321129D6}" destId="{109A2793-347A-4BED-AED9-AEC1F50D5581}" srcOrd="0" destOrd="0" presId="urn:microsoft.com/office/officeart/2009/layout/CircleArrowProcess"/>
    <dgm:cxn modelId="{84D99500-A5CF-42E5-9242-D8BAD3E672DE}" type="presParOf" srcId="{109A2793-347A-4BED-AED9-AEC1F50D5581}" destId="{F618CD9A-29F2-4584-9F56-A43D42CC6959}" srcOrd="0" destOrd="0" presId="urn:microsoft.com/office/officeart/2009/layout/CircleArrowProcess"/>
    <dgm:cxn modelId="{AAC3371C-F2D0-44BA-BC6F-497ABD1D5955}" type="presParOf" srcId="{3CCF3EA4-36C8-45FF-BC2C-2428321129D6}" destId="{BCA54323-0865-44F8-A143-D475B1802D87}" srcOrd="1" destOrd="0" presId="urn:microsoft.com/office/officeart/2009/layout/CircleArrowProcess"/>
    <dgm:cxn modelId="{DC1BECB7-9CA5-43F5-B4B1-5C3C091853D8}" type="presParOf" srcId="{3CCF3EA4-36C8-45FF-BC2C-2428321129D6}" destId="{B1CA7AF4-E9D9-4C05-BDAB-6DBAE728F66A}" srcOrd="2" destOrd="0" presId="urn:microsoft.com/office/officeart/2009/layout/CircleArrowProcess"/>
    <dgm:cxn modelId="{A494E599-46E3-4B15-A58C-EFC794A74E62}" type="presParOf" srcId="{B1CA7AF4-E9D9-4C05-BDAB-6DBAE728F66A}" destId="{C63D2820-B97D-44AD-A2E6-6FA70C6DF773}" srcOrd="0" destOrd="0" presId="urn:microsoft.com/office/officeart/2009/layout/CircleArrowProcess"/>
    <dgm:cxn modelId="{6612093C-6D02-4C5A-A34B-BB15177D1878}" type="presParOf" srcId="{3CCF3EA4-36C8-45FF-BC2C-2428321129D6}" destId="{99218A0E-663E-4070-9DF0-2D01DF6771C7}" srcOrd="3" destOrd="0" presId="urn:microsoft.com/office/officeart/2009/layout/CircleArrowProcess"/>
    <dgm:cxn modelId="{3A4733D0-AEFC-44A5-BED6-F1449FF1F751}" type="presParOf" srcId="{3CCF3EA4-36C8-45FF-BC2C-2428321129D6}" destId="{E0FDE834-4627-4D1C-98F3-E17A1425ED26}" srcOrd="4" destOrd="0" presId="urn:microsoft.com/office/officeart/2009/layout/CircleArrowProcess"/>
    <dgm:cxn modelId="{7364FA4C-9F50-4D9C-AAAB-3039CBE6E89E}" type="presParOf" srcId="{E0FDE834-4627-4D1C-98F3-E17A1425ED26}" destId="{24FD0906-13DD-4A2F-847D-ED82EFB245F9}" srcOrd="0" destOrd="0" presId="urn:microsoft.com/office/officeart/2009/layout/CircleArrowProcess"/>
    <dgm:cxn modelId="{9FF5F0E0-23E1-45AA-BBE7-9904BF917DEC}" type="presParOf" srcId="{3CCF3EA4-36C8-45FF-BC2C-2428321129D6}" destId="{809C0577-2E7C-487E-A95F-BE59DDA6CC5E}" srcOrd="5" destOrd="0" presId="urn:microsoft.com/office/officeart/2009/layout/CircleArrowProcess"/>
    <dgm:cxn modelId="{DBACED9F-259A-4FF3-8C1E-C5D1426E710B}" type="presParOf" srcId="{3CCF3EA4-36C8-45FF-BC2C-2428321129D6}" destId="{EE6FB82B-795F-4347-B496-829620D00A51}" srcOrd="6" destOrd="0" presId="urn:microsoft.com/office/officeart/2009/layout/CircleArrowProcess"/>
    <dgm:cxn modelId="{E89F6124-75D1-4E32-93CB-11AA888E6FF0}" type="presParOf" srcId="{EE6FB82B-795F-4347-B496-829620D00A51}" destId="{2226C404-8FA7-444C-80F3-95EB32AE68D3}" srcOrd="0" destOrd="0" presId="urn:microsoft.com/office/officeart/2009/layout/CircleArrowProcess"/>
    <dgm:cxn modelId="{6E135D0C-FED5-42C9-8D5D-55BD47A36F01}" type="presParOf" srcId="{3CCF3EA4-36C8-45FF-BC2C-2428321129D6}" destId="{D8112353-12AB-410E-86A0-104569CDAEC8}" srcOrd="7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18CD9A-29F2-4584-9F56-A43D42CC6959}">
      <dsp:nvSpPr>
        <dsp:cNvPr id="0" name=""/>
        <dsp:cNvSpPr/>
      </dsp:nvSpPr>
      <dsp:spPr>
        <a:xfrm>
          <a:off x="1496893" y="-22857"/>
          <a:ext cx="1216325" cy="1216449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A54323-0865-44F8-A143-D475B1802D87}">
      <dsp:nvSpPr>
        <dsp:cNvPr id="0" name=""/>
        <dsp:cNvSpPr/>
      </dsp:nvSpPr>
      <dsp:spPr>
        <a:xfrm flipH="1">
          <a:off x="1630681" y="440321"/>
          <a:ext cx="917837" cy="3393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Establish</a:t>
          </a:r>
          <a:r>
            <a:rPr lang="en-US" sz="1000" kern="1200"/>
            <a:t> Partnerships</a:t>
          </a:r>
        </a:p>
      </dsp:txBody>
      <dsp:txXfrm>
        <a:off x="1630681" y="440321"/>
        <a:ext cx="917837" cy="339354"/>
      </dsp:txXfrm>
    </dsp:sp>
    <dsp:sp modelId="{C63D2820-B97D-44AD-A2E6-6FA70C6DF773}">
      <dsp:nvSpPr>
        <dsp:cNvPr id="0" name=""/>
        <dsp:cNvSpPr/>
      </dsp:nvSpPr>
      <dsp:spPr>
        <a:xfrm>
          <a:off x="1143759" y="699030"/>
          <a:ext cx="1216325" cy="1216449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218A0E-663E-4070-9DF0-2D01DF6771C7}">
      <dsp:nvSpPr>
        <dsp:cNvPr id="0" name=""/>
        <dsp:cNvSpPr/>
      </dsp:nvSpPr>
      <dsp:spPr>
        <a:xfrm>
          <a:off x="1410935" y="1140642"/>
          <a:ext cx="678778" cy="3393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Assess Gaps and Barriers</a:t>
          </a:r>
        </a:p>
      </dsp:txBody>
      <dsp:txXfrm>
        <a:off x="1410935" y="1140642"/>
        <a:ext cx="678778" cy="339354"/>
      </dsp:txXfrm>
    </dsp:sp>
    <dsp:sp modelId="{24FD0906-13DD-4A2F-847D-ED82EFB245F9}">
      <dsp:nvSpPr>
        <dsp:cNvPr id="0" name=""/>
        <dsp:cNvSpPr/>
      </dsp:nvSpPr>
      <dsp:spPr>
        <a:xfrm>
          <a:off x="1481665" y="1400642"/>
          <a:ext cx="1216325" cy="1216449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9C0577-2E7C-487E-A95F-BE59DDA6CC5E}">
      <dsp:nvSpPr>
        <dsp:cNvPr id="0" name=""/>
        <dsp:cNvSpPr/>
      </dsp:nvSpPr>
      <dsp:spPr>
        <a:xfrm>
          <a:off x="1788296" y="1810496"/>
          <a:ext cx="678778" cy="3393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Develop</a:t>
          </a:r>
          <a:r>
            <a:rPr lang="en-US" sz="800" kern="1200"/>
            <a:t> and Implement Plan</a:t>
          </a:r>
        </a:p>
      </dsp:txBody>
      <dsp:txXfrm>
        <a:off x="1788296" y="1810496"/>
        <a:ext cx="678778" cy="339354"/>
      </dsp:txXfrm>
    </dsp:sp>
    <dsp:sp modelId="{2226C404-8FA7-444C-80F3-95EB32AE68D3}">
      <dsp:nvSpPr>
        <dsp:cNvPr id="0" name=""/>
        <dsp:cNvSpPr/>
      </dsp:nvSpPr>
      <dsp:spPr>
        <a:xfrm>
          <a:off x="1230460" y="2180318"/>
          <a:ext cx="1044976" cy="1045481"/>
        </a:xfrm>
        <a:prstGeom prst="blockArc">
          <a:avLst>
            <a:gd name="adj1" fmla="val 0"/>
            <a:gd name="adj2" fmla="val 18900000"/>
            <a:gd name="adj3" fmla="val 1274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112353-12AB-410E-86A0-104569CDAEC8}">
      <dsp:nvSpPr>
        <dsp:cNvPr id="0" name=""/>
        <dsp:cNvSpPr/>
      </dsp:nvSpPr>
      <dsp:spPr>
        <a:xfrm>
          <a:off x="1410935" y="2541285"/>
          <a:ext cx="678778" cy="3393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Evalluate Impact</a:t>
          </a:r>
        </a:p>
      </dsp:txBody>
      <dsp:txXfrm>
        <a:off x="1410935" y="2541285"/>
        <a:ext cx="678778" cy="3393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0786-229E-4DCF-9C2D-80B278DC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Almroth Karol L</dc:creator>
  <cp:keywords/>
  <dc:description/>
  <cp:lastModifiedBy>BABICH Alison A</cp:lastModifiedBy>
  <cp:revision>32</cp:revision>
  <cp:lastPrinted>2020-01-10T20:19:00Z</cp:lastPrinted>
  <dcterms:created xsi:type="dcterms:W3CDTF">2019-12-18T21:02:00Z</dcterms:created>
  <dcterms:modified xsi:type="dcterms:W3CDTF">2020-02-03T22:45:00Z</dcterms:modified>
</cp:coreProperties>
</file>