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95E4F" w14:textId="77777777" w:rsidR="002A33E3" w:rsidRDefault="002A33E3"/>
    <w:p w14:paraId="0113CEE6" w14:textId="77777777" w:rsidR="002A33E3" w:rsidRDefault="002A33E3"/>
    <w:p w14:paraId="6FF50AFE" w14:textId="77777777" w:rsidR="002A33E3" w:rsidRDefault="002D4287">
      <w:pPr>
        <w:rPr>
          <w:b/>
        </w:rPr>
      </w:pPr>
      <w:r>
        <w:rPr>
          <w:b/>
        </w:rPr>
        <w:t>November 19, 2020</w:t>
      </w:r>
    </w:p>
    <w:p w14:paraId="26B3B061" w14:textId="77777777" w:rsidR="002A33E3" w:rsidRDefault="002D4287">
      <w:pPr>
        <w:rPr>
          <w:b/>
        </w:rPr>
      </w:pPr>
      <w:r>
        <w:rPr>
          <w:b/>
        </w:rPr>
        <w:t>Meeting of the Conference of Local Health Officials</w:t>
      </w:r>
    </w:p>
    <w:p w14:paraId="5682533A" w14:textId="77777777" w:rsidR="002A33E3" w:rsidRDefault="002D4287">
      <w:pPr>
        <w:rPr>
          <w:b/>
        </w:rPr>
      </w:pPr>
      <w:r>
        <w:rPr>
          <w:b/>
        </w:rPr>
        <w:t>Meeting Began: 9:30am</w:t>
      </w:r>
    </w:p>
    <w:p w14:paraId="60BFB7AD" w14:textId="77777777" w:rsidR="002A33E3" w:rsidRDefault="002A33E3"/>
    <w:p w14:paraId="35F65F5C" w14:textId="77777777" w:rsidR="002A33E3" w:rsidRDefault="002D4287">
      <w:r>
        <w:rPr>
          <w:b/>
        </w:rPr>
        <w:t xml:space="preserve">Executive Members: </w:t>
      </w:r>
      <w:r>
        <w:rPr>
          <w:u w:val="single"/>
        </w:rPr>
        <w:t>Present:</w:t>
      </w:r>
      <w:r>
        <w:t xml:space="preserve"> Jocelyn Warren, CLHO Chair, Lane; Carrie </w:t>
      </w:r>
      <w:proofErr w:type="spellStart"/>
      <w:r>
        <w:t>Brogoitti</w:t>
      </w:r>
      <w:proofErr w:type="spellEnd"/>
      <w:r>
        <w:t xml:space="preserve">, Vice-Chair, Center for Human Development, Union; Katrina </w:t>
      </w:r>
      <w:proofErr w:type="spellStart"/>
      <w:r>
        <w:t>Rothenberger</w:t>
      </w:r>
      <w:proofErr w:type="spellEnd"/>
      <w:r>
        <w:t xml:space="preserve">, Secretary/Treasurer, Marion; Jackson </w:t>
      </w:r>
      <w:proofErr w:type="spellStart"/>
      <w:r>
        <w:t>Baures</w:t>
      </w:r>
      <w:proofErr w:type="spellEnd"/>
      <w:r>
        <w:t xml:space="preserve">, Large County Rep, Jackson; Rebecca Austen, Small County Rep, Lincoln; Joseph </w:t>
      </w:r>
      <w:proofErr w:type="spellStart"/>
      <w:r>
        <w:t>Fiumara</w:t>
      </w:r>
      <w:proofErr w:type="spellEnd"/>
      <w:r>
        <w:t>, C</w:t>
      </w:r>
      <w:r>
        <w:t xml:space="preserve">oalition of Local Environmental Health Specialists; Pat Luedtke, Health Officer Rep, Lane, Tricia </w:t>
      </w:r>
      <w:proofErr w:type="spellStart"/>
      <w:r>
        <w:t>Mortell</w:t>
      </w:r>
      <w:proofErr w:type="spellEnd"/>
      <w:r>
        <w:t xml:space="preserve">, Past Chair, Washington; Lindsey </w:t>
      </w:r>
      <w:proofErr w:type="spellStart"/>
      <w:r>
        <w:t>Manfrin</w:t>
      </w:r>
      <w:proofErr w:type="spellEnd"/>
      <w:r>
        <w:t xml:space="preserve">, Public Health Administrator of Oregon </w:t>
      </w:r>
      <w:proofErr w:type="gramStart"/>
      <w:r>
        <w:t>Caucus;</w:t>
      </w:r>
      <w:proofErr w:type="gramEnd"/>
      <w:r>
        <w:t xml:space="preserve"> </w:t>
      </w:r>
    </w:p>
    <w:p w14:paraId="47B51B65" w14:textId="77777777" w:rsidR="002A33E3" w:rsidRDefault="002A33E3"/>
    <w:p w14:paraId="09E8DCC4" w14:textId="77777777" w:rsidR="002A33E3" w:rsidRDefault="002D4287">
      <w:r>
        <w:rPr>
          <w:b/>
        </w:rPr>
        <w:t xml:space="preserve">Members Present (x if present): </w:t>
      </w:r>
    </w:p>
    <w:tbl>
      <w:tblPr>
        <w:tblStyle w:val="a"/>
        <w:tblW w:w="12780" w:type="dxa"/>
        <w:jc w:val="center"/>
        <w:tblLayout w:type="fixed"/>
        <w:tblLook w:val="0600" w:firstRow="0" w:lastRow="0" w:firstColumn="0" w:lastColumn="0" w:noHBand="1" w:noVBand="1"/>
      </w:tblPr>
      <w:tblGrid>
        <w:gridCol w:w="600"/>
        <w:gridCol w:w="3870"/>
        <w:gridCol w:w="405"/>
        <w:gridCol w:w="3720"/>
        <w:gridCol w:w="495"/>
        <w:gridCol w:w="3690"/>
      </w:tblGrid>
      <w:tr w:rsidR="002A33E3" w14:paraId="6B339DC4"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456A1455"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19AE583" w14:textId="77777777" w:rsidR="002A33E3" w:rsidRDefault="002D4287">
            <w:pPr>
              <w:widowControl w:val="0"/>
              <w:spacing w:line="276" w:lineRule="auto"/>
              <w:rPr>
                <w:sz w:val="20"/>
                <w:szCs w:val="20"/>
              </w:rPr>
            </w:pPr>
            <w:r>
              <w:rPr>
                <w:sz w:val="20"/>
                <w:szCs w:val="20"/>
              </w:rPr>
              <w:t>Baker - Nancy Staten</w:t>
            </w: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7E6383E4"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4AC7AF99" w14:textId="77777777" w:rsidR="002A33E3" w:rsidRDefault="002D4287">
            <w:pPr>
              <w:widowControl w:val="0"/>
              <w:spacing w:line="276" w:lineRule="auto"/>
              <w:rPr>
                <w:sz w:val="20"/>
                <w:szCs w:val="20"/>
              </w:rPr>
            </w:pPr>
            <w:r>
              <w:rPr>
                <w:sz w:val="20"/>
                <w:szCs w:val="20"/>
              </w:rPr>
              <w:t>Ho</w:t>
            </w:r>
            <w:r>
              <w:rPr>
                <w:sz w:val="20"/>
                <w:szCs w:val="20"/>
              </w:rPr>
              <w:t>od River - Trish Elliot</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9A85E77"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B3CEBEB" w14:textId="77777777" w:rsidR="002A33E3" w:rsidRDefault="002D4287">
            <w:pPr>
              <w:widowControl w:val="0"/>
              <w:spacing w:line="276" w:lineRule="auto"/>
              <w:rPr>
                <w:sz w:val="20"/>
                <w:szCs w:val="20"/>
              </w:rPr>
            </w:pPr>
            <w:r>
              <w:rPr>
                <w:sz w:val="20"/>
                <w:szCs w:val="20"/>
              </w:rPr>
              <w:t>Multnomah - Adele Adams</w:t>
            </w:r>
          </w:p>
        </w:tc>
      </w:tr>
      <w:tr w:rsidR="002A33E3" w14:paraId="4E7EC025"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36384ABC"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2897E2BE" w14:textId="77777777" w:rsidR="002A33E3" w:rsidRDefault="002D4287">
            <w:pPr>
              <w:widowControl w:val="0"/>
              <w:spacing w:line="276" w:lineRule="auto"/>
              <w:rPr>
                <w:sz w:val="20"/>
                <w:szCs w:val="20"/>
              </w:rPr>
            </w:pPr>
            <w:r>
              <w:rPr>
                <w:sz w:val="20"/>
                <w:szCs w:val="20"/>
              </w:rPr>
              <w:t xml:space="preserve">Benton - Charlie </w:t>
            </w:r>
            <w:proofErr w:type="spellStart"/>
            <w:r>
              <w:rPr>
                <w:sz w:val="20"/>
                <w:szCs w:val="20"/>
              </w:rPr>
              <w:t>Fautin</w:t>
            </w:r>
            <w:proofErr w:type="spellEnd"/>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5E261B2"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38CADF3A" w14:textId="77777777" w:rsidR="002A33E3" w:rsidRDefault="002D4287">
            <w:pPr>
              <w:widowControl w:val="0"/>
              <w:spacing w:line="276" w:lineRule="auto"/>
              <w:rPr>
                <w:sz w:val="20"/>
                <w:szCs w:val="20"/>
              </w:rPr>
            </w:pPr>
            <w:r>
              <w:rPr>
                <w:sz w:val="20"/>
                <w:szCs w:val="20"/>
              </w:rPr>
              <w:t xml:space="preserve">Jackson - Jackson </w:t>
            </w:r>
            <w:proofErr w:type="spellStart"/>
            <w:r>
              <w:rPr>
                <w:sz w:val="20"/>
                <w:szCs w:val="20"/>
              </w:rPr>
              <w:t>Baures</w:t>
            </w:r>
            <w:proofErr w:type="spellEnd"/>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59E28DAF"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636255B4" w14:textId="77777777" w:rsidR="002A33E3" w:rsidRDefault="002D4287">
            <w:pPr>
              <w:widowControl w:val="0"/>
              <w:spacing w:line="276" w:lineRule="auto"/>
              <w:rPr>
                <w:sz w:val="20"/>
                <w:szCs w:val="20"/>
              </w:rPr>
            </w:pPr>
            <w:r>
              <w:rPr>
                <w:sz w:val="20"/>
                <w:szCs w:val="20"/>
              </w:rPr>
              <w:t>North Central PHD - Shellie Campbell</w:t>
            </w:r>
          </w:p>
        </w:tc>
      </w:tr>
      <w:tr w:rsidR="002A33E3" w14:paraId="133271E5"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F9E188A"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F2062D1" w14:textId="77777777" w:rsidR="002A33E3" w:rsidRDefault="002D4287">
            <w:pPr>
              <w:widowControl w:val="0"/>
              <w:spacing w:line="276" w:lineRule="auto"/>
              <w:rPr>
                <w:sz w:val="20"/>
                <w:szCs w:val="20"/>
              </w:rPr>
            </w:pPr>
            <w:r>
              <w:rPr>
                <w:sz w:val="20"/>
                <w:szCs w:val="20"/>
              </w:rPr>
              <w:t>Clackamas - Philip Mason-Joyner</w:t>
            </w: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387BA8FE"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B0EF388" w14:textId="77777777" w:rsidR="002A33E3" w:rsidRDefault="002D4287">
            <w:pPr>
              <w:widowControl w:val="0"/>
              <w:spacing w:line="276" w:lineRule="auto"/>
              <w:rPr>
                <w:sz w:val="20"/>
                <w:szCs w:val="20"/>
              </w:rPr>
            </w:pPr>
            <w:r>
              <w:rPr>
                <w:sz w:val="20"/>
                <w:szCs w:val="20"/>
              </w:rPr>
              <w:t>Jefferson - Mike Baker</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07A1B1C1"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612CEAA4" w14:textId="77777777" w:rsidR="002A33E3" w:rsidRDefault="002D4287">
            <w:pPr>
              <w:widowControl w:val="0"/>
              <w:spacing w:line="276" w:lineRule="auto"/>
              <w:rPr>
                <w:sz w:val="20"/>
                <w:szCs w:val="20"/>
              </w:rPr>
            </w:pPr>
            <w:r>
              <w:rPr>
                <w:sz w:val="20"/>
                <w:szCs w:val="20"/>
              </w:rPr>
              <w:t>Polk - Jacqui Umstead</w:t>
            </w:r>
          </w:p>
        </w:tc>
      </w:tr>
      <w:tr w:rsidR="002A33E3" w14:paraId="02FAA0A6"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11480947"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398AD48" w14:textId="77777777" w:rsidR="002A33E3" w:rsidRDefault="002D4287">
            <w:pPr>
              <w:widowControl w:val="0"/>
              <w:spacing w:line="276" w:lineRule="auto"/>
              <w:rPr>
                <w:sz w:val="20"/>
                <w:szCs w:val="20"/>
              </w:rPr>
            </w:pPr>
            <w:r>
              <w:rPr>
                <w:sz w:val="20"/>
                <w:szCs w:val="20"/>
              </w:rPr>
              <w:t xml:space="preserve">Clatsop - Mike </w:t>
            </w:r>
            <w:proofErr w:type="spellStart"/>
            <w:r>
              <w:rPr>
                <w:sz w:val="20"/>
                <w:szCs w:val="20"/>
              </w:rPr>
              <w:t>McNickle</w:t>
            </w:r>
            <w:proofErr w:type="spellEnd"/>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33C5761"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CF1153C" w14:textId="77777777" w:rsidR="002A33E3" w:rsidRDefault="002D4287">
            <w:pPr>
              <w:widowControl w:val="0"/>
              <w:spacing w:line="276" w:lineRule="auto"/>
              <w:rPr>
                <w:sz w:val="20"/>
                <w:szCs w:val="20"/>
              </w:rPr>
            </w:pPr>
            <w:r>
              <w:rPr>
                <w:sz w:val="20"/>
                <w:szCs w:val="20"/>
              </w:rPr>
              <w:t xml:space="preserve">Josephine - Audrey </w:t>
            </w:r>
            <w:proofErr w:type="spellStart"/>
            <w:r>
              <w:rPr>
                <w:sz w:val="20"/>
                <w:szCs w:val="20"/>
              </w:rPr>
              <w:t>Tiberio</w:t>
            </w:r>
            <w:proofErr w:type="spellEnd"/>
            <w:r>
              <w:rPr>
                <w:sz w:val="20"/>
                <w:szCs w:val="20"/>
              </w:rPr>
              <w:t xml:space="preserve"> </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7C84EF9" w14:textId="77777777" w:rsidR="002A33E3" w:rsidRDefault="002A33E3">
            <w:pPr>
              <w:widowControl w:val="0"/>
              <w:spacing w:line="276" w:lineRule="auto"/>
              <w:rPr>
                <w:sz w:val="20"/>
                <w:szCs w:val="20"/>
              </w:rPr>
            </w:pP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0A8A9ECC" w14:textId="77777777" w:rsidR="002A33E3" w:rsidRDefault="002D4287">
            <w:pPr>
              <w:widowControl w:val="0"/>
              <w:spacing w:line="276" w:lineRule="auto"/>
              <w:rPr>
                <w:sz w:val="20"/>
                <w:szCs w:val="20"/>
              </w:rPr>
            </w:pPr>
            <w:r>
              <w:rPr>
                <w:sz w:val="20"/>
                <w:szCs w:val="20"/>
              </w:rPr>
              <w:t>Tillamook - Marlene Putnam</w:t>
            </w:r>
          </w:p>
        </w:tc>
      </w:tr>
      <w:tr w:rsidR="002A33E3" w14:paraId="68681216"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3F1BE0B" w14:textId="77777777" w:rsidR="002A33E3" w:rsidRDefault="002A33E3">
            <w:pPr>
              <w:widowControl w:val="0"/>
              <w:spacing w:line="276" w:lineRule="auto"/>
              <w:rPr>
                <w:sz w:val="20"/>
                <w:szCs w:val="20"/>
              </w:rPr>
            </w:pP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4C149F9D" w14:textId="77777777" w:rsidR="002A33E3" w:rsidRDefault="002D4287">
            <w:pPr>
              <w:widowControl w:val="0"/>
              <w:spacing w:line="276" w:lineRule="auto"/>
              <w:rPr>
                <w:sz w:val="20"/>
                <w:szCs w:val="20"/>
              </w:rPr>
            </w:pPr>
            <w:r>
              <w:rPr>
                <w:sz w:val="20"/>
                <w:szCs w:val="20"/>
              </w:rPr>
              <w:t>Columbia - Mike Paul</w:t>
            </w: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4E3C1EEE"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37B6294" w14:textId="77777777" w:rsidR="002A33E3" w:rsidRDefault="002D4287">
            <w:pPr>
              <w:widowControl w:val="0"/>
              <w:spacing w:line="276" w:lineRule="auto"/>
              <w:rPr>
                <w:sz w:val="20"/>
                <w:szCs w:val="20"/>
              </w:rPr>
            </w:pPr>
            <w:r>
              <w:rPr>
                <w:sz w:val="20"/>
                <w:szCs w:val="20"/>
              </w:rPr>
              <w:t>Klamath - Jennifer Little</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5F81CAF7"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15441AC" w14:textId="77777777" w:rsidR="002A33E3" w:rsidRDefault="002D4287">
            <w:pPr>
              <w:widowControl w:val="0"/>
              <w:spacing w:line="276" w:lineRule="auto"/>
              <w:rPr>
                <w:sz w:val="20"/>
                <w:szCs w:val="20"/>
              </w:rPr>
            </w:pPr>
            <w:r>
              <w:rPr>
                <w:sz w:val="20"/>
                <w:szCs w:val="20"/>
              </w:rPr>
              <w:t xml:space="preserve">Umatilla - Joseph </w:t>
            </w:r>
            <w:proofErr w:type="spellStart"/>
            <w:r>
              <w:rPr>
                <w:sz w:val="20"/>
                <w:szCs w:val="20"/>
              </w:rPr>
              <w:t>Fiumara</w:t>
            </w:r>
            <w:proofErr w:type="spellEnd"/>
          </w:p>
        </w:tc>
      </w:tr>
      <w:tr w:rsidR="002A33E3" w14:paraId="5B97F174"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7B8AD571"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82B4F22" w14:textId="77777777" w:rsidR="002A33E3" w:rsidRDefault="002D4287">
            <w:pPr>
              <w:widowControl w:val="0"/>
              <w:spacing w:line="276" w:lineRule="auto"/>
              <w:rPr>
                <w:sz w:val="20"/>
                <w:szCs w:val="20"/>
              </w:rPr>
            </w:pPr>
            <w:r>
              <w:rPr>
                <w:sz w:val="20"/>
                <w:szCs w:val="20"/>
              </w:rPr>
              <w:t xml:space="preserve">Coos - Anthony </w:t>
            </w:r>
            <w:proofErr w:type="spellStart"/>
            <w:r>
              <w:rPr>
                <w:sz w:val="20"/>
                <w:szCs w:val="20"/>
              </w:rPr>
              <w:t>Arton</w:t>
            </w:r>
            <w:proofErr w:type="spellEnd"/>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50878139" w14:textId="77777777" w:rsidR="002A33E3" w:rsidRDefault="002A33E3">
            <w:pPr>
              <w:widowControl w:val="0"/>
              <w:spacing w:line="276" w:lineRule="auto"/>
              <w:rPr>
                <w:sz w:val="20"/>
                <w:szCs w:val="20"/>
              </w:rPr>
            </w:pP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975588C" w14:textId="77777777" w:rsidR="002A33E3" w:rsidRDefault="002D4287">
            <w:pPr>
              <w:widowControl w:val="0"/>
              <w:spacing w:line="276" w:lineRule="auto"/>
              <w:rPr>
                <w:sz w:val="20"/>
                <w:szCs w:val="20"/>
              </w:rPr>
            </w:pPr>
            <w:r>
              <w:rPr>
                <w:sz w:val="20"/>
                <w:szCs w:val="20"/>
              </w:rPr>
              <w:t>Lake - Judy Clarke</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25D2E1D5"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262E5C4E" w14:textId="77777777" w:rsidR="002A33E3" w:rsidRDefault="002D4287">
            <w:pPr>
              <w:widowControl w:val="0"/>
              <w:spacing w:line="276" w:lineRule="auto"/>
              <w:rPr>
                <w:sz w:val="20"/>
                <w:szCs w:val="20"/>
              </w:rPr>
            </w:pPr>
            <w:r>
              <w:rPr>
                <w:sz w:val="20"/>
                <w:szCs w:val="20"/>
              </w:rPr>
              <w:t xml:space="preserve">Union - Carrie </w:t>
            </w:r>
            <w:proofErr w:type="spellStart"/>
            <w:r>
              <w:rPr>
                <w:sz w:val="20"/>
                <w:szCs w:val="20"/>
              </w:rPr>
              <w:t>Brogoitti</w:t>
            </w:r>
            <w:proofErr w:type="spellEnd"/>
          </w:p>
        </w:tc>
      </w:tr>
      <w:tr w:rsidR="002A33E3" w14:paraId="2248428D"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F16D62A"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5A230018" w14:textId="77777777" w:rsidR="002A33E3" w:rsidRDefault="002D4287">
            <w:pPr>
              <w:widowControl w:val="0"/>
              <w:spacing w:line="276" w:lineRule="auto"/>
              <w:rPr>
                <w:sz w:val="20"/>
                <w:szCs w:val="20"/>
              </w:rPr>
            </w:pPr>
            <w:r>
              <w:rPr>
                <w:sz w:val="20"/>
                <w:szCs w:val="20"/>
              </w:rPr>
              <w:t xml:space="preserve">Crook - Muriel </w:t>
            </w:r>
            <w:proofErr w:type="spellStart"/>
            <w:r>
              <w:rPr>
                <w:sz w:val="20"/>
                <w:szCs w:val="20"/>
              </w:rPr>
              <w:t>DeLaVergne</w:t>
            </w:r>
            <w:proofErr w:type="spellEnd"/>
            <w:r>
              <w:rPr>
                <w:sz w:val="20"/>
                <w:szCs w:val="20"/>
              </w:rPr>
              <w:t>-Brown</w:t>
            </w: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0BC775DC"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E0123ED" w14:textId="77777777" w:rsidR="002A33E3" w:rsidRDefault="002D4287">
            <w:pPr>
              <w:widowControl w:val="0"/>
              <w:spacing w:line="276" w:lineRule="auto"/>
              <w:rPr>
                <w:sz w:val="20"/>
                <w:szCs w:val="20"/>
              </w:rPr>
            </w:pPr>
            <w:r>
              <w:rPr>
                <w:sz w:val="20"/>
                <w:szCs w:val="20"/>
              </w:rPr>
              <w:t>Lane - Jocelyn Warren</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0CCC4558"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38CF965" w14:textId="77777777" w:rsidR="002A33E3" w:rsidRDefault="002D4287">
            <w:pPr>
              <w:widowControl w:val="0"/>
              <w:spacing w:line="276" w:lineRule="auto"/>
              <w:rPr>
                <w:sz w:val="20"/>
                <w:szCs w:val="20"/>
              </w:rPr>
            </w:pPr>
            <w:r>
              <w:rPr>
                <w:sz w:val="20"/>
                <w:szCs w:val="20"/>
              </w:rPr>
              <w:t xml:space="preserve">Washington - Tricia </w:t>
            </w:r>
            <w:proofErr w:type="spellStart"/>
            <w:r>
              <w:rPr>
                <w:sz w:val="20"/>
                <w:szCs w:val="20"/>
              </w:rPr>
              <w:t>Mortell</w:t>
            </w:r>
            <w:proofErr w:type="spellEnd"/>
          </w:p>
        </w:tc>
      </w:tr>
      <w:tr w:rsidR="002A33E3" w14:paraId="663D5519"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492DF12A" w14:textId="77777777" w:rsidR="002A33E3" w:rsidRDefault="002A33E3">
            <w:pPr>
              <w:widowControl w:val="0"/>
              <w:spacing w:line="276" w:lineRule="auto"/>
              <w:rPr>
                <w:sz w:val="20"/>
                <w:szCs w:val="20"/>
              </w:rPr>
            </w:pP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0289BF37" w14:textId="77777777" w:rsidR="002A33E3" w:rsidRDefault="002D4287">
            <w:pPr>
              <w:widowControl w:val="0"/>
              <w:spacing w:line="276" w:lineRule="auto"/>
              <w:rPr>
                <w:sz w:val="20"/>
                <w:szCs w:val="20"/>
              </w:rPr>
            </w:pPr>
            <w:r>
              <w:rPr>
                <w:sz w:val="20"/>
                <w:szCs w:val="20"/>
              </w:rPr>
              <w:t>Curry - Sheree Ward</w:t>
            </w: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7979441E"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3C373A5F" w14:textId="77777777" w:rsidR="002A33E3" w:rsidRDefault="002D4287">
            <w:pPr>
              <w:widowControl w:val="0"/>
              <w:spacing w:line="276" w:lineRule="auto"/>
              <w:rPr>
                <w:sz w:val="20"/>
                <w:szCs w:val="20"/>
              </w:rPr>
            </w:pPr>
            <w:r>
              <w:rPr>
                <w:sz w:val="20"/>
                <w:szCs w:val="20"/>
              </w:rPr>
              <w:t>Lincoln - Rebecca Austen</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2DC728A7" w14:textId="77777777" w:rsidR="002A33E3" w:rsidRDefault="002A33E3">
            <w:pPr>
              <w:widowControl w:val="0"/>
              <w:spacing w:line="276" w:lineRule="auto"/>
              <w:rPr>
                <w:sz w:val="20"/>
                <w:szCs w:val="20"/>
              </w:rPr>
            </w:pP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4C6F55D9" w14:textId="77777777" w:rsidR="002A33E3" w:rsidRDefault="002D4287">
            <w:pPr>
              <w:widowControl w:val="0"/>
              <w:spacing w:line="276" w:lineRule="auto"/>
              <w:rPr>
                <w:sz w:val="20"/>
                <w:szCs w:val="20"/>
              </w:rPr>
            </w:pPr>
            <w:r>
              <w:rPr>
                <w:sz w:val="20"/>
                <w:szCs w:val="20"/>
              </w:rPr>
              <w:t>Wheeler - Karen Woods</w:t>
            </w:r>
          </w:p>
        </w:tc>
      </w:tr>
      <w:tr w:rsidR="002A33E3" w14:paraId="611FAA85"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59F6962B"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63EBD3A6" w14:textId="77777777" w:rsidR="002A33E3" w:rsidRDefault="002D4287">
            <w:pPr>
              <w:widowControl w:val="0"/>
              <w:spacing w:line="276" w:lineRule="auto"/>
              <w:rPr>
                <w:sz w:val="20"/>
                <w:szCs w:val="20"/>
              </w:rPr>
            </w:pPr>
            <w:r>
              <w:rPr>
                <w:sz w:val="20"/>
                <w:szCs w:val="20"/>
              </w:rPr>
              <w:t xml:space="preserve">Deschutes - </w:t>
            </w:r>
            <w:proofErr w:type="spellStart"/>
            <w:r>
              <w:rPr>
                <w:sz w:val="20"/>
                <w:szCs w:val="20"/>
              </w:rPr>
              <w:t>Nahad</w:t>
            </w:r>
            <w:proofErr w:type="spellEnd"/>
            <w:r>
              <w:rPr>
                <w:sz w:val="20"/>
                <w:szCs w:val="20"/>
              </w:rPr>
              <w:t xml:space="preserve"> Sadr-</w:t>
            </w:r>
            <w:proofErr w:type="spellStart"/>
            <w:r>
              <w:rPr>
                <w:sz w:val="20"/>
                <w:szCs w:val="20"/>
              </w:rPr>
              <w:t>Azodi</w:t>
            </w:r>
            <w:proofErr w:type="spellEnd"/>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92373F3" w14:textId="77777777" w:rsidR="002A33E3" w:rsidRDefault="002A33E3">
            <w:pPr>
              <w:widowControl w:val="0"/>
              <w:spacing w:line="276" w:lineRule="auto"/>
              <w:rPr>
                <w:sz w:val="20"/>
                <w:szCs w:val="20"/>
              </w:rPr>
            </w:pP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02419A8" w14:textId="77777777" w:rsidR="002A33E3" w:rsidRDefault="002D4287">
            <w:pPr>
              <w:widowControl w:val="0"/>
              <w:spacing w:line="276" w:lineRule="auto"/>
              <w:rPr>
                <w:sz w:val="20"/>
                <w:szCs w:val="20"/>
              </w:rPr>
            </w:pPr>
            <w:r>
              <w:rPr>
                <w:sz w:val="20"/>
                <w:szCs w:val="20"/>
              </w:rPr>
              <w:t>Linn - Shane Sanderson</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53F8F67B"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114AC38" w14:textId="77777777" w:rsidR="002A33E3" w:rsidRDefault="002D4287">
            <w:pPr>
              <w:widowControl w:val="0"/>
              <w:spacing w:line="276" w:lineRule="auto"/>
              <w:rPr>
                <w:sz w:val="20"/>
                <w:szCs w:val="20"/>
              </w:rPr>
            </w:pPr>
            <w:r>
              <w:rPr>
                <w:sz w:val="20"/>
                <w:szCs w:val="20"/>
              </w:rPr>
              <w:t xml:space="preserve">Yamhill - Lindsey </w:t>
            </w:r>
            <w:proofErr w:type="spellStart"/>
            <w:r>
              <w:rPr>
                <w:sz w:val="20"/>
                <w:szCs w:val="20"/>
              </w:rPr>
              <w:t>Manfrin</w:t>
            </w:r>
            <w:proofErr w:type="spellEnd"/>
          </w:p>
        </w:tc>
      </w:tr>
      <w:tr w:rsidR="002A33E3" w14:paraId="4F3F9B43"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16DDA9C7"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50C6FBA0" w14:textId="77777777" w:rsidR="002A33E3" w:rsidRDefault="002D4287">
            <w:pPr>
              <w:widowControl w:val="0"/>
              <w:spacing w:line="276" w:lineRule="auto"/>
              <w:rPr>
                <w:sz w:val="20"/>
                <w:szCs w:val="20"/>
              </w:rPr>
            </w:pPr>
            <w:r>
              <w:rPr>
                <w:sz w:val="20"/>
                <w:szCs w:val="20"/>
              </w:rPr>
              <w:t xml:space="preserve">Douglas - Bob </w:t>
            </w:r>
            <w:proofErr w:type="spellStart"/>
            <w:r>
              <w:rPr>
                <w:sz w:val="20"/>
                <w:szCs w:val="20"/>
              </w:rPr>
              <w:t>Dannenhoffer</w:t>
            </w:r>
            <w:proofErr w:type="spellEnd"/>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7CB01C23"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0B3463F4" w14:textId="77777777" w:rsidR="002A33E3" w:rsidRDefault="002D4287">
            <w:pPr>
              <w:widowControl w:val="0"/>
              <w:spacing w:line="276" w:lineRule="auto"/>
              <w:rPr>
                <w:sz w:val="20"/>
                <w:szCs w:val="20"/>
              </w:rPr>
            </w:pPr>
            <w:r>
              <w:rPr>
                <w:sz w:val="20"/>
                <w:szCs w:val="20"/>
              </w:rPr>
              <w:t>Malheur - Sarah Poe</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3EB3738" w14:textId="77777777" w:rsidR="002A33E3" w:rsidRDefault="002A33E3">
            <w:pPr>
              <w:widowControl w:val="0"/>
              <w:spacing w:line="276" w:lineRule="auto"/>
              <w:rPr>
                <w:sz w:val="20"/>
                <w:szCs w:val="20"/>
              </w:rPr>
            </w:pP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21B2464C" w14:textId="77777777" w:rsidR="002A33E3" w:rsidRDefault="002A33E3">
            <w:pPr>
              <w:widowControl w:val="0"/>
              <w:spacing w:line="276" w:lineRule="auto"/>
              <w:rPr>
                <w:sz w:val="20"/>
                <w:szCs w:val="20"/>
              </w:rPr>
            </w:pPr>
          </w:p>
        </w:tc>
      </w:tr>
      <w:tr w:rsidR="002A33E3" w14:paraId="4F57D373"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56344862" w14:textId="77777777" w:rsidR="002A33E3" w:rsidRDefault="002A33E3">
            <w:pPr>
              <w:widowControl w:val="0"/>
              <w:spacing w:line="276" w:lineRule="auto"/>
              <w:rPr>
                <w:sz w:val="20"/>
                <w:szCs w:val="20"/>
              </w:rPr>
            </w:pP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2EC9B8C9" w14:textId="77777777" w:rsidR="002A33E3" w:rsidRDefault="002D4287">
            <w:pPr>
              <w:widowControl w:val="0"/>
              <w:spacing w:line="276" w:lineRule="auto"/>
              <w:rPr>
                <w:sz w:val="20"/>
                <w:szCs w:val="20"/>
              </w:rPr>
            </w:pPr>
            <w:r>
              <w:rPr>
                <w:sz w:val="20"/>
                <w:szCs w:val="20"/>
              </w:rPr>
              <w:t xml:space="preserve">Grant - Jessica </w:t>
            </w:r>
            <w:proofErr w:type="spellStart"/>
            <w:r>
              <w:rPr>
                <w:sz w:val="20"/>
                <w:szCs w:val="20"/>
              </w:rPr>
              <w:t>Winegar</w:t>
            </w:r>
            <w:proofErr w:type="spellEnd"/>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0BC2C10D"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4974D4E2" w14:textId="77777777" w:rsidR="002A33E3" w:rsidRDefault="002D4287">
            <w:pPr>
              <w:widowControl w:val="0"/>
              <w:spacing w:line="276" w:lineRule="auto"/>
              <w:rPr>
                <w:sz w:val="20"/>
                <w:szCs w:val="20"/>
              </w:rPr>
            </w:pPr>
            <w:r>
              <w:rPr>
                <w:sz w:val="20"/>
                <w:szCs w:val="20"/>
              </w:rPr>
              <w:t xml:space="preserve">Marion - Katrina </w:t>
            </w:r>
            <w:proofErr w:type="spellStart"/>
            <w:r>
              <w:rPr>
                <w:sz w:val="20"/>
                <w:szCs w:val="20"/>
              </w:rPr>
              <w:t>Rothenberger</w:t>
            </w:r>
            <w:proofErr w:type="spellEnd"/>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2217AEAE"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0195151E" w14:textId="77777777" w:rsidR="002A33E3" w:rsidRDefault="002D4287">
            <w:pPr>
              <w:widowControl w:val="0"/>
              <w:spacing w:line="276" w:lineRule="auto"/>
              <w:rPr>
                <w:sz w:val="20"/>
                <w:szCs w:val="20"/>
              </w:rPr>
            </w:pPr>
            <w:r>
              <w:rPr>
                <w:sz w:val="20"/>
                <w:szCs w:val="20"/>
              </w:rPr>
              <w:t>HO Caucus - Pat Luedtke</w:t>
            </w:r>
          </w:p>
        </w:tc>
      </w:tr>
      <w:tr w:rsidR="002A33E3" w14:paraId="2079F577"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7757BB6A" w14:textId="77777777" w:rsidR="002A33E3" w:rsidRDefault="002D4287">
            <w:pPr>
              <w:widowControl w:val="0"/>
              <w:spacing w:line="276" w:lineRule="auto"/>
              <w:rPr>
                <w:sz w:val="20"/>
                <w:szCs w:val="20"/>
              </w:rPr>
            </w:pPr>
            <w:r>
              <w:rPr>
                <w:sz w:val="20"/>
                <w:szCs w:val="20"/>
              </w:rPr>
              <w:t>x</w:t>
            </w: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BBDD89A" w14:textId="77777777" w:rsidR="002A33E3" w:rsidRDefault="002D4287">
            <w:pPr>
              <w:widowControl w:val="0"/>
              <w:spacing w:line="276" w:lineRule="auto"/>
              <w:rPr>
                <w:sz w:val="20"/>
                <w:szCs w:val="20"/>
              </w:rPr>
            </w:pPr>
            <w:r>
              <w:rPr>
                <w:sz w:val="20"/>
                <w:szCs w:val="20"/>
              </w:rPr>
              <w:t>Harney - Nic Calvin</w:t>
            </w: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3D2B78F7" w14:textId="77777777" w:rsidR="002A33E3" w:rsidRDefault="002D4287">
            <w:pPr>
              <w:widowControl w:val="0"/>
              <w:spacing w:line="276" w:lineRule="auto"/>
              <w:rPr>
                <w:sz w:val="20"/>
                <w:szCs w:val="20"/>
              </w:rPr>
            </w:pPr>
            <w:r>
              <w:rPr>
                <w:sz w:val="20"/>
                <w:szCs w:val="20"/>
              </w:rPr>
              <w:t>x</w:t>
            </w: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47CC80A9" w14:textId="77777777" w:rsidR="002A33E3" w:rsidRDefault="002D4287">
            <w:pPr>
              <w:widowControl w:val="0"/>
              <w:spacing w:line="276" w:lineRule="auto"/>
              <w:rPr>
                <w:sz w:val="20"/>
                <w:szCs w:val="20"/>
              </w:rPr>
            </w:pPr>
            <w:r>
              <w:rPr>
                <w:sz w:val="20"/>
                <w:szCs w:val="20"/>
              </w:rPr>
              <w:t>Morrow - Diane Kilkenny</w:t>
            </w: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0B70A093"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7ACCDE52" w14:textId="77777777" w:rsidR="002A33E3" w:rsidRDefault="002D4287">
            <w:pPr>
              <w:widowControl w:val="0"/>
              <w:spacing w:line="276" w:lineRule="auto"/>
              <w:rPr>
                <w:sz w:val="20"/>
                <w:szCs w:val="20"/>
              </w:rPr>
            </w:pPr>
            <w:r>
              <w:rPr>
                <w:sz w:val="20"/>
                <w:szCs w:val="20"/>
              </w:rPr>
              <w:t xml:space="preserve">CLEHS Caucus - Joseph </w:t>
            </w:r>
            <w:proofErr w:type="spellStart"/>
            <w:r>
              <w:rPr>
                <w:sz w:val="20"/>
                <w:szCs w:val="20"/>
              </w:rPr>
              <w:t>Fiumara</w:t>
            </w:r>
            <w:proofErr w:type="spellEnd"/>
          </w:p>
        </w:tc>
      </w:tr>
      <w:tr w:rsidR="002A33E3" w14:paraId="2DFCBCE1" w14:textId="77777777">
        <w:trPr>
          <w:trHeight w:val="298"/>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01CA8B82" w14:textId="77777777" w:rsidR="002A33E3" w:rsidRDefault="002A33E3">
            <w:pPr>
              <w:widowControl w:val="0"/>
              <w:spacing w:line="276" w:lineRule="auto"/>
              <w:rPr>
                <w:sz w:val="20"/>
                <w:szCs w:val="20"/>
              </w:rPr>
            </w:pP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5256B352" w14:textId="77777777" w:rsidR="002A33E3" w:rsidRDefault="002A33E3">
            <w:pPr>
              <w:widowControl w:val="0"/>
              <w:spacing w:line="276" w:lineRule="auto"/>
              <w:rPr>
                <w:sz w:val="20"/>
                <w:szCs w:val="20"/>
              </w:rPr>
            </w:pP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632A3A5D" w14:textId="77777777" w:rsidR="002A33E3" w:rsidRDefault="002A33E3">
            <w:pPr>
              <w:widowControl w:val="0"/>
              <w:spacing w:line="276" w:lineRule="auto"/>
              <w:rPr>
                <w:sz w:val="20"/>
                <w:szCs w:val="20"/>
              </w:rPr>
            </w:pP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660DF001" w14:textId="77777777" w:rsidR="002A33E3" w:rsidRDefault="002A33E3">
            <w:pPr>
              <w:widowControl w:val="0"/>
              <w:spacing w:line="276" w:lineRule="auto"/>
              <w:rPr>
                <w:sz w:val="20"/>
                <w:szCs w:val="20"/>
              </w:rPr>
            </w:pP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3FBD379F" w14:textId="77777777" w:rsidR="002A33E3" w:rsidRDefault="002A33E3">
            <w:pPr>
              <w:widowControl w:val="0"/>
              <w:spacing w:line="276" w:lineRule="auto"/>
              <w:rPr>
                <w:sz w:val="20"/>
                <w:szCs w:val="20"/>
              </w:rPr>
            </w:pP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590B9FC2" w14:textId="77777777" w:rsidR="002A33E3" w:rsidRDefault="002D4287">
            <w:pPr>
              <w:widowControl w:val="0"/>
              <w:spacing w:line="276" w:lineRule="auto"/>
              <w:rPr>
                <w:sz w:val="20"/>
                <w:szCs w:val="20"/>
              </w:rPr>
            </w:pPr>
            <w:r>
              <w:rPr>
                <w:sz w:val="20"/>
                <w:szCs w:val="20"/>
              </w:rPr>
              <w:t>AOPHNS - Vacant</w:t>
            </w:r>
          </w:p>
        </w:tc>
      </w:tr>
      <w:tr w:rsidR="002A33E3" w14:paraId="4D59D148" w14:textId="77777777">
        <w:trPr>
          <w:trHeight w:val="315"/>
          <w:jc w:val="center"/>
        </w:trPr>
        <w:tc>
          <w:tcPr>
            <w:tcW w:w="60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53E6D0B0" w14:textId="77777777" w:rsidR="002A33E3" w:rsidRDefault="002A33E3">
            <w:pPr>
              <w:widowControl w:val="0"/>
              <w:spacing w:line="276" w:lineRule="auto"/>
              <w:rPr>
                <w:sz w:val="20"/>
                <w:szCs w:val="20"/>
              </w:rPr>
            </w:pPr>
          </w:p>
        </w:tc>
        <w:tc>
          <w:tcPr>
            <w:tcW w:w="387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58E0DEAE" w14:textId="77777777" w:rsidR="002A33E3" w:rsidRDefault="002A33E3">
            <w:pPr>
              <w:widowControl w:val="0"/>
              <w:spacing w:line="276" w:lineRule="auto"/>
              <w:rPr>
                <w:sz w:val="20"/>
                <w:szCs w:val="20"/>
              </w:rPr>
            </w:pPr>
          </w:p>
        </w:tc>
        <w:tc>
          <w:tcPr>
            <w:tcW w:w="40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45CBA4E2" w14:textId="77777777" w:rsidR="002A33E3" w:rsidRDefault="002A33E3">
            <w:pPr>
              <w:widowControl w:val="0"/>
              <w:spacing w:line="276" w:lineRule="auto"/>
              <w:rPr>
                <w:sz w:val="20"/>
                <w:szCs w:val="20"/>
              </w:rPr>
            </w:pPr>
          </w:p>
        </w:tc>
        <w:tc>
          <w:tcPr>
            <w:tcW w:w="372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30814C9E" w14:textId="77777777" w:rsidR="002A33E3" w:rsidRDefault="002A33E3">
            <w:pPr>
              <w:widowControl w:val="0"/>
              <w:spacing w:line="276" w:lineRule="auto"/>
              <w:rPr>
                <w:sz w:val="20"/>
                <w:szCs w:val="20"/>
              </w:rPr>
            </w:pPr>
          </w:p>
        </w:tc>
        <w:tc>
          <w:tcPr>
            <w:tcW w:w="495"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center"/>
          </w:tcPr>
          <w:p w14:paraId="6B650D0E" w14:textId="77777777" w:rsidR="002A33E3" w:rsidRDefault="002D4287">
            <w:pPr>
              <w:widowControl w:val="0"/>
              <w:spacing w:line="276" w:lineRule="auto"/>
              <w:rPr>
                <w:sz w:val="20"/>
                <w:szCs w:val="20"/>
              </w:rPr>
            </w:pPr>
            <w:r>
              <w:rPr>
                <w:sz w:val="20"/>
                <w:szCs w:val="20"/>
              </w:rPr>
              <w:t>x</w:t>
            </w:r>
          </w:p>
        </w:tc>
        <w:tc>
          <w:tcPr>
            <w:tcW w:w="3690" w:type="dxa"/>
            <w:tcBorders>
              <w:top w:val="single" w:sz="7" w:space="0" w:color="FFFFFF"/>
              <w:left w:val="single" w:sz="7" w:space="0" w:color="FFFFFF"/>
              <w:bottom w:val="single" w:sz="7" w:space="0" w:color="FFFFFF"/>
              <w:right w:val="single" w:sz="7" w:space="0" w:color="FFFFFF"/>
            </w:tcBorders>
            <w:tcMar>
              <w:top w:w="0" w:type="dxa"/>
              <w:left w:w="0" w:type="dxa"/>
              <w:bottom w:w="0" w:type="dxa"/>
              <w:right w:w="0" w:type="dxa"/>
            </w:tcMar>
            <w:vAlign w:val="bottom"/>
          </w:tcPr>
          <w:p w14:paraId="1EB2D31D" w14:textId="77777777" w:rsidR="002A33E3" w:rsidRDefault="002D4287">
            <w:pPr>
              <w:widowControl w:val="0"/>
              <w:spacing w:line="276" w:lineRule="auto"/>
              <w:rPr>
                <w:sz w:val="20"/>
                <w:szCs w:val="20"/>
              </w:rPr>
            </w:pPr>
            <w:r>
              <w:rPr>
                <w:sz w:val="20"/>
                <w:szCs w:val="20"/>
              </w:rPr>
              <w:t xml:space="preserve">PHAO - Lindsey </w:t>
            </w:r>
            <w:proofErr w:type="spellStart"/>
            <w:r>
              <w:rPr>
                <w:sz w:val="20"/>
                <w:szCs w:val="20"/>
              </w:rPr>
              <w:t>Manfrin</w:t>
            </w:r>
            <w:proofErr w:type="spellEnd"/>
          </w:p>
        </w:tc>
      </w:tr>
    </w:tbl>
    <w:p w14:paraId="09BE9785" w14:textId="77777777" w:rsidR="002A33E3" w:rsidRDefault="002A33E3">
      <w:pPr>
        <w:rPr>
          <w:b/>
        </w:rPr>
      </w:pPr>
    </w:p>
    <w:p w14:paraId="6FC76D0E" w14:textId="77777777" w:rsidR="002A33E3" w:rsidRDefault="002A33E3"/>
    <w:p w14:paraId="50AFA493" w14:textId="77777777" w:rsidR="002A33E3" w:rsidRDefault="002A33E3"/>
    <w:p w14:paraId="7D498A38" w14:textId="77777777" w:rsidR="002A33E3" w:rsidRDefault="002D4287">
      <w:pPr>
        <w:rPr>
          <w:b/>
        </w:rPr>
      </w:pPr>
      <w:r>
        <w:rPr>
          <w:b/>
        </w:rPr>
        <w:lastRenderedPageBreak/>
        <w:t xml:space="preserve">Public Health Division: </w:t>
      </w:r>
    </w:p>
    <w:p w14:paraId="094878FD" w14:textId="77777777" w:rsidR="002A33E3" w:rsidRDefault="002D4287">
      <w:r>
        <w:t xml:space="preserve">Danna Drum, Collette Young, Tim Noe, Carole Yann, Sara </w:t>
      </w:r>
      <w:proofErr w:type="spellStart"/>
      <w:r>
        <w:t>Beaudrault</w:t>
      </w:r>
      <w:proofErr w:type="spellEnd"/>
      <w:r>
        <w:t>, and Rachel Banks</w:t>
      </w:r>
    </w:p>
    <w:p w14:paraId="3C563217" w14:textId="77777777" w:rsidR="002A33E3" w:rsidRDefault="002A33E3"/>
    <w:p w14:paraId="51CC6E54" w14:textId="77777777" w:rsidR="002A33E3" w:rsidRDefault="002D4287">
      <w:pPr>
        <w:rPr>
          <w:b/>
        </w:rPr>
      </w:pPr>
      <w:r>
        <w:rPr>
          <w:b/>
        </w:rPr>
        <w:t xml:space="preserve">Coalition of Local Health Officials: </w:t>
      </w:r>
    </w:p>
    <w:p w14:paraId="2AB15B6B" w14:textId="77777777" w:rsidR="002A33E3" w:rsidRDefault="002D4287">
      <w:r>
        <w:t>Morgan Cowling, Executive Director; Laura Daily, Program Manager</w:t>
      </w:r>
    </w:p>
    <w:p w14:paraId="710CD59C" w14:textId="77777777" w:rsidR="002A33E3" w:rsidRDefault="002A33E3"/>
    <w:p w14:paraId="146BB54A" w14:textId="77777777" w:rsidR="002A33E3" w:rsidRDefault="002D4287">
      <w:pPr>
        <w:rPr>
          <w:b/>
        </w:rPr>
      </w:pPr>
      <w:r>
        <w:rPr>
          <w:b/>
        </w:rPr>
        <w:t xml:space="preserve">Guests: </w:t>
      </w:r>
    </w:p>
    <w:p w14:paraId="031695DA" w14:textId="77777777" w:rsidR="002A33E3" w:rsidRDefault="002D4287">
      <w:r>
        <w:t xml:space="preserve">Florence </w:t>
      </w:r>
      <w:proofErr w:type="spellStart"/>
      <w:r>
        <w:t>Pourtal</w:t>
      </w:r>
      <w:proofErr w:type="spellEnd"/>
      <w:r>
        <w:t xml:space="preserve">, Wendy </w:t>
      </w:r>
      <w:proofErr w:type="spellStart"/>
      <w:r>
        <w:t>Zieker</w:t>
      </w:r>
      <w:proofErr w:type="spellEnd"/>
      <w:r>
        <w:t xml:space="preserve">, </w:t>
      </w:r>
    </w:p>
    <w:p w14:paraId="147F87FE" w14:textId="77777777" w:rsidR="002A33E3" w:rsidRDefault="002A33E3"/>
    <w:p w14:paraId="7B90CCCD" w14:textId="77777777" w:rsidR="002A33E3" w:rsidRDefault="002D4287">
      <w:r>
        <w:rPr>
          <w:b/>
        </w:rPr>
        <w:t>Agenda:</w:t>
      </w:r>
      <w:r>
        <w:t xml:space="preserve"> Two items to add to the agenda: Crisis Care Standards update and Indoor Clean Air Act Enforcement</w:t>
      </w:r>
    </w:p>
    <w:p w14:paraId="7D0DC7C9" w14:textId="77777777" w:rsidR="002A33E3" w:rsidRDefault="002A33E3"/>
    <w:p w14:paraId="14B658D7" w14:textId="77777777" w:rsidR="002A33E3" w:rsidRDefault="002D4287">
      <w:r>
        <w:rPr>
          <w:b/>
        </w:rPr>
        <w:t xml:space="preserve">Motion: </w:t>
      </w:r>
      <w:r>
        <w:t xml:space="preserve">Bob </w:t>
      </w:r>
      <w:proofErr w:type="spellStart"/>
      <w:r>
        <w:t>Dannenhoffer</w:t>
      </w:r>
      <w:proofErr w:type="spellEnd"/>
      <w:r>
        <w:t xml:space="preserve"> moved to approve the October 15th, 2020 minutes. Jennifer Little seconded. Unanimous vote and motion approved.</w:t>
      </w:r>
    </w:p>
    <w:p w14:paraId="327AFC75" w14:textId="77777777" w:rsidR="002A33E3" w:rsidRDefault="002A33E3"/>
    <w:p w14:paraId="3333F1DE" w14:textId="77777777" w:rsidR="002A33E3" w:rsidRDefault="002D4287">
      <w:pPr>
        <w:rPr>
          <w:b/>
        </w:rPr>
      </w:pPr>
      <w:r>
        <w:rPr>
          <w:b/>
        </w:rPr>
        <w:t>Congratulations, to</w:t>
      </w:r>
      <w:r>
        <w:rPr>
          <w:b/>
        </w:rPr>
        <w:t xml:space="preserve"> our new Public Health Director, Rachel Banks!</w:t>
      </w:r>
    </w:p>
    <w:p w14:paraId="6AD2918F" w14:textId="77777777" w:rsidR="002A33E3" w:rsidRDefault="002A33E3"/>
    <w:p w14:paraId="2B2718D5" w14:textId="77777777" w:rsidR="002A33E3" w:rsidRDefault="002D4287">
      <w:r>
        <w:rPr>
          <w:b/>
        </w:rPr>
        <w:t xml:space="preserve">Appointments: </w:t>
      </w:r>
      <w:r>
        <w:t xml:space="preserve">Jocelyn Warren introduced the new appointments to the Communicable Disease subcommittee: </w:t>
      </w:r>
    </w:p>
    <w:p w14:paraId="15F05CDA" w14:textId="77777777" w:rsidR="002A33E3" w:rsidRDefault="002A33E3">
      <w:pPr>
        <w:shd w:val="clear" w:color="auto" w:fill="FFFFFF"/>
        <w:ind w:left="1440"/>
        <w:rPr>
          <w:rFonts w:ascii="Arial" w:eastAsia="Arial" w:hAnsi="Arial" w:cs="Arial"/>
          <w:sz w:val="22"/>
          <w:szCs w:val="22"/>
        </w:rPr>
      </w:pPr>
    </w:p>
    <w:p w14:paraId="4126D6E2" w14:textId="77777777" w:rsidR="002A33E3" w:rsidRDefault="002D4287">
      <w:pPr>
        <w:shd w:val="clear" w:color="auto" w:fill="FFFFFF"/>
        <w:ind w:left="1440"/>
        <w:rPr>
          <w:rFonts w:ascii="Arial" w:eastAsia="Arial" w:hAnsi="Arial" w:cs="Arial"/>
          <w:sz w:val="22"/>
          <w:szCs w:val="22"/>
        </w:rPr>
      </w:pPr>
      <w:r>
        <w:rPr>
          <w:rFonts w:ascii="Arial" w:eastAsia="Arial" w:hAnsi="Arial" w:cs="Arial"/>
          <w:sz w:val="22"/>
          <w:szCs w:val="22"/>
        </w:rPr>
        <w:t>1.</w:t>
      </w:r>
      <w:r>
        <w:rPr>
          <w:rFonts w:ascii="Times New Roman" w:eastAsia="Times New Roman" w:hAnsi="Times New Roman" w:cs="Times New Roman"/>
          <w:sz w:val="14"/>
          <w:szCs w:val="14"/>
        </w:rPr>
        <w:t xml:space="preserve">       </w:t>
      </w:r>
      <w:r>
        <w:rPr>
          <w:rFonts w:ascii="Arial" w:eastAsia="Arial" w:hAnsi="Arial" w:cs="Arial"/>
          <w:sz w:val="22"/>
          <w:szCs w:val="22"/>
        </w:rPr>
        <w:t xml:space="preserve">Lauren </w:t>
      </w:r>
      <w:proofErr w:type="spellStart"/>
      <w:r>
        <w:rPr>
          <w:rFonts w:ascii="Arial" w:eastAsia="Arial" w:hAnsi="Arial" w:cs="Arial"/>
          <w:sz w:val="22"/>
          <w:szCs w:val="22"/>
        </w:rPr>
        <w:t>Turpen</w:t>
      </w:r>
      <w:proofErr w:type="spellEnd"/>
      <w:r>
        <w:rPr>
          <w:rFonts w:ascii="Arial" w:eastAsia="Arial" w:hAnsi="Arial" w:cs="Arial"/>
          <w:sz w:val="22"/>
          <w:szCs w:val="22"/>
        </w:rPr>
        <w:t>, Douglas</w:t>
      </w:r>
    </w:p>
    <w:p w14:paraId="0A0E8514" w14:textId="77777777" w:rsidR="002A33E3" w:rsidRDefault="002D4287">
      <w:pPr>
        <w:shd w:val="clear" w:color="auto" w:fill="FFFFFF"/>
        <w:ind w:left="1440"/>
        <w:rPr>
          <w:rFonts w:ascii="Arial" w:eastAsia="Arial" w:hAnsi="Arial" w:cs="Arial"/>
          <w:sz w:val="22"/>
          <w:szCs w:val="22"/>
        </w:rPr>
      </w:pPr>
      <w:r>
        <w:rPr>
          <w:rFonts w:ascii="Arial" w:eastAsia="Arial" w:hAnsi="Arial" w:cs="Arial"/>
          <w:sz w:val="22"/>
          <w:szCs w:val="22"/>
        </w:rPr>
        <w:t>2.</w:t>
      </w:r>
      <w:r>
        <w:rPr>
          <w:rFonts w:ascii="Times New Roman" w:eastAsia="Times New Roman" w:hAnsi="Times New Roman" w:cs="Times New Roman"/>
          <w:sz w:val="14"/>
          <w:szCs w:val="14"/>
        </w:rPr>
        <w:t xml:space="preserve">       </w:t>
      </w:r>
      <w:r>
        <w:rPr>
          <w:rFonts w:ascii="Arial" w:eastAsia="Arial" w:hAnsi="Arial" w:cs="Arial"/>
          <w:sz w:val="22"/>
          <w:szCs w:val="22"/>
        </w:rPr>
        <w:t>Bailey Burkhalter, Jackson</w:t>
      </w:r>
    </w:p>
    <w:p w14:paraId="6A141619" w14:textId="77777777" w:rsidR="002A33E3" w:rsidRDefault="002D4287">
      <w:pPr>
        <w:shd w:val="clear" w:color="auto" w:fill="FFFFFF"/>
        <w:ind w:left="1440"/>
        <w:rPr>
          <w:rFonts w:ascii="Arial" w:eastAsia="Arial" w:hAnsi="Arial" w:cs="Arial"/>
          <w:sz w:val="22"/>
          <w:szCs w:val="22"/>
        </w:rPr>
      </w:pPr>
      <w:r>
        <w:rPr>
          <w:rFonts w:ascii="Arial" w:eastAsia="Arial" w:hAnsi="Arial" w:cs="Arial"/>
          <w:sz w:val="22"/>
          <w:szCs w:val="22"/>
        </w:rPr>
        <w:t>3.</w:t>
      </w:r>
      <w:r>
        <w:rPr>
          <w:rFonts w:ascii="Times New Roman" w:eastAsia="Times New Roman" w:hAnsi="Times New Roman" w:cs="Times New Roman"/>
          <w:sz w:val="14"/>
          <w:szCs w:val="14"/>
        </w:rPr>
        <w:t xml:space="preserve">       </w:t>
      </w:r>
      <w:r>
        <w:rPr>
          <w:rFonts w:ascii="Arial" w:eastAsia="Arial" w:hAnsi="Arial" w:cs="Arial"/>
          <w:sz w:val="22"/>
          <w:szCs w:val="22"/>
        </w:rPr>
        <w:t xml:space="preserve">Katherine </w:t>
      </w:r>
      <w:proofErr w:type="spellStart"/>
      <w:r>
        <w:rPr>
          <w:rFonts w:ascii="Arial" w:eastAsia="Arial" w:hAnsi="Arial" w:cs="Arial"/>
          <w:sz w:val="22"/>
          <w:szCs w:val="22"/>
        </w:rPr>
        <w:t>Carvelli</w:t>
      </w:r>
      <w:proofErr w:type="spellEnd"/>
      <w:r>
        <w:rPr>
          <w:rFonts w:ascii="Arial" w:eastAsia="Arial" w:hAnsi="Arial" w:cs="Arial"/>
          <w:sz w:val="22"/>
          <w:szCs w:val="22"/>
        </w:rPr>
        <w:t>, Lane</w:t>
      </w:r>
    </w:p>
    <w:p w14:paraId="1FA0A203" w14:textId="77777777" w:rsidR="002A33E3" w:rsidRDefault="002D4287">
      <w:pPr>
        <w:shd w:val="clear" w:color="auto" w:fill="FFFFFF"/>
        <w:ind w:left="1440"/>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w:t>
      </w:r>
      <w:r>
        <w:rPr>
          <w:rFonts w:ascii="Times New Roman" w:eastAsia="Times New Roman" w:hAnsi="Times New Roman" w:cs="Times New Roman"/>
          <w:sz w:val="14"/>
          <w:szCs w:val="14"/>
        </w:rPr>
        <w:t xml:space="preserve">       </w:t>
      </w:r>
      <w:r>
        <w:rPr>
          <w:rFonts w:ascii="Arial" w:eastAsia="Arial" w:hAnsi="Arial" w:cs="Arial"/>
          <w:sz w:val="22"/>
          <w:szCs w:val="22"/>
        </w:rPr>
        <w:t xml:space="preserve">Ana </w:t>
      </w:r>
      <w:proofErr w:type="spellStart"/>
      <w:r>
        <w:rPr>
          <w:rFonts w:ascii="Arial" w:eastAsia="Arial" w:hAnsi="Arial" w:cs="Arial"/>
          <w:sz w:val="22"/>
          <w:szCs w:val="22"/>
        </w:rPr>
        <w:t>Pineyro</w:t>
      </w:r>
      <w:proofErr w:type="spellEnd"/>
      <w:r>
        <w:rPr>
          <w:rFonts w:ascii="Arial" w:eastAsia="Arial" w:hAnsi="Arial" w:cs="Arial"/>
          <w:sz w:val="22"/>
          <w:szCs w:val="22"/>
        </w:rPr>
        <w:t>, Morrow</w:t>
      </w:r>
    </w:p>
    <w:p w14:paraId="70741A43" w14:textId="77777777" w:rsidR="002A33E3" w:rsidRDefault="002D4287">
      <w:pPr>
        <w:shd w:val="clear" w:color="auto" w:fill="FFFFFF"/>
        <w:ind w:left="1440"/>
        <w:rPr>
          <w:rFonts w:ascii="Arial" w:eastAsia="Arial" w:hAnsi="Arial" w:cs="Arial"/>
          <w:sz w:val="22"/>
          <w:szCs w:val="22"/>
        </w:rPr>
      </w:pPr>
      <w:r>
        <w:rPr>
          <w:rFonts w:ascii="Arial" w:eastAsia="Arial" w:hAnsi="Arial" w:cs="Arial"/>
          <w:sz w:val="22"/>
          <w:szCs w:val="22"/>
        </w:rPr>
        <w:t>5.</w:t>
      </w:r>
      <w:r>
        <w:rPr>
          <w:rFonts w:ascii="Times New Roman" w:eastAsia="Times New Roman" w:hAnsi="Times New Roman" w:cs="Times New Roman"/>
          <w:sz w:val="14"/>
          <w:szCs w:val="14"/>
        </w:rPr>
        <w:t xml:space="preserve">       </w:t>
      </w:r>
      <w:r>
        <w:rPr>
          <w:rFonts w:ascii="Arial" w:eastAsia="Arial" w:hAnsi="Arial" w:cs="Arial"/>
          <w:sz w:val="22"/>
          <w:szCs w:val="22"/>
        </w:rPr>
        <w:t>Russell Barlow, Multnomah</w:t>
      </w:r>
    </w:p>
    <w:p w14:paraId="31207FFD" w14:textId="77777777" w:rsidR="002A33E3" w:rsidRDefault="002D4287">
      <w:pPr>
        <w:shd w:val="clear" w:color="auto" w:fill="FFFFFF"/>
        <w:ind w:left="1440"/>
        <w:rPr>
          <w:rFonts w:ascii="Arial" w:eastAsia="Arial" w:hAnsi="Arial" w:cs="Arial"/>
          <w:sz w:val="22"/>
          <w:szCs w:val="22"/>
        </w:rPr>
      </w:pPr>
      <w:r>
        <w:rPr>
          <w:rFonts w:ascii="Arial" w:eastAsia="Arial" w:hAnsi="Arial" w:cs="Arial"/>
          <w:sz w:val="22"/>
          <w:szCs w:val="22"/>
        </w:rPr>
        <w:t>6.</w:t>
      </w:r>
      <w:r>
        <w:rPr>
          <w:rFonts w:ascii="Times New Roman" w:eastAsia="Times New Roman" w:hAnsi="Times New Roman" w:cs="Times New Roman"/>
          <w:sz w:val="14"/>
          <w:szCs w:val="14"/>
        </w:rPr>
        <w:t xml:space="preserve">       </w:t>
      </w:r>
      <w:r>
        <w:rPr>
          <w:rFonts w:ascii="Arial" w:eastAsia="Arial" w:hAnsi="Arial" w:cs="Arial"/>
          <w:sz w:val="22"/>
          <w:szCs w:val="22"/>
        </w:rPr>
        <w:t xml:space="preserve">Cindy </w:t>
      </w:r>
      <w:proofErr w:type="spellStart"/>
      <w:r>
        <w:rPr>
          <w:rFonts w:ascii="Arial" w:eastAsia="Arial" w:hAnsi="Arial" w:cs="Arial"/>
          <w:sz w:val="22"/>
          <w:szCs w:val="22"/>
        </w:rPr>
        <w:t>Rettler</w:t>
      </w:r>
      <w:proofErr w:type="spellEnd"/>
      <w:r>
        <w:rPr>
          <w:rFonts w:ascii="Arial" w:eastAsia="Arial" w:hAnsi="Arial" w:cs="Arial"/>
          <w:sz w:val="22"/>
          <w:szCs w:val="22"/>
        </w:rPr>
        <w:t>, Polk</w:t>
      </w:r>
    </w:p>
    <w:p w14:paraId="46DAEC4B" w14:textId="77777777" w:rsidR="002A33E3" w:rsidRDefault="002A33E3"/>
    <w:p w14:paraId="57A7DBDA" w14:textId="77777777" w:rsidR="002A33E3" w:rsidRDefault="002D4287">
      <w:r>
        <w:rPr>
          <w:b/>
        </w:rPr>
        <w:t>Motion:</w:t>
      </w:r>
      <w:r>
        <w:t xml:space="preserve"> Bob </w:t>
      </w:r>
      <w:proofErr w:type="spellStart"/>
      <w:r>
        <w:t>Dannenhoffer</w:t>
      </w:r>
      <w:proofErr w:type="spellEnd"/>
      <w:r>
        <w:t xml:space="preserve"> moved to approve the new appointments. Muriel </w:t>
      </w:r>
      <w:proofErr w:type="spellStart"/>
      <w:r>
        <w:t>DeLaVergne</w:t>
      </w:r>
      <w:proofErr w:type="spellEnd"/>
      <w:r>
        <w:t xml:space="preserve">-Brown seconded. Unanimous vote and motion approved. </w:t>
      </w:r>
    </w:p>
    <w:p w14:paraId="5DAA1588" w14:textId="77777777" w:rsidR="002A33E3" w:rsidRDefault="002A33E3"/>
    <w:p w14:paraId="6108EC5A" w14:textId="77777777" w:rsidR="002A33E3" w:rsidRDefault="002D4287">
      <w:r>
        <w:rPr>
          <w:b/>
        </w:rPr>
        <w:t xml:space="preserve">Crisis Care Standards: </w:t>
      </w:r>
      <w:r>
        <w:t>Coll</w:t>
      </w:r>
      <w:r>
        <w:t xml:space="preserve">ette Young reviewed OHA’s work to update the crisis care standards in order to include equity. In creating these new standards, Collette would like the recommendations of local public health administrators and local public health officers. Bob </w:t>
      </w:r>
      <w:proofErr w:type="spellStart"/>
      <w:r>
        <w:t>Dannenhoffer</w:t>
      </w:r>
      <w:proofErr w:type="spellEnd"/>
      <w:r>
        <w:t xml:space="preserve"> volunteered due to his experience with the original standards. Any others who are interested should contact Collette.  </w:t>
      </w:r>
    </w:p>
    <w:p w14:paraId="2E6032C1" w14:textId="77777777" w:rsidR="002A33E3" w:rsidRDefault="002A33E3"/>
    <w:p w14:paraId="3B87EBD5" w14:textId="77777777" w:rsidR="002A33E3" w:rsidRDefault="002D4287">
      <w:r>
        <w:rPr>
          <w:b/>
        </w:rPr>
        <w:t xml:space="preserve">CD Committee to Recommendations to Approve Perinatal Hep B Funding: </w:t>
      </w:r>
      <w:r>
        <w:t xml:space="preserve">Wendy </w:t>
      </w:r>
      <w:proofErr w:type="spellStart"/>
      <w:r>
        <w:t>Zieker</w:t>
      </w:r>
      <w:proofErr w:type="spellEnd"/>
      <w:r>
        <w:t xml:space="preserve"> provided a summary of the CD Subcommittee’s recommendation for the perinatal hepatitis B reimbursement changes which are: change reimbursements to the calendar year cycle, inc</w:t>
      </w:r>
      <w:r>
        <w:t xml:space="preserve">rease reimbursement: to $525 ($105/each) for infants and $250 ($50/each) for household/sexual, and create one PE for all CD work. Patrick Luedtke brought up that hepatitis B is not really talked about in his jurisdiction, and Bob </w:t>
      </w:r>
      <w:proofErr w:type="spellStart"/>
      <w:r>
        <w:t>Dannenhoffer</w:t>
      </w:r>
      <w:proofErr w:type="spellEnd"/>
      <w:r>
        <w:t xml:space="preserve"> agreed. </w:t>
      </w:r>
    </w:p>
    <w:p w14:paraId="686F1C6C" w14:textId="77777777" w:rsidR="002A33E3" w:rsidRDefault="002D4287">
      <w:r>
        <w:rPr>
          <w:b/>
        </w:rPr>
        <w:t>Moti</w:t>
      </w:r>
      <w:r>
        <w:rPr>
          <w:b/>
        </w:rPr>
        <w:t xml:space="preserve">on: </w:t>
      </w:r>
      <w:r>
        <w:t xml:space="preserve">Jocelyn entertained a motion to approve these changes to the reimbursement process. Bob </w:t>
      </w:r>
      <w:proofErr w:type="spellStart"/>
      <w:r>
        <w:t>Dannenhoffer</w:t>
      </w:r>
      <w:proofErr w:type="spellEnd"/>
      <w:r>
        <w:t xml:space="preserve"> seconded. Unanimous vote and motion approved.</w:t>
      </w:r>
    </w:p>
    <w:p w14:paraId="09A25778" w14:textId="77777777" w:rsidR="002A33E3" w:rsidRDefault="002A33E3"/>
    <w:p w14:paraId="34025037" w14:textId="77777777" w:rsidR="002A33E3" w:rsidRDefault="002D4287">
      <w:r>
        <w:rPr>
          <w:b/>
        </w:rPr>
        <w:t xml:space="preserve">CLHO CD Committee Workgroup: </w:t>
      </w:r>
      <w:r>
        <w:t xml:space="preserve">Wendy </w:t>
      </w:r>
      <w:proofErr w:type="spellStart"/>
      <w:r>
        <w:t>Zieker</w:t>
      </w:r>
      <w:proofErr w:type="spellEnd"/>
      <w:r>
        <w:t xml:space="preserve"> and Danna Drum discussed their hope to create a weekly COVID w</w:t>
      </w:r>
      <w:r>
        <w:t>orkgroup from the CD subcommittee to gather input into COVID investigative guidelines and reporting timelines. There was a question about whether this differs from the CD/Epi weekly call. Danna clarified that this workgroup would remain very small and be a</w:t>
      </w:r>
      <w:r>
        <w:t xml:space="preserve"> place for input while the CD/Epi call is largely about information sharing and clarification, not about metrics or policy. There was also a concern about having another meeting for staff to attend considering the burden on all staff right now. Danna reque</w:t>
      </w:r>
      <w:r>
        <w:t xml:space="preserve">sted that members provide her with feedback in the future about the usefulness of this group and how it should look. </w:t>
      </w:r>
    </w:p>
    <w:p w14:paraId="57CC1B9B" w14:textId="77777777" w:rsidR="002A33E3" w:rsidRDefault="002A33E3"/>
    <w:p w14:paraId="4C4BEA0A" w14:textId="77777777" w:rsidR="002A33E3" w:rsidRDefault="002D4287">
      <w:r>
        <w:rPr>
          <w:b/>
        </w:rPr>
        <w:t>Systems and Innovation Committee</w:t>
      </w:r>
      <w:r>
        <w:t xml:space="preserve"> - </w:t>
      </w:r>
      <w:r>
        <w:rPr>
          <w:b/>
        </w:rPr>
        <w:t>PE 01-05/06 Funding Recommendation:</w:t>
      </w:r>
      <w:r>
        <w:t xml:space="preserve"> Mike Baker presented the recommendation of the Systems and Innovat</w:t>
      </w:r>
      <w:r>
        <w:t xml:space="preserve">ion Committee for fee-for-service reimbursements among Oregon counties. Recommendation includes looking at the total number of statewide cases from 09.01.2020 to 12.30.2020. </w:t>
      </w:r>
    </w:p>
    <w:p w14:paraId="175E6E95" w14:textId="77777777" w:rsidR="002A33E3" w:rsidRDefault="002A33E3"/>
    <w:p w14:paraId="1CC501A7" w14:textId="77777777" w:rsidR="002A33E3" w:rsidRDefault="002A33E3"/>
    <w:p w14:paraId="4CDD2DFF" w14:textId="77777777" w:rsidR="002A33E3" w:rsidRDefault="002D4287">
      <w:r>
        <w:t>Each county would get the percentage of the funds equal to the percentage of th</w:t>
      </w:r>
      <w:r>
        <w:t>e total state cases in that county in that time period. The committee is also adamant that there needs to be an ongoing method of funding for this work. There was a question about whether counties that have been contributing to the money pool would</w:t>
      </w:r>
    </w:p>
    <w:p w14:paraId="5C3A70AB" w14:textId="77777777" w:rsidR="002A33E3" w:rsidRDefault="002D4287">
      <w:r>
        <w:t>have pr</w:t>
      </w:r>
      <w:r>
        <w:t xml:space="preserve">iority for this funding. Danna clarified that the group did not consider </w:t>
      </w:r>
      <w:proofErr w:type="gramStart"/>
      <w:r>
        <w:t>that</w:t>
      </w:r>
      <w:proofErr w:type="gramEnd"/>
      <w:r>
        <w:t xml:space="preserve"> and the recommendation was just based on the percentage of cases in the county. Florence </w:t>
      </w:r>
      <w:proofErr w:type="spellStart"/>
      <w:r>
        <w:t>Pourtal</w:t>
      </w:r>
      <w:proofErr w:type="spellEnd"/>
      <w:r>
        <w:t xml:space="preserve"> clarified that when they did the calculations based on the $1 million projected, </w:t>
      </w:r>
      <w:r>
        <w:t>the reimbursement came to about $38/case, so it is not an enormous amount of funding. As of now, this funding proposal is separate from any other potential funding for public health. Florence asked about what the barriers are to getting more funding approv</w:t>
      </w:r>
      <w:r>
        <w:t xml:space="preserve">ed. Morgan Cowling answered that that is more of an advocacy conversation that will take place in the Coalition meeting next. </w:t>
      </w:r>
    </w:p>
    <w:p w14:paraId="49013294" w14:textId="77777777" w:rsidR="002A33E3" w:rsidRDefault="002D4287">
      <w:r>
        <w:rPr>
          <w:b/>
        </w:rPr>
        <w:lastRenderedPageBreak/>
        <w:t xml:space="preserve">Motion: </w:t>
      </w:r>
      <w:r>
        <w:t xml:space="preserve">Jocelyn moved to approve the System and Innovation Committees plan for reimbursement. Bob </w:t>
      </w:r>
      <w:proofErr w:type="spellStart"/>
      <w:r>
        <w:t>Dannenhoffer</w:t>
      </w:r>
      <w:proofErr w:type="spellEnd"/>
      <w:r>
        <w:t xml:space="preserve"> seconded. Unanimou</w:t>
      </w:r>
      <w:r>
        <w:t>s vote and motion approved.</w:t>
      </w:r>
    </w:p>
    <w:p w14:paraId="4DFE252B" w14:textId="77777777" w:rsidR="002A33E3" w:rsidRDefault="002A33E3"/>
    <w:p w14:paraId="29E4AE73" w14:textId="77777777" w:rsidR="002A33E3" w:rsidRDefault="002D4287">
      <w:r>
        <w:rPr>
          <w:b/>
        </w:rPr>
        <w:t xml:space="preserve">Indoor Clean Air Act: </w:t>
      </w:r>
      <w:r>
        <w:t>Jennifer Little discussed the results of a recent survey and guidance issued regarding the Indoor Clean Air Act enforcement. In a survey sent out to local public health authorities (n-30), 79% responded th</w:t>
      </w:r>
      <w:r>
        <w:t>at they had administrative capacity to resume enforcement (visits are not included in this consideration). Local public health has the option to resume activities in mid-January and to attend a refresher training. LPHAs can also remain on pause for recover</w:t>
      </w:r>
      <w:r>
        <w:t xml:space="preserve">y through June 2021. </w:t>
      </w:r>
    </w:p>
    <w:p w14:paraId="450544B9" w14:textId="77777777" w:rsidR="002A33E3" w:rsidRDefault="002A33E3"/>
    <w:p w14:paraId="762A49F7" w14:textId="77777777" w:rsidR="002A33E3" w:rsidRDefault="002D4287">
      <w:r>
        <w:rPr>
          <w:b/>
        </w:rPr>
        <w:t xml:space="preserve">Modernization Future Planning: </w:t>
      </w:r>
      <w:r>
        <w:t xml:space="preserve">Sara </w:t>
      </w:r>
      <w:proofErr w:type="spellStart"/>
      <w:r>
        <w:t>Beaudrault</w:t>
      </w:r>
      <w:proofErr w:type="spellEnd"/>
      <w:r>
        <w:t xml:space="preserve"> discussed that a group of Joint Leadership Team members came together last winter to create a policy-option package for public health modernization. They would like to reconvene this wor</w:t>
      </w:r>
      <w:r>
        <w:t>kgroup for two main purposes: to develop the next steps in modernization look like at the local public health level and to look at our priorities in different budget scenarios. Initially, this group will also be discussing funding needed for COVID-19 effor</w:t>
      </w:r>
      <w:r>
        <w:t xml:space="preserve">ts (likely during the December and January meetings). Jennifer Little, Anthony </w:t>
      </w:r>
      <w:proofErr w:type="spellStart"/>
      <w:r>
        <w:t>Arton</w:t>
      </w:r>
      <w:proofErr w:type="spellEnd"/>
      <w:r>
        <w:t xml:space="preserve">, and Jessica </w:t>
      </w:r>
      <w:proofErr w:type="spellStart"/>
      <w:r>
        <w:t>Gurnsey</w:t>
      </w:r>
      <w:proofErr w:type="spellEnd"/>
      <w:r>
        <w:t xml:space="preserve"> all stated that they are interested in participating. </w:t>
      </w:r>
    </w:p>
    <w:p w14:paraId="4F6483FD" w14:textId="77777777" w:rsidR="002A33E3" w:rsidRDefault="002A33E3"/>
    <w:p w14:paraId="5E28531B" w14:textId="77777777" w:rsidR="002A33E3" w:rsidRDefault="002A33E3">
      <w:pPr>
        <w:rPr>
          <w:b/>
        </w:rPr>
      </w:pPr>
    </w:p>
    <w:p w14:paraId="4C09169D" w14:textId="77777777" w:rsidR="002A33E3" w:rsidRDefault="002A33E3">
      <w:pPr>
        <w:rPr>
          <w:b/>
        </w:rPr>
      </w:pPr>
    </w:p>
    <w:p w14:paraId="13B55CC7" w14:textId="77777777" w:rsidR="002A33E3" w:rsidRDefault="002D4287">
      <w:r>
        <w:rPr>
          <w:b/>
        </w:rPr>
        <w:t xml:space="preserve">COVID Response: </w:t>
      </w:r>
      <w:r>
        <w:t xml:space="preserve">Jocelyn Warren opened up the meeting to conversations about surge, testing, </w:t>
      </w:r>
      <w:r>
        <w:t xml:space="preserve">and environmental health inspection and fees. Danna stated that there was some guidance sent out to environmental health supervisors about seat counts in local restaurants. She also clarified that freeze guidelines allow a freeze on </w:t>
      </w:r>
    </w:p>
    <w:p w14:paraId="2FB50CAB" w14:textId="77777777" w:rsidR="002A33E3" w:rsidRDefault="002D4287">
      <w:r>
        <w:t>inspections but not on</w:t>
      </w:r>
      <w:r>
        <w:t xml:space="preserve"> investigating executive order violations or food code violations. There is a concern about potential lay-offs because some county commissioners are requiring a balanced budget without the EH fees coming in. There was a question about moving to risk-based </w:t>
      </w:r>
      <w:r>
        <w:t xml:space="preserve">assessment of restaurants, and Joseph </w:t>
      </w:r>
      <w:proofErr w:type="spellStart"/>
      <w:r>
        <w:t>Fiumara</w:t>
      </w:r>
      <w:proofErr w:type="spellEnd"/>
      <w:r>
        <w:t xml:space="preserve"> pointed out that the mechanism is based on state statute and is not up to counties. </w:t>
      </w:r>
    </w:p>
    <w:p w14:paraId="4FB3D5CF" w14:textId="77777777" w:rsidR="002A33E3" w:rsidRDefault="002A33E3"/>
    <w:p w14:paraId="411E504C" w14:textId="77777777" w:rsidR="002A33E3" w:rsidRDefault="002D4287">
      <w:r>
        <w:t>There was a discussion around how counties have changed their approach to contact tracing due to the surge guidance. Some co</w:t>
      </w:r>
      <w:r>
        <w:t xml:space="preserve">unties have not changed many of their approaches. Jennifer Guernsey (Multnomah) and Tricia </w:t>
      </w:r>
      <w:proofErr w:type="spellStart"/>
      <w:r>
        <w:t>Mortell</w:t>
      </w:r>
      <w:proofErr w:type="spellEnd"/>
      <w:r>
        <w:t xml:space="preserve"> (Washington) both discussed that they have had to pivot their methods and assess how they can utilize time effectively. Tricia shared their evaluations of ho</w:t>
      </w:r>
      <w:r>
        <w:t xml:space="preserve">w much of their Epi time is going into data entry and data cleaning as well as their efforts to provide information on how to trace and inform your own contacts. </w:t>
      </w:r>
    </w:p>
    <w:p w14:paraId="42FB553E" w14:textId="77777777" w:rsidR="002A33E3" w:rsidRDefault="002A33E3"/>
    <w:p w14:paraId="3F01F900" w14:textId="77777777" w:rsidR="002A33E3" w:rsidRDefault="002D4287">
      <w:r>
        <w:t>There were also concerns from multiple counties that OPERA is not working well. Danna Drum s</w:t>
      </w:r>
      <w:r>
        <w:t xml:space="preserve">hared some of the work that is being done to fix OPERA, including removing negative tests from OPERA, allowing for a separate place to run reports so users do not lock up the system while gathering reports, and other methods. Bob </w:t>
      </w:r>
      <w:proofErr w:type="spellStart"/>
      <w:r>
        <w:t>Dannenhoffer</w:t>
      </w:r>
      <w:proofErr w:type="spellEnd"/>
      <w:r>
        <w:t xml:space="preserve"> shared concer</w:t>
      </w:r>
      <w:r>
        <w:t>ns he has been hearing about data entry for negative tests and REALD. His understanding is that some clinics may not be reporting negative tests at all to avoid the penalties of reporting a negative test without the REALD data. Joseph shared that he has he</w:t>
      </w:r>
      <w:r>
        <w:t xml:space="preserve">ard from health clinics that they are not promoting testing because of the time burden of entering negative tests. Jennifer Little and Jessica </w:t>
      </w:r>
      <w:proofErr w:type="spellStart"/>
      <w:r>
        <w:t>Gurnsey</w:t>
      </w:r>
      <w:proofErr w:type="spellEnd"/>
      <w:r>
        <w:t xml:space="preserve"> reiterated that negative test data entry has been a challenge in their counties, too. Trish Elliot expres</w:t>
      </w:r>
      <w:r>
        <w:t>sed that local public health often does not know about all testing in their counties because point-of-care testing and at-home tests are not necessarily reported. Danna stated that REALD is State Law, and it is not just related to public health. All entiti</w:t>
      </w:r>
      <w:r>
        <w:t xml:space="preserve">es have to collect this data to help inform Oregon’s progress on health equity. </w:t>
      </w:r>
    </w:p>
    <w:p w14:paraId="49BA47CC" w14:textId="77777777" w:rsidR="002A33E3" w:rsidRDefault="002A33E3"/>
    <w:p w14:paraId="0A612BF0" w14:textId="77777777" w:rsidR="002A33E3" w:rsidRDefault="002D4287">
      <w:pPr>
        <w:rPr>
          <w:b/>
        </w:rPr>
      </w:pPr>
      <w:r>
        <w:rPr>
          <w:b/>
        </w:rPr>
        <w:t>Meeting Adjourned at 10:53am</w:t>
      </w:r>
    </w:p>
    <w:p w14:paraId="4CDF4CF6" w14:textId="77777777" w:rsidR="002A33E3" w:rsidRDefault="002A33E3"/>
    <w:sectPr w:rsidR="002A33E3">
      <w:headerReference w:type="default" r:id="rId6"/>
      <w:pgSz w:w="15840" w:h="12240" w:orient="landscape"/>
      <w:pgMar w:top="1440" w:right="1440" w:bottom="1440" w:left="1080" w:header="720" w:footer="4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BF0C6" w14:textId="77777777" w:rsidR="002D4287" w:rsidRDefault="002D4287">
      <w:r>
        <w:separator/>
      </w:r>
    </w:p>
  </w:endnote>
  <w:endnote w:type="continuationSeparator" w:id="0">
    <w:p w14:paraId="4607DA1B" w14:textId="77777777" w:rsidR="002D4287" w:rsidRDefault="002D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F1EA3" w14:textId="77777777" w:rsidR="002D4287" w:rsidRDefault="002D4287">
      <w:r>
        <w:separator/>
      </w:r>
    </w:p>
  </w:footnote>
  <w:footnote w:type="continuationSeparator" w:id="0">
    <w:p w14:paraId="6FDAB5FA" w14:textId="77777777" w:rsidR="002D4287" w:rsidRDefault="002D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7619A" w14:textId="77777777" w:rsidR="002A33E3" w:rsidRDefault="002D4287">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58240" behindDoc="0" locked="0" layoutInCell="1" hidden="0" allowOverlap="1" wp14:anchorId="5A855429" wp14:editId="47FA7C5D">
              <wp:simplePos x="0" y="0"/>
              <wp:positionH relativeFrom="column">
                <wp:posOffset>-571499</wp:posOffset>
              </wp:positionH>
              <wp:positionV relativeFrom="paragraph">
                <wp:posOffset>-228599</wp:posOffset>
              </wp:positionV>
              <wp:extent cx="1828800" cy="1036955"/>
              <wp:effectExtent l="0" t="0" r="0" b="0"/>
              <wp:wrapSquare wrapText="bothSides" distT="0" distB="0" distL="114300" distR="114300"/>
              <wp:docPr id="1" name="Group 1"/>
              <wp:cNvGraphicFramePr/>
              <a:graphic xmlns:a="http://schemas.openxmlformats.org/drawingml/2006/main">
                <a:graphicData uri="http://schemas.microsoft.com/office/word/2010/wordprocessingGroup">
                  <wpg:wgp>
                    <wpg:cNvGrpSpPr/>
                    <wpg:grpSpPr>
                      <a:xfrm>
                        <a:off x="0" y="0"/>
                        <a:ext cx="1828800" cy="1036955"/>
                        <a:chOff x="4431600" y="3261523"/>
                        <a:chExt cx="1828800" cy="1036955"/>
                      </a:xfrm>
                    </wpg:grpSpPr>
                    <wpg:grpSp>
                      <wpg:cNvPr id="2" name="Group 2"/>
                      <wpg:cNvGrpSpPr/>
                      <wpg:grpSpPr>
                        <a:xfrm>
                          <a:off x="4431600" y="3261523"/>
                          <a:ext cx="1828800" cy="1036955"/>
                          <a:chOff x="-265528" y="102675"/>
                          <a:chExt cx="2124222" cy="1016679"/>
                        </a:xfrm>
                      </wpg:grpSpPr>
                      <wps:wsp>
                        <wps:cNvPr id="3" name="Rectangle 3"/>
                        <wps:cNvSpPr/>
                        <wps:spPr>
                          <a:xfrm>
                            <a:off x="-265528" y="102675"/>
                            <a:ext cx="2124200" cy="1016675"/>
                          </a:xfrm>
                          <a:prstGeom prst="rect">
                            <a:avLst/>
                          </a:prstGeom>
                          <a:noFill/>
                          <a:ln>
                            <a:noFill/>
                          </a:ln>
                        </wps:spPr>
                        <wps:txbx>
                          <w:txbxContent>
                            <w:p w14:paraId="6F81E2F5" w14:textId="77777777" w:rsidR="002A33E3" w:rsidRDefault="002A33E3">
                              <w:pPr>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5" name="Rectangle 5"/>
                        <wps:cNvSpPr/>
                        <wps:spPr>
                          <a:xfrm>
                            <a:off x="-265528" y="903454"/>
                            <a:ext cx="2124222" cy="215900"/>
                          </a:xfrm>
                          <a:prstGeom prst="rect">
                            <a:avLst/>
                          </a:prstGeom>
                          <a:noFill/>
                          <a:ln>
                            <a:noFill/>
                          </a:ln>
                        </wps:spPr>
                        <wps:txbx>
                          <w:txbxContent>
                            <w:p w14:paraId="6CD20809" w14:textId="77777777" w:rsidR="002A33E3" w:rsidRDefault="002D4287">
                              <w:pPr>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-571499</wp:posOffset>
              </wp:positionH>
              <wp:positionV relativeFrom="paragraph">
                <wp:posOffset>-228599</wp:posOffset>
              </wp:positionV>
              <wp:extent cx="1828800" cy="10369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828800" cy="103695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3E3"/>
    <w:rsid w:val="000B4943"/>
    <w:rsid w:val="002A33E3"/>
    <w:rsid w:val="002D4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2D5424"/>
  <w15:docId w15:val="{F3D99312-5CDF-EB44-8644-406F5DF6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Morgan Cowling</cp:lastModifiedBy>
  <cp:revision>2</cp:revision>
  <dcterms:created xsi:type="dcterms:W3CDTF">2020-12-09T16:30:00Z</dcterms:created>
  <dcterms:modified xsi:type="dcterms:W3CDTF">2020-12-09T16:30:00Z</dcterms:modified>
</cp:coreProperties>
</file>