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CF6" w:rsidRPr="00A55CF6" w:rsidRDefault="00A55CF6" w:rsidP="00A55CF6">
      <w:pPr>
        <w:shd w:val="clear" w:color="auto" w:fill="FFFFFF"/>
        <w:rPr>
          <w:rFonts w:ascii="Arial" w:hAnsi="Arial" w:cs="Arial"/>
          <w:color w:val="222222"/>
        </w:rPr>
      </w:pPr>
      <w:proofErr w:type="gramStart"/>
      <w:r w:rsidRPr="00A55CF6">
        <w:rPr>
          <w:rFonts w:ascii="Arial" w:hAnsi="Arial" w:cs="Arial"/>
          <w:b/>
          <w:bCs/>
          <w:color w:val="222222"/>
        </w:rPr>
        <w:t>Exhibit B – Statement of Work – Part 10.</w:t>
      </w:r>
      <w:proofErr w:type="gramEnd"/>
      <w:r w:rsidRPr="00A55CF6">
        <w:rPr>
          <w:rFonts w:ascii="Arial" w:hAnsi="Arial" w:cs="Arial"/>
          <w:b/>
          <w:bCs/>
          <w:color w:val="222222"/>
        </w:rPr>
        <w:t xml:space="preserve"> Transformation Reporting, Performance Measures and External Quality Review</w:t>
      </w:r>
    </w:p>
    <w:p w:rsidR="00A55CF6" w:rsidRPr="00A55CF6" w:rsidRDefault="00A55CF6" w:rsidP="00A55CF6">
      <w:pPr>
        <w:shd w:val="clear" w:color="auto" w:fill="FFFFFF"/>
        <w:rPr>
          <w:rFonts w:ascii="Arial" w:hAnsi="Arial" w:cs="Arial"/>
          <w:color w:val="222222"/>
        </w:rPr>
      </w:pPr>
      <w:r w:rsidRPr="00A55CF6">
        <w:rPr>
          <w:rFonts w:ascii="Arial" w:hAnsi="Arial" w:cs="Arial"/>
          <w:b/>
          <w:bCs/>
          <w:color w:val="222222"/>
        </w:rPr>
        <w:t>4.e</w:t>
      </w:r>
      <w:proofErr w:type="gramStart"/>
      <w:r w:rsidRPr="00A55CF6">
        <w:rPr>
          <w:rFonts w:ascii="Arial" w:hAnsi="Arial" w:cs="Arial"/>
          <w:b/>
          <w:bCs/>
          <w:color w:val="222222"/>
        </w:rPr>
        <w:t>.(</w:t>
      </w:r>
      <w:proofErr w:type="gramEnd"/>
      <w:r w:rsidRPr="00A55CF6">
        <w:rPr>
          <w:rFonts w:ascii="Arial" w:hAnsi="Arial" w:cs="Arial"/>
          <w:b/>
          <w:bCs/>
          <w:color w:val="222222"/>
        </w:rPr>
        <w:t>1a-c)(2)</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Contractor shall create a written distribution plan for Quality Pool and Challenge Pool earnings.</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(1) The distribution plan must include:</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(a) An overview of the methodology and/or strategy used to distribute quality pool earnings to Participating Providers, including Social Determinants of Health and Equity and public health partners, that provides information related to the Contractor’s process of evaluating the contributions of Participating Providers and connecting those evaluations to distribution of funds;</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(b) Data on the expenditure of quality incentive pool earnings and whether the distribution considers payments made previously to Participating Providers (such as up front funding to a clinic or non-clinical partner that is intended to help the Contractor achieve metrics related to the Quality pool); and</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(c) Information to help Participating Providers (including SDOH-E and public health partners) understand how they may qualify for payments, how Contractor distributed funds in the most recent year, and how they may distribute funds in future years.</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 xml:space="preserve">(2) The distribution </w:t>
      </w:r>
      <w:proofErr w:type="gramStart"/>
      <w:r w:rsidRPr="00A55CF6">
        <w:rPr>
          <w:rFonts w:ascii="Arial" w:hAnsi="Arial" w:cs="Arial"/>
          <w:color w:val="222222"/>
        </w:rPr>
        <w:t>plan,</w:t>
      </w:r>
      <w:proofErr w:type="gramEnd"/>
      <w:r w:rsidRPr="00A55CF6">
        <w:rPr>
          <w:rFonts w:ascii="Arial" w:hAnsi="Arial" w:cs="Arial"/>
          <w:color w:val="222222"/>
        </w:rPr>
        <w:t xml:space="preserve"> should be provided to OHA via Administrative Notice and made publicly available each year within sixty (60) days of the Contractor’s receipt of its final Quality Pool distribution.</w:t>
      </w:r>
    </w:p>
    <w:p w:rsidR="00A55CF6" w:rsidRPr="00A55CF6" w:rsidRDefault="00A55CF6" w:rsidP="00A55CF6">
      <w:pPr>
        <w:shd w:val="clear" w:color="auto" w:fill="FFFFFF"/>
        <w:rPr>
          <w:rFonts w:ascii="Arial" w:hAnsi="Arial" w:cs="Arial"/>
          <w:color w:val="222222"/>
        </w:rPr>
      </w:pPr>
      <w:r w:rsidRPr="00A55CF6">
        <w:rPr>
          <w:rFonts w:ascii="Arial" w:hAnsi="Arial" w:cs="Arial"/>
          <w:b/>
          <w:bCs/>
          <w:color w:val="222222"/>
        </w:rPr>
        <w:t>5.</w:t>
      </w:r>
    </w:p>
    <w:p w:rsidR="00A55CF6" w:rsidRPr="00A55CF6" w:rsidRDefault="00A55CF6" w:rsidP="00A55CF6">
      <w:pPr>
        <w:shd w:val="clear" w:color="auto" w:fill="FFFFFF"/>
        <w:rPr>
          <w:rFonts w:ascii="Arial" w:hAnsi="Arial" w:cs="Arial"/>
          <w:color w:val="222222"/>
        </w:rPr>
      </w:pPr>
      <w:r w:rsidRPr="00A55CF6">
        <w:rPr>
          <w:rFonts w:ascii="Arial" w:hAnsi="Arial" w:cs="Arial"/>
          <w:color w:val="222222"/>
        </w:rPr>
        <w:t xml:space="preserve">Contractor must offer correlative arrangements with Participating Providers (including Social Determinants of Health and Equity partners, public health partners, and other Health-Related services Providers as appropriate), providing monetary incentive payment arrangements with Providers that reflect </w:t>
      </w:r>
      <w:proofErr w:type="gramStart"/>
      <w:r w:rsidRPr="00A55CF6">
        <w:rPr>
          <w:rFonts w:ascii="Arial" w:hAnsi="Arial" w:cs="Arial"/>
          <w:color w:val="222222"/>
        </w:rPr>
        <w:t>priorities which</w:t>
      </w:r>
      <w:proofErr w:type="gramEnd"/>
      <w:r w:rsidRPr="00A55CF6">
        <w:rPr>
          <w:rFonts w:ascii="Arial" w:hAnsi="Arial" w:cs="Arial"/>
          <w:color w:val="222222"/>
        </w:rPr>
        <w:t xml:space="preserve"> align with the Quality Pool program for achieving the outcome and quality objectives. Contractor shall report these arrangements and amounts paid to OHA’s Contract Administrator via Administrative Notice. Such arrangements and amounts paid shall be broken down by quarter and provided in an annual report in a format determined by OHA (about which OHA shall advise Contractor’s Contract Administrator via Administrative Notice) and sent to OHA in conjunction with the 4th Quarter reporting period.</w:t>
      </w:r>
    </w:p>
    <w:p w:rsidR="00323012" w:rsidRDefault="00323012">
      <w:bookmarkStart w:id="0" w:name="_GoBack"/>
      <w:bookmarkEnd w:id="0"/>
    </w:p>
    <w:sectPr w:rsidR="00323012" w:rsidSect="008E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F6"/>
    <w:rsid w:val="00323012"/>
    <w:rsid w:val="008E0CA2"/>
    <w:rsid w:val="00A55CF6"/>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AA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741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1898</Characters>
  <Application>Microsoft Macintosh Word</Application>
  <DocSecurity>0</DocSecurity>
  <Lines>15</Lines>
  <Paragraphs>4</Paragraphs>
  <ScaleCrop>false</ScaleCrop>
  <Company>CLHO</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1</cp:revision>
  <dcterms:created xsi:type="dcterms:W3CDTF">2019-07-17T22:46:00Z</dcterms:created>
  <dcterms:modified xsi:type="dcterms:W3CDTF">2019-07-17T22:47:00Z</dcterms:modified>
</cp:coreProperties>
</file>