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750132" w:rsidRPr="00750132" w14:paraId="7FBFA779" w14:textId="77777777" w:rsidTr="008C160E">
        <w:trPr>
          <w:trHeight w:val="865"/>
        </w:trPr>
        <w:tc>
          <w:tcPr>
            <w:tcW w:w="7668" w:type="dxa"/>
            <w:tcBorders>
              <w:top w:val="nil"/>
              <w:bottom w:val="single" w:sz="12" w:space="0" w:color="F79646"/>
            </w:tcBorders>
            <w:vAlign w:val="bottom"/>
          </w:tcPr>
          <w:p w14:paraId="1B1EC708" w14:textId="203D4F3B" w:rsidR="00750132" w:rsidRPr="003C3157" w:rsidRDefault="003C3157" w:rsidP="003C3157">
            <w:pPr>
              <w:spacing w:after="60"/>
              <w:ind w:left="-90"/>
              <w:rPr>
                <w:rFonts w:ascii="Arial" w:hAnsi="Arial" w:cs="Arial"/>
                <w:color w:val="005595"/>
                <w:sz w:val="24"/>
              </w:rPr>
            </w:pPr>
            <w:bookmarkStart w:id="0" w:name="Text6"/>
            <w:bookmarkStart w:id="1" w:name="_GoBack"/>
            <w:bookmarkEnd w:id="1"/>
            <w:r>
              <w:rPr>
                <w:rFonts w:ascii="Arial" w:hAnsi="Arial" w:cs="Arial"/>
                <w:color w:val="005595"/>
                <w:sz w:val="24"/>
              </w:rPr>
              <w:t>PUBLIC HEALTH</w:t>
            </w:r>
            <w:r w:rsidR="00F50B13" w:rsidRPr="008C160E">
              <w:rPr>
                <w:rFonts w:ascii="Arial" w:hAnsi="Arial" w:cs="Arial"/>
                <w:color w:val="005595"/>
                <w:sz w:val="24"/>
              </w:rPr>
              <w:t xml:space="preserve"> DIVISION</w:t>
            </w:r>
            <w:bookmarkEnd w:id="0"/>
          </w:p>
        </w:tc>
        <w:tc>
          <w:tcPr>
            <w:tcW w:w="3250" w:type="dxa"/>
            <w:vMerge w:val="restart"/>
            <w:tcBorders>
              <w:top w:val="nil"/>
            </w:tcBorders>
            <w:vAlign w:val="center"/>
          </w:tcPr>
          <w:p w14:paraId="06C647DD" w14:textId="77777777" w:rsidR="00750132" w:rsidRPr="00750132" w:rsidRDefault="007A78BF" w:rsidP="00F47162">
            <w:pPr>
              <w:rPr>
                <w:rFonts w:ascii="Arial" w:hAnsi="Arial" w:cs="Arial"/>
              </w:rPr>
            </w:pPr>
            <w:r w:rsidRPr="00750132">
              <w:rPr>
                <w:rFonts w:ascii="Arial" w:hAnsi="Arial" w:cs="Arial"/>
                <w:noProof/>
              </w:rPr>
              <w:drawing>
                <wp:inline distT="0" distB="0" distL="0" distR="0" wp14:anchorId="5E8C7AAF" wp14:editId="4E4B7A65">
                  <wp:extent cx="1924050" cy="723900"/>
                  <wp:effectExtent l="0" t="0" r="0" b="0"/>
                  <wp:docPr id="1" name="Picture 1" descr="oregon_health_authority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_health_authority_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723900"/>
                          </a:xfrm>
                          <a:prstGeom prst="rect">
                            <a:avLst/>
                          </a:prstGeom>
                          <a:noFill/>
                          <a:ln>
                            <a:noFill/>
                          </a:ln>
                        </pic:spPr>
                      </pic:pic>
                    </a:graphicData>
                  </a:graphic>
                </wp:inline>
              </w:drawing>
            </w:r>
          </w:p>
        </w:tc>
      </w:tr>
      <w:tr w:rsidR="00750132" w:rsidRPr="00750132" w14:paraId="37C0505A" w14:textId="77777777" w:rsidTr="00F47162">
        <w:trPr>
          <w:trHeight w:val="285"/>
        </w:trPr>
        <w:tc>
          <w:tcPr>
            <w:tcW w:w="7668" w:type="dxa"/>
            <w:tcBorders>
              <w:top w:val="single" w:sz="12" w:space="0" w:color="F79646"/>
              <w:bottom w:val="nil"/>
            </w:tcBorders>
          </w:tcPr>
          <w:p w14:paraId="7688C404" w14:textId="77777777" w:rsidR="00750132" w:rsidRPr="00750132" w:rsidRDefault="00750132" w:rsidP="00F47162">
            <w:pPr>
              <w:rPr>
                <w:rFonts w:ascii="Arial" w:hAnsi="Arial" w:cs="Arial"/>
              </w:rPr>
            </w:pPr>
          </w:p>
        </w:tc>
        <w:tc>
          <w:tcPr>
            <w:tcW w:w="3250" w:type="dxa"/>
            <w:vMerge/>
            <w:tcBorders>
              <w:bottom w:val="nil"/>
            </w:tcBorders>
            <w:vAlign w:val="bottom"/>
          </w:tcPr>
          <w:p w14:paraId="77D4BF6A" w14:textId="77777777" w:rsidR="00750132" w:rsidRPr="00750132" w:rsidRDefault="00750132" w:rsidP="00F47162">
            <w:pPr>
              <w:jc w:val="right"/>
              <w:rPr>
                <w:rFonts w:ascii="Arial" w:hAnsi="Arial" w:cs="Arial"/>
              </w:rPr>
            </w:pPr>
          </w:p>
        </w:tc>
      </w:tr>
    </w:tbl>
    <w:p w14:paraId="3DC0469C" w14:textId="14207874" w:rsidR="003C3157" w:rsidRDefault="003C3157" w:rsidP="003C3157">
      <w:pPr>
        <w:pStyle w:val="Heading1"/>
      </w:pPr>
      <w:r>
        <w:t>Public Health Modernization</w:t>
      </w:r>
      <w:r w:rsidR="004E0DAC">
        <w:t xml:space="preserve">: </w:t>
      </w:r>
    </w:p>
    <w:p w14:paraId="3CB9B7CF" w14:textId="711BF948" w:rsidR="004E0DAC" w:rsidRPr="004E0DAC" w:rsidRDefault="004E0DAC" w:rsidP="004E0DAC">
      <w:pPr>
        <w:pStyle w:val="Heading1"/>
      </w:pPr>
      <w:r w:rsidRPr="003C3157">
        <w:t xml:space="preserve">Investing in </w:t>
      </w:r>
      <w:r>
        <w:t>C</w:t>
      </w:r>
      <w:r w:rsidRPr="003C3157">
        <w:t xml:space="preserve">ommunicable </w:t>
      </w:r>
      <w:r>
        <w:t>D</w:t>
      </w:r>
      <w:r w:rsidRPr="003C3157">
        <w:t xml:space="preserve">isease </w:t>
      </w:r>
      <w:r>
        <w:t>C</w:t>
      </w:r>
      <w:r w:rsidRPr="003C3157">
        <w:t xml:space="preserve">ontrol and </w:t>
      </w:r>
      <w:r>
        <w:t>E</w:t>
      </w:r>
      <w:r w:rsidRPr="003C3157">
        <w:t xml:space="preserve">nvironmental </w:t>
      </w:r>
      <w:r>
        <w:t>H</w:t>
      </w:r>
      <w:r w:rsidRPr="003C3157">
        <w:t>ealth in 2019-</w:t>
      </w:r>
      <w:r>
        <w:t>20</w:t>
      </w:r>
      <w:r w:rsidRPr="003C3157">
        <w:t>21</w:t>
      </w:r>
    </w:p>
    <w:p w14:paraId="3288AA8D" w14:textId="77777777" w:rsidR="003C3157" w:rsidRDefault="003C3157" w:rsidP="003C3157">
      <w:pPr>
        <w:pStyle w:val="FactText2"/>
      </w:pPr>
      <w:r>
        <w:t>Oregon’s public health system is critical for all 4 million Oregonians to be healthy, independent, and productive members of society. When people are healthy, they live longer and happier lives, can better earn a living, and provide employers with a dependable work force. When kids are healthy, they are ready to go to school to learn.</w:t>
      </w:r>
    </w:p>
    <w:p w14:paraId="6A33E396" w14:textId="77777777" w:rsidR="003C3157" w:rsidRDefault="003C3157" w:rsidP="003C3157">
      <w:pPr>
        <w:pStyle w:val="FactText2"/>
      </w:pPr>
      <w:r>
        <w:t>The goals of a modern public health system are to:</w:t>
      </w:r>
    </w:p>
    <w:p w14:paraId="63AEE10F" w14:textId="4DE09A7C" w:rsidR="003C3157" w:rsidRDefault="003C3157" w:rsidP="003C3157">
      <w:pPr>
        <w:pStyle w:val="FactText1"/>
        <w:numPr>
          <w:ilvl w:val="0"/>
          <w:numId w:val="24"/>
        </w:numPr>
      </w:pPr>
      <w:r>
        <w:t>Produce sustainable and measurable improvements in population health</w:t>
      </w:r>
    </w:p>
    <w:p w14:paraId="46FCE80C" w14:textId="0622B3CB" w:rsidR="003C3157" w:rsidRDefault="003C3157" w:rsidP="003C3157">
      <w:pPr>
        <w:pStyle w:val="FactText1"/>
        <w:numPr>
          <w:ilvl w:val="0"/>
          <w:numId w:val="24"/>
        </w:numPr>
      </w:pPr>
      <w:r>
        <w:t xml:space="preserve">Promote heath and prevent injury, and </w:t>
      </w:r>
    </w:p>
    <w:p w14:paraId="6F5EE7E7" w14:textId="63BE2DE9" w:rsidR="003C3157" w:rsidRDefault="003C3157" w:rsidP="003C3157">
      <w:pPr>
        <w:pStyle w:val="FactText1"/>
        <w:numPr>
          <w:ilvl w:val="0"/>
          <w:numId w:val="24"/>
        </w:numPr>
      </w:pPr>
      <w:r>
        <w:t>Prepare for, respond to, and recover from any public health threats that may occur.</w:t>
      </w:r>
    </w:p>
    <w:p w14:paraId="3A77198C" w14:textId="77777777" w:rsidR="003C3157" w:rsidRDefault="003C3157" w:rsidP="003C3157">
      <w:pPr>
        <w:pStyle w:val="FactText2"/>
      </w:pPr>
      <w:r>
        <w:t xml:space="preserve">Oregon is a leader in health system transformation, which aims to provide better health and better care at a lower cost. Achieving that triple aim requires a strong system of prevention and protection for the health of the public. Oregon needs a health system that integrates public health with medical care and community-level health efforts to achieve overall health for all Oregonians, regardless of income, race, ethnicity, or geographic location. </w:t>
      </w:r>
    </w:p>
    <w:p w14:paraId="29F95E76" w14:textId="77777777" w:rsidR="003C3157" w:rsidRDefault="003C3157" w:rsidP="003C3157">
      <w:pPr>
        <w:pStyle w:val="Heading2"/>
      </w:pPr>
      <w:r>
        <w:t>Public Health is a Solid Return on Investment</w:t>
      </w:r>
    </w:p>
    <w:p w14:paraId="2DC5B142" w14:textId="77777777" w:rsidR="003C3157" w:rsidRDefault="003C3157" w:rsidP="003C3157">
      <w:pPr>
        <w:pStyle w:val="FactText2"/>
      </w:pPr>
      <w:r>
        <w:t>There is a small, but growing, literature describing how differences in public health spending improve the public’s health. A nationwide study found a 10% increase in local public health spending correlated with a:</w:t>
      </w:r>
    </w:p>
    <w:p w14:paraId="142DEA4D" w14:textId="11C37AAB" w:rsidR="003C3157" w:rsidRDefault="003C3157" w:rsidP="003C3157">
      <w:pPr>
        <w:pStyle w:val="FactText1"/>
        <w:numPr>
          <w:ilvl w:val="0"/>
          <w:numId w:val="24"/>
        </w:numPr>
      </w:pPr>
      <w:r>
        <w:t>6.9% decrease in rates of infant mortality</w:t>
      </w:r>
    </w:p>
    <w:p w14:paraId="40823DBA" w14:textId="723C4CC2" w:rsidR="003C3157" w:rsidRDefault="003C3157" w:rsidP="003C3157">
      <w:pPr>
        <w:pStyle w:val="FactText1"/>
        <w:numPr>
          <w:ilvl w:val="0"/>
          <w:numId w:val="24"/>
        </w:numPr>
      </w:pPr>
      <w:r>
        <w:t>1.4% decrease in diabetes death rates</w:t>
      </w:r>
    </w:p>
    <w:p w14:paraId="5F86D36C" w14:textId="22107511" w:rsidR="003C3157" w:rsidRDefault="003C3157" w:rsidP="003C3157">
      <w:pPr>
        <w:pStyle w:val="FactText1"/>
        <w:numPr>
          <w:ilvl w:val="0"/>
          <w:numId w:val="24"/>
        </w:numPr>
      </w:pPr>
      <w:r>
        <w:t>3.2% decrease in heart disease death rates, and</w:t>
      </w:r>
    </w:p>
    <w:p w14:paraId="5269C1AE" w14:textId="014A9453" w:rsidR="003C3157" w:rsidRDefault="003C3157" w:rsidP="003C3157">
      <w:pPr>
        <w:pStyle w:val="FactText1"/>
        <w:numPr>
          <w:ilvl w:val="0"/>
          <w:numId w:val="24"/>
        </w:numPr>
      </w:pPr>
      <w:r>
        <w:t xml:space="preserve">1.1% </w:t>
      </w:r>
      <w:proofErr w:type="gramStart"/>
      <w:r>
        <w:t>decrease</w:t>
      </w:r>
      <w:proofErr w:type="gramEnd"/>
      <w:r>
        <w:t xml:space="preserve"> in cancer death rates.</w:t>
      </w:r>
      <w:r w:rsidR="00D17E6A">
        <w:rPr>
          <w:rStyle w:val="FootnoteReference"/>
        </w:rPr>
        <w:footnoteReference w:id="1"/>
      </w:r>
    </w:p>
    <w:p w14:paraId="099E071A" w14:textId="56B30103" w:rsidR="003C3157" w:rsidRDefault="003C3157" w:rsidP="003C3157">
      <w:pPr>
        <w:pStyle w:val="FactText2"/>
      </w:pPr>
      <w:r>
        <w:t>Another study estimated a return on investment for public health spending in California county health departments of $67 to $88 for every $1 spent.</w:t>
      </w:r>
      <w:r w:rsidR="00D17E6A">
        <w:rPr>
          <w:rStyle w:val="FootnoteReference"/>
        </w:rPr>
        <w:footnoteReference w:id="2"/>
      </w:r>
      <w:r>
        <w:t xml:space="preserve"> A third study found an increase of $10 per capita in public health spending reduced all-cause mortality by 9.1 per 100,000 in California.</w:t>
      </w:r>
      <w:r w:rsidR="00D17E6A">
        <w:rPr>
          <w:rStyle w:val="FootnoteReference"/>
        </w:rPr>
        <w:footnoteReference w:id="3"/>
      </w:r>
    </w:p>
    <w:p w14:paraId="57FA66EC" w14:textId="04F1A73E" w:rsidR="003C3157" w:rsidRDefault="00966ABF" w:rsidP="003C3157">
      <w:pPr>
        <w:pStyle w:val="Heading2"/>
      </w:pPr>
      <w:r>
        <w:t xml:space="preserve">Our </w:t>
      </w:r>
      <w:r w:rsidR="003C3157">
        <w:t>Public Health Challenges</w:t>
      </w:r>
      <w:r>
        <w:t xml:space="preserve"> are Changing</w:t>
      </w:r>
    </w:p>
    <w:p w14:paraId="31200E66" w14:textId="77453D99" w:rsidR="003C3157" w:rsidRDefault="003C3157" w:rsidP="003C3157">
      <w:pPr>
        <w:pStyle w:val="FactText2"/>
      </w:pPr>
      <w:r>
        <w:t xml:space="preserve">One hundred years ago, the biggest public health threats were tuberculosis, pneumonia, and diseases spread by unsanitary drinking water. Diseases such as polio and measles were common, </w:t>
      </w:r>
      <w:r>
        <w:lastRenderedPageBreak/>
        <w:t>with modern vaccines not yet available. Committed public health efforts have drastically reduced those threats, or in some cases eliminated them entirely.</w:t>
      </w:r>
    </w:p>
    <w:p w14:paraId="4FF47ADD" w14:textId="22D08E9D" w:rsidR="003C3157" w:rsidRDefault="006B2565" w:rsidP="003C3157">
      <w:pPr>
        <w:pStyle w:val="FactText2"/>
      </w:pPr>
      <w:r w:rsidRPr="006B2565">
        <w:rPr>
          <w:noProof/>
          <w:sz w:val="8"/>
        </w:rPr>
        <mc:AlternateContent>
          <mc:Choice Requires="wpg">
            <w:drawing>
              <wp:anchor distT="0" distB="0" distL="228600" distR="228600" simplePos="0" relativeHeight="251659264" behindDoc="1" locked="0" layoutInCell="1" allowOverlap="1" wp14:anchorId="1354B104" wp14:editId="7964A203">
                <wp:simplePos x="0" y="0"/>
                <wp:positionH relativeFrom="margin">
                  <wp:align>right</wp:align>
                </wp:positionH>
                <wp:positionV relativeFrom="margin">
                  <wp:posOffset>10160</wp:posOffset>
                </wp:positionV>
                <wp:extent cx="1828800" cy="5742940"/>
                <wp:effectExtent l="0" t="0" r="2540" b="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5743574"/>
                          <a:chOff x="0" y="0"/>
                          <a:chExt cx="1828800" cy="5743700"/>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060202"/>
                            <a:ext cx="1828800" cy="468349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CE393" w14:textId="5B71C274" w:rsidR="006B2565" w:rsidRPr="006B2565" w:rsidRDefault="006B2565" w:rsidP="006B2565">
                              <w:pPr>
                                <w:rPr>
                                  <w:rFonts w:ascii="Arial" w:hAnsi="Arial" w:cs="Arial"/>
                                  <w:color w:val="FFFFFF" w:themeColor="background1"/>
                                  <w:sz w:val="24"/>
                                </w:rPr>
                              </w:pPr>
                              <w:r w:rsidRPr="006B2565">
                                <w:rPr>
                                  <w:rFonts w:ascii="Arial" w:hAnsi="Arial" w:cs="Arial"/>
                                  <w:color w:val="FFFFFF" w:themeColor="background1"/>
                                  <w:sz w:val="24"/>
                                </w:rPr>
                                <w:t>In 2017, a six-year-old Oregonian who had received no vaccinations cut his forehead while playing outdoors. Six days later, after worsening symptoms including difficulty breathing, his parents called 911 and the boy was air-transported to the hospital. He was diagnosed with tetanus and required eight weeks of inpatient care, followed by rehabilitation care. The price tag of $811,929 for inpatient costs alone was 72 times more than the average pediatric hospital stay, and vastly more expensive than tetanus vaccinations commonly given by local health departments.</w:t>
                              </w:r>
                            </w:p>
                            <w:p w14:paraId="22D36894" w14:textId="77777777" w:rsidR="006B2565" w:rsidRDefault="006B2565" w:rsidP="006B2565">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65051"/>
                            <a:ext cx="1828800" cy="6969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5E915" w14:textId="77777777"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0220A74E" w14:textId="502F66C1"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 xml:space="preserve"> tetanus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54B104" id="Group 201" o:spid="_x0000_s1026" style="position:absolute;left:0;text-align:left;margin-left:92.8pt;margin-top:.8pt;width:2in;height:452.2pt;z-index:-251657216;mso-width-percent:308;mso-wrap-distance-left:18pt;mso-wrap-distance-right:18pt;mso-position-horizontal:right;mso-position-horizontal-relative:margin;mso-position-vertical-relative:margin;mso-width-percent:308;mso-width-relative:margin;mso-height-relative:margin" coordsize="18288,5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5b9bd5 [3204]" stroked="f" strokeweight="1pt"/>
                <v:rect id="Rectangle 203" o:spid="_x0000_s1028" style="position:absolute;top:10602;width:18288;height:46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5b9bd5 [3204]" stroked="f" strokeweight="1pt">
                  <v:textbox inset=",14.4pt,8.64pt,18pt">
                    <w:txbxContent>
                      <w:p w14:paraId="499CE393" w14:textId="5B71C274" w:rsidR="006B2565" w:rsidRPr="006B2565" w:rsidRDefault="006B2565" w:rsidP="006B2565">
                        <w:pPr>
                          <w:rPr>
                            <w:rFonts w:ascii="Arial" w:hAnsi="Arial" w:cs="Arial"/>
                            <w:color w:val="FFFFFF" w:themeColor="background1"/>
                            <w:sz w:val="24"/>
                          </w:rPr>
                        </w:pPr>
                        <w:r w:rsidRPr="006B2565">
                          <w:rPr>
                            <w:rFonts w:ascii="Arial" w:hAnsi="Arial" w:cs="Arial"/>
                            <w:color w:val="FFFFFF" w:themeColor="background1"/>
                            <w:sz w:val="24"/>
                          </w:rPr>
                          <w:t xml:space="preserve">In 2017, a six-year-old Oregonian who had received no vaccinations cut his forehead while playing outdoors. Six days later, after worsening symptoms including </w:t>
                        </w:r>
                        <w:r w:rsidRPr="006B2565">
                          <w:rPr>
                            <w:rFonts w:ascii="Arial" w:hAnsi="Arial" w:cs="Arial"/>
                            <w:color w:val="FFFFFF" w:themeColor="background1"/>
                            <w:sz w:val="24"/>
                          </w:rPr>
                          <w:t>difficulty</w:t>
                        </w:r>
                        <w:r w:rsidRPr="006B2565">
                          <w:rPr>
                            <w:rFonts w:ascii="Arial" w:hAnsi="Arial" w:cs="Arial"/>
                            <w:color w:val="FFFFFF" w:themeColor="background1"/>
                            <w:sz w:val="24"/>
                          </w:rPr>
                          <w:t xml:space="preserve"> breathing, his parents called 911 and the boy was air-transported to the hospital. He was diagnosed with tetanus and required eight weeks of inpatient care, followed by rehabilitation care. The price tag of $811,929 for inpatient costs alone was 72 times more than the average pediatric hospital stay, and vastly more expensive than tetanus vaccinations commonly given by local health departments.</w:t>
                        </w:r>
                      </w:p>
                      <w:p w14:paraId="22D36894" w14:textId="77777777" w:rsidR="006B2565" w:rsidRDefault="006B2565" w:rsidP="006B2565">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top:2650;width:18288;height:6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4585E915" w14:textId="77777777"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0220A74E" w14:textId="502F66C1"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 xml:space="preserve"> tetanus</w:t>
                        </w:r>
                      </w:p>
                    </w:txbxContent>
                  </v:textbox>
                </v:shape>
                <w10:wrap type="square" anchorx="margin" anchory="margin"/>
              </v:group>
            </w:pict>
          </mc:Fallback>
        </mc:AlternateContent>
      </w:r>
      <w:r w:rsidR="003C3157">
        <w:t>Today, Oregon families and communities face a growing and diverse array of new public health threats. Toxic algae blooms have contaminated drinking water. Wildfire smoke has made the air dangerous to breathe for weeks across entire regions of the state. Once-controlled diseases have re-emerged, spurred by misinformation on social media. Deadly fentanyl has infiltrated our communities from sources overseas. Virulent diseases from distant continents are now a direct flight away from Oregon. Changes in Oregon’s climate make the state more susceptible to certain communicable diseases and environmental health threats.</w:t>
      </w:r>
    </w:p>
    <w:p w14:paraId="18894013" w14:textId="77777777" w:rsidR="003C3157" w:rsidRDefault="003C3157" w:rsidP="003C3157">
      <w:pPr>
        <w:pStyle w:val="Heading2"/>
      </w:pPr>
      <w:r>
        <w:t>The State of the Public Health System: Ideal versus Current</w:t>
      </w:r>
    </w:p>
    <w:p w14:paraId="1A2FCD03" w14:textId="77777777" w:rsidR="003C3157" w:rsidRPr="00966ABF" w:rsidRDefault="003C3157" w:rsidP="003C3157">
      <w:pPr>
        <w:pStyle w:val="FactText2"/>
        <w:rPr>
          <w:u w:val="single"/>
        </w:rPr>
      </w:pPr>
      <w:r w:rsidRPr="00966ABF">
        <w:rPr>
          <w:u w:val="single"/>
        </w:rPr>
        <w:t>Ideal</w:t>
      </w:r>
    </w:p>
    <w:p w14:paraId="36D8A69C" w14:textId="7FB61F43" w:rsidR="003C3157" w:rsidRDefault="003C3157" w:rsidP="003C3157">
      <w:pPr>
        <w:pStyle w:val="FactText2"/>
      </w:pPr>
      <w:r>
        <w:t>Recognizing the value of investing in public health, the U.S. Institute of Medicine recommends a minimum package of public health services with sufficient and sustainable funding, known as public health modernization. These include foundational programs and capabilities that should exist in every health department.</w:t>
      </w:r>
      <w:r w:rsidR="00D17E6A">
        <w:rPr>
          <w:rStyle w:val="FootnoteReference"/>
        </w:rPr>
        <w:footnoteReference w:id="4"/>
      </w:r>
    </w:p>
    <w:p w14:paraId="33C1C472" w14:textId="77777777" w:rsidR="003C3157" w:rsidRDefault="003C3157" w:rsidP="003C3157">
      <w:pPr>
        <w:pStyle w:val="FactText2"/>
      </w:pPr>
      <w:r w:rsidRPr="00966ABF">
        <w:rPr>
          <w:i/>
        </w:rPr>
        <w:t>Foundational programs</w:t>
      </w:r>
      <w:r>
        <w:t xml:space="preserve"> are those services that are necessary to assess, protect, or improve public health: Communicable Disease Control, Environmental Public Health, Prevention and Health Promotion, and Access to Clinical Preventive Services.</w:t>
      </w:r>
    </w:p>
    <w:p w14:paraId="5110FFC3" w14:textId="77777777" w:rsidR="003C3157" w:rsidRDefault="003C3157" w:rsidP="003C3157">
      <w:pPr>
        <w:pStyle w:val="FactText2"/>
      </w:pPr>
      <w:r w:rsidRPr="00966ABF">
        <w:rPr>
          <w:i/>
        </w:rPr>
        <w:t>Foundational capabilities</w:t>
      </w:r>
      <w:r>
        <w:t xml:space="preserve"> are the knowledge, skills, or abilities necessary to carry out a public health activity or program: Assessment and Epidemiology, Emergency Preparedness and Response, Communications, Policy and Planning, Leadership and Organizational Competencies, Health Equity and Cultural Responsiveness, and Community Partnership Development.</w:t>
      </w:r>
    </w:p>
    <w:p w14:paraId="2C93FBED" w14:textId="77777777" w:rsidR="003C3157" w:rsidRDefault="003C3157" w:rsidP="003C3157">
      <w:pPr>
        <w:pStyle w:val="FactText2"/>
      </w:pPr>
      <w:r>
        <w:t xml:space="preserve">Different pieces of these programs and capabilities may be located at the state or local level; for example, it may be more efficient for the state to have laboratory facilities that local public health </w:t>
      </w:r>
      <w:proofErr w:type="gramStart"/>
      <w:r>
        <w:t>departments</w:t>
      </w:r>
      <w:proofErr w:type="gramEnd"/>
      <w:r>
        <w:t xml:space="preserve"> can access rather than each having their own. Also, different localities may have different specific programs; for example, emergency preparedness on the coast may involve tsunami warnings, while upland areas may focus more on wildfires. Regardless of these variations, the critical point is that every community has the foundational capabilities to carry out the foundational programs to meet its public health needs.</w:t>
      </w:r>
    </w:p>
    <w:p w14:paraId="2D6ED79D" w14:textId="77777777" w:rsidR="003C3157" w:rsidRPr="00966ABF" w:rsidRDefault="003C3157" w:rsidP="003C3157">
      <w:pPr>
        <w:pStyle w:val="FactText2"/>
        <w:rPr>
          <w:u w:val="single"/>
        </w:rPr>
      </w:pPr>
      <w:r w:rsidRPr="00966ABF">
        <w:rPr>
          <w:u w:val="single"/>
        </w:rPr>
        <w:t>Current</w:t>
      </w:r>
    </w:p>
    <w:p w14:paraId="10526B2B" w14:textId="4A1B70ED" w:rsidR="003C3157" w:rsidRDefault="003C3157" w:rsidP="003C3157">
      <w:pPr>
        <w:pStyle w:val="FactText2"/>
      </w:pPr>
      <w:r>
        <w:lastRenderedPageBreak/>
        <w:t xml:space="preserve">In accordance with HB 3100, passed in 2015, the state Public Health Advisory Board, Oregon Health Authority’s (OHA) Public Health Division, and all 34 Local Public Health Authorities (LPHAs) completed a detailed assessment of how the current public health system matches up to the ideal of </w:t>
      </w:r>
      <w:r w:rsidR="006B2565" w:rsidRPr="006B2565">
        <w:rPr>
          <w:noProof/>
          <w:sz w:val="8"/>
        </w:rPr>
        <mc:AlternateContent>
          <mc:Choice Requires="wpg">
            <w:drawing>
              <wp:anchor distT="0" distB="0" distL="228600" distR="228600" simplePos="0" relativeHeight="251661312" behindDoc="1" locked="0" layoutInCell="1" allowOverlap="1" wp14:anchorId="49269C3B" wp14:editId="50DFCD1C">
                <wp:simplePos x="0" y="0"/>
                <wp:positionH relativeFrom="margin">
                  <wp:posOffset>4743450</wp:posOffset>
                </wp:positionH>
                <wp:positionV relativeFrom="margin">
                  <wp:posOffset>9525</wp:posOffset>
                </wp:positionV>
                <wp:extent cx="1828800" cy="5152390"/>
                <wp:effectExtent l="0" t="0" r="2540" b="0"/>
                <wp:wrapSquare wrapText="bothSides"/>
                <wp:docPr id="2" name="Group 2"/>
                <wp:cNvGraphicFramePr/>
                <a:graphic xmlns:a="http://schemas.openxmlformats.org/drawingml/2006/main">
                  <a:graphicData uri="http://schemas.microsoft.com/office/word/2010/wordprocessingGroup">
                    <wpg:wgp>
                      <wpg:cNvGrpSpPr/>
                      <wpg:grpSpPr>
                        <a:xfrm>
                          <a:off x="0" y="0"/>
                          <a:ext cx="1828800" cy="5152390"/>
                          <a:chOff x="0" y="0"/>
                          <a:chExt cx="1828800" cy="5153138"/>
                        </a:xfrm>
                      </wpg:grpSpPr>
                      <wps:wsp>
                        <wps:cNvPr id="3" name="Rectangle 3"/>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060203"/>
                            <a:ext cx="1828800" cy="40929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2DD5C" w14:textId="152BD76B" w:rsidR="006B2565" w:rsidRPr="006B2565" w:rsidRDefault="006B2565" w:rsidP="006B2565">
                              <w:pPr>
                                <w:rPr>
                                  <w:rFonts w:ascii="Arial" w:hAnsi="Arial" w:cs="Arial"/>
                                  <w:color w:val="FFFFFF" w:themeColor="background1"/>
                                  <w:sz w:val="24"/>
                                </w:rPr>
                              </w:pPr>
                              <w:r w:rsidRPr="006B2565">
                                <w:rPr>
                                  <w:rFonts w:ascii="Arial" w:hAnsi="Arial" w:cs="Arial"/>
                                  <w:color w:val="FFFFFF" w:themeColor="background1"/>
                                  <w:sz w:val="24"/>
                                </w:rPr>
                                <w:t>Oregon’s public health system monitors and responds to foodborne pathogens associated with severe illness and other public health risks, with responsibilities shared between local and state authorities. In 2017, OHA received reports of 5,280 illnesses from foodborne pathogens. The actual burden is likely much higher, as most cases of foodborne illness are not reported. The economic burden of these illnesses – including medical costs, productivity loss, and death – was estimated in 2014 at $229 million.</w:t>
                              </w:r>
                            </w:p>
                            <w:p w14:paraId="18B2E991" w14:textId="77777777" w:rsidR="006B2565" w:rsidRDefault="006B2565" w:rsidP="006B2565">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5" name="Text Box 5"/>
                        <wps:cNvSpPr txBox="1"/>
                        <wps:spPr>
                          <a:xfrm>
                            <a:off x="0" y="265051"/>
                            <a:ext cx="1828800" cy="6969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3A06A" w14:textId="77777777"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02BDE99D" w14:textId="19839D48"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 xml:space="preserve"> food borne illness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269C3B" id="Group 2" o:spid="_x0000_s1030" style="position:absolute;left:0;text-align:left;margin-left:373.5pt;margin-top:.75pt;width:2in;height:405.7pt;z-index:-251655168;mso-width-percent:308;mso-wrap-distance-left:18pt;mso-wrap-distance-right:18pt;mso-position-horizontal-relative:margin;mso-position-vertical-relative:margin;mso-width-percent:308;mso-width-relative:margin;mso-height-relative:margin" coordsize="18288,5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">
                <v:rect id="Rectangle 3"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5b9bd5 [3204]" stroked="f" strokeweight="1pt"/>
                <v:rect id="Rectangle 4" o:spid="_x0000_s1032" style="position:absolute;top:10602;width:18288;height:40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" fillcolor="#5b9bd5 [3204]" stroked="f" strokeweight="1pt">
                  <v:textbox inset=",14.4pt,8.64pt,18pt">
                    <w:txbxContent>
                      <w:p w14:paraId="52C2DD5C" w14:textId="152BD76B" w:rsidR="006B2565" w:rsidRPr="006B2565" w:rsidRDefault="006B2565" w:rsidP="006B2565">
                        <w:pPr>
                          <w:rPr>
                            <w:rFonts w:ascii="Arial" w:hAnsi="Arial" w:cs="Arial"/>
                            <w:color w:val="FFFFFF" w:themeColor="background1"/>
                            <w:sz w:val="24"/>
                          </w:rPr>
                        </w:pPr>
                        <w:r w:rsidRPr="006B2565">
                          <w:rPr>
                            <w:rFonts w:ascii="Arial" w:hAnsi="Arial" w:cs="Arial"/>
                            <w:color w:val="FFFFFF" w:themeColor="background1"/>
                            <w:sz w:val="24"/>
                          </w:rPr>
                          <w:t>Oregon’s public health system monitors and responds to foodborne pathogens associated with severe illness and other public health risks, with responsibilities shared between local and state authorities. In 2017, OHA received reports of 5,280 illnesses from foodborne pathogens. The actual burden is likely much higher, as most cases of foodborne illness are not reported. The economic burden of these illnesses – including medical costs, productivity loss, and death – was estimated in 2014 at $229 million.</w:t>
                        </w:r>
                      </w:p>
                      <w:p w14:paraId="18B2E991" w14:textId="77777777" w:rsidR="006B2565" w:rsidRDefault="006B2565" w:rsidP="006B2565">
                        <w:pPr>
                          <w:rPr>
                            <w:color w:val="FFFFFF" w:themeColor="background1"/>
                          </w:rPr>
                        </w:pPr>
                      </w:p>
                    </w:txbxContent>
                  </v:textbox>
                </v:rect>
                <v:shape id="Text Box 5" o:spid="_x0000_s1033" type="#_x0000_t202" style="position:absolute;top:2650;width:18288;height:6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" fillcolor="white [3212]" stroked="f" strokeweight=".5pt">
                  <v:textbox inset=",7.2pt,,7.2pt">
                    <w:txbxContent>
                      <w:p w14:paraId="65D3A06A" w14:textId="77777777"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02BDE99D" w14:textId="19839D48"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 xml:space="preserve"> </w:t>
                        </w:r>
                        <w:r>
                          <w:rPr>
                            <w:rFonts w:asciiTheme="majorHAnsi" w:eastAsiaTheme="majorEastAsia" w:hAnsiTheme="majorHAnsi" w:cstheme="majorBidi"/>
                            <w:caps/>
                            <w:color w:val="5B9BD5" w:themeColor="accent1"/>
                            <w:sz w:val="28"/>
                            <w:szCs w:val="28"/>
                          </w:rPr>
                          <w:t>food borne illness</w:t>
                        </w:r>
                      </w:p>
                    </w:txbxContent>
                  </v:textbox>
                </v:shape>
                <w10:wrap type="square" anchorx="margin" anchory="margin"/>
              </v:group>
            </w:pict>
          </mc:Fallback>
        </mc:AlternateContent>
      </w:r>
      <w:r>
        <w:t>public health modernization.</w:t>
      </w:r>
      <w:r w:rsidR="009B6EC5">
        <w:rPr>
          <w:rStyle w:val="FootnoteReference"/>
        </w:rPr>
        <w:footnoteReference w:id="5"/>
      </w:r>
      <w:r>
        <w:t xml:space="preserve"> This assessment concluded that there are meaningful gaps across the system. These gaps are not uniform and no clear patterns were identified. </w:t>
      </w:r>
    </w:p>
    <w:p w14:paraId="48D5F221" w14:textId="77777777" w:rsidR="003C3157" w:rsidRDefault="003C3157" w:rsidP="003C3157">
      <w:pPr>
        <w:pStyle w:val="FactText2"/>
      </w:pPr>
      <w:r>
        <w:t>It identified that, in more than one third of Oregon communities — home for more than 1.3 million people — foundational public health programs are limited or minimal. The public health system in these areas may not be adequately able to respond to an emerging communicable disease or environmental health threat, run programs to reduce the impact of chronic diseases and injuries, or ensure every person in the community receives high quality health care.</w:t>
      </w:r>
    </w:p>
    <w:p w14:paraId="4966F549" w14:textId="6487C2A3" w:rsidR="003C3157" w:rsidRDefault="003C3157" w:rsidP="003C3157">
      <w:pPr>
        <w:pStyle w:val="FactText2"/>
      </w:pPr>
      <w:r>
        <w:t>Building on this assessment, OHA prepared a Statewide Public Health Modernization Plan, which calls for a phased implementation over three to five biennia.</w:t>
      </w:r>
      <w:r w:rsidR="00747DED">
        <w:rPr>
          <w:rStyle w:val="FootnoteReference"/>
        </w:rPr>
        <w:footnoteReference w:id="6"/>
      </w:r>
      <w:r>
        <w:t xml:space="preserve"> In the first phase, the initial priorities are:</w:t>
      </w:r>
    </w:p>
    <w:p w14:paraId="0DDCDB3F" w14:textId="6BA59393" w:rsidR="003C3157" w:rsidRDefault="003C3157" w:rsidP="00966ABF">
      <w:pPr>
        <w:pStyle w:val="FactText1"/>
        <w:numPr>
          <w:ilvl w:val="0"/>
          <w:numId w:val="24"/>
        </w:numPr>
      </w:pPr>
      <w:r>
        <w:t>Aligning work to respond to emerging and ongoing communicable disease and environmental health threats. This work falls under the foundational programs of Communicable Disease Control, Environmental Health, and Emergency Preparedness and Response.</w:t>
      </w:r>
    </w:p>
    <w:p w14:paraId="6CD3BEAD" w14:textId="3BE4D767" w:rsidR="003C3157" w:rsidRDefault="003C3157" w:rsidP="00966ABF">
      <w:pPr>
        <w:pStyle w:val="FactText1"/>
        <w:numPr>
          <w:ilvl w:val="0"/>
          <w:numId w:val="24"/>
        </w:numPr>
      </w:pPr>
      <w:r>
        <w:t xml:space="preserve">Increasing capacity to meet core public health functions for the foundational capability of Health </w:t>
      </w:r>
      <w:r w:rsidR="00966ABF">
        <w:t>E</w:t>
      </w:r>
      <w:r>
        <w:t>quity and Cultural Responsiveness.</w:t>
      </w:r>
    </w:p>
    <w:p w14:paraId="1246D4EF" w14:textId="1C992D19" w:rsidR="003C3157" w:rsidRDefault="003C3157" w:rsidP="00966ABF">
      <w:pPr>
        <w:pStyle w:val="FactText1"/>
        <w:numPr>
          <w:ilvl w:val="0"/>
          <w:numId w:val="24"/>
        </w:numPr>
      </w:pPr>
      <w:r>
        <w:t>Addressing systemic barriers identified in the public health modernization assessment. These include lack of access to population health data to inform program and financial decision-making, and insufficient capacity to engage local communities and partners in modernizing the public health system. These fall under the foundational capabilities of Assessment and Epidemiology, and Leadership and Organizational Competencies.</w:t>
      </w:r>
    </w:p>
    <w:p w14:paraId="7E1D92E7" w14:textId="76EC1CAF" w:rsidR="003C3157" w:rsidRDefault="00966ABF" w:rsidP="00966ABF">
      <w:pPr>
        <w:pStyle w:val="Heading2"/>
      </w:pPr>
      <w:r>
        <w:t xml:space="preserve">Public Health System </w:t>
      </w:r>
      <w:r w:rsidR="003C3157">
        <w:t>Funding: Current and Future</w:t>
      </w:r>
    </w:p>
    <w:p w14:paraId="52E51540" w14:textId="77777777" w:rsidR="003C3157" w:rsidRPr="00966ABF" w:rsidRDefault="003C3157" w:rsidP="003C3157">
      <w:pPr>
        <w:pStyle w:val="FactText2"/>
        <w:rPr>
          <w:u w:val="single"/>
        </w:rPr>
      </w:pPr>
      <w:r w:rsidRPr="00966ABF">
        <w:rPr>
          <w:u w:val="single"/>
        </w:rPr>
        <w:t>Base Funding</w:t>
      </w:r>
    </w:p>
    <w:p w14:paraId="396D2AE4" w14:textId="3A720AE9" w:rsidR="003C3157" w:rsidRDefault="003C3157" w:rsidP="003C3157">
      <w:pPr>
        <w:pStyle w:val="FactText2"/>
      </w:pPr>
      <w:r>
        <w:t xml:space="preserve">Oregon’s current governmental public health system currently spends about $209 million (in 2016 dollars) on the foundational capabilities and programs. This is primarily funded through county general funds and federal grants. Most of the federal grants are categorical, meaning they can be used only on one specific disease or activity, which limits flexibility and </w:t>
      </w:r>
      <w:r w:rsidR="00D17E6A">
        <w:t xml:space="preserve">the </w:t>
      </w:r>
      <w:r>
        <w:t xml:space="preserve">ability to respond to local need or </w:t>
      </w:r>
      <w:r w:rsidR="00D17E6A">
        <w:t xml:space="preserve">to </w:t>
      </w:r>
      <w:r>
        <w:t>focus strategically. The current state investment in public health consistently ranks below the national median for per capita funding.</w:t>
      </w:r>
    </w:p>
    <w:p w14:paraId="330CA0A7" w14:textId="77777777" w:rsidR="00946811" w:rsidRDefault="00946811">
      <w:pPr>
        <w:rPr>
          <w:rFonts w:ascii="Arial" w:hAnsi="Arial"/>
          <w:sz w:val="24"/>
          <w:u w:val="single"/>
        </w:rPr>
      </w:pPr>
      <w:r>
        <w:rPr>
          <w:u w:val="single"/>
        </w:rPr>
        <w:lastRenderedPageBreak/>
        <w:br w:type="page"/>
      </w:r>
    </w:p>
    <w:p w14:paraId="7A06A5BD" w14:textId="016C4E83" w:rsidR="003C3157" w:rsidRPr="00966ABF" w:rsidRDefault="003C3157" w:rsidP="003C3157">
      <w:pPr>
        <w:pStyle w:val="FactText2"/>
        <w:rPr>
          <w:u w:val="single"/>
        </w:rPr>
      </w:pPr>
      <w:r w:rsidRPr="00966ABF">
        <w:rPr>
          <w:u w:val="single"/>
        </w:rPr>
        <w:lastRenderedPageBreak/>
        <w:t>Recent Funding</w:t>
      </w:r>
    </w:p>
    <w:p w14:paraId="6C11412A" w14:textId="0B10A866" w:rsidR="003C3157" w:rsidRDefault="00C8678B" w:rsidP="00747DED">
      <w:pPr>
        <w:pStyle w:val="FactText2"/>
      </w:pPr>
      <w:r w:rsidRPr="006B2565">
        <w:rPr>
          <w:noProof/>
          <w:sz w:val="8"/>
        </w:rPr>
        <mc:AlternateContent>
          <mc:Choice Requires="wpg">
            <w:drawing>
              <wp:anchor distT="0" distB="0" distL="228600" distR="228600" simplePos="0" relativeHeight="251663360" behindDoc="1" locked="0" layoutInCell="1" allowOverlap="1" wp14:anchorId="4FF54E78" wp14:editId="787B048C">
                <wp:simplePos x="0" y="0"/>
                <wp:positionH relativeFrom="margin">
                  <wp:posOffset>4743450</wp:posOffset>
                </wp:positionH>
                <wp:positionV relativeFrom="margin">
                  <wp:posOffset>9525</wp:posOffset>
                </wp:positionV>
                <wp:extent cx="1828800" cy="4143375"/>
                <wp:effectExtent l="0" t="0" r="2540" b="9525"/>
                <wp:wrapSquare wrapText="bothSides"/>
                <wp:docPr id="6" name="Group 6"/>
                <wp:cNvGraphicFramePr/>
                <a:graphic xmlns:a="http://schemas.openxmlformats.org/drawingml/2006/main">
                  <a:graphicData uri="http://schemas.microsoft.com/office/word/2010/wordprocessingGroup">
                    <wpg:wgp>
                      <wpg:cNvGrpSpPr/>
                      <wpg:grpSpPr>
                        <a:xfrm>
                          <a:off x="0" y="0"/>
                          <a:ext cx="1828800" cy="4143375"/>
                          <a:chOff x="0" y="0"/>
                          <a:chExt cx="1828800" cy="4143977"/>
                        </a:xfrm>
                      </wpg:grpSpPr>
                      <wps:wsp>
                        <wps:cNvPr id="7" name="Rectangle 7"/>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1060203"/>
                            <a:ext cx="1828800" cy="308377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07F53" w14:textId="2AF40035" w:rsidR="006B2565" w:rsidRDefault="00C8678B" w:rsidP="006B2565">
                              <w:pPr>
                                <w:rPr>
                                  <w:color w:val="FFFFFF" w:themeColor="background1"/>
                                </w:rPr>
                              </w:pPr>
                              <w:r w:rsidRPr="00C8678B">
                                <w:rPr>
                                  <w:rFonts w:ascii="Arial" w:hAnsi="Arial" w:cs="Arial"/>
                                  <w:color w:val="FFFFFF" w:themeColor="background1"/>
                                  <w:sz w:val="24"/>
                                </w:rPr>
                                <w:t>In 2017, local public health authorities reported 18,633 chlamydia cases, 5,022 gonorrhea cases and 557 syphilis cases in Oregon. With an investment of an additional $5 million in STI prevention, Oregon would reduce the number of syphilis infections by approximately 100, gonorrhea infections by approximately 1900, and chlamydia infections by approximately 6000.</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9" name="Text Box 9"/>
                        <wps:cNvSpPr txBox="1"/>
                        <wps:spPr>
                          <a:xfrm>
                            <a:off x="0" y="265050"/>
                            <a:ext cx="1828800" cy="85906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87441" w14:textId="77777777"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4B40959D" w14:textId="78A23C4B"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sexually transmitted dise</w:t>
                              </w:r>
                              <w:r w:rsidR="00C8678B">
                                <w:rPr>
                                  <w:rFonts w:asciiTheme="majorHAnsi" w:eastAsiaTheme="majorEastAsia" w:hAnsiTheme="majorHAnsi" w:cstheme="majorBidi"/>
                                  <w:caps/>
                                  <w:color w:val="5B9BD5" w:themeColor="accent1"/>
                                  <w:sz w:val="28"/>
                                  <w:szCs w:val="28"/>
                                </w:rPr>
                                <w:t>ases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F54E78" id="Group 6" o:spid="_x0000_s1034" style="position:absolute;left:0;text-align:left;margin-left:373.5pt;margin-top:.75pt;width:2in;height:326.25pt;z-index:-251653120;mso-width-percent:308;mso-wrap-distance-left:18pt;mso-wrap-distance-right:18pt;mso-position-horizontal-relative:margin;mso-position-vertical-relative:margin;mso-width-percent:308;mso-width-relative:margin;mso-height-relative:margin" coordsize="18288,4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">
                <v:rect id="Rectangle 7" o:spid="_x0000_s1035"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5b9bd5 [3204]" stroked="f" strokeweight="1pt"/>
                <v:rect id="Rectangle 8" o:spid="_x0000_s1036" style="position:absolute;top:10602;width:18288;height:3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" fillcolor="#5b9bd5 [3204]" stroked="f" strokeweight="1pt">
                  <v:textbox inset=",14.4pt,8.64pt,18pt">
                    <w:txbxContent>
                      <w:p w14:paraId="76A07F53" w14:textId="2AF40035" w:rsidR="006B2565" w:rsidRDefault="00C8678B" w:rsidP="006B2565">
                        <w:pPr>
                          <w:rPr>
                            <w:color w:val="FFFFFF" w:themeColor="background1"/>
                          </w:rPr>
                        </w:pPr>
                        <w:r w:rsidRPr="00C8678B">
                          <w:rPr>
                            <w:rFonts w:ascii="Arial" w:hAnsi="Arial" w:cs="Arial"/>
                            <w:color w:val="FFFFFF" w:themeColor="background1"/>
                            <w:sz w:val="24"/>
                          </w:rPr>
                          <w:t>In 2017, local public health authorities reported 18,633 chlamydia cases, 5,022 gonorrhea cases and 557 syphilis cases in Oregon. With an investment of an additional $5 million in STI prevention, Oregon would reduce the number of syphilis infections by approximately 100, gonorrhea infections by approximately 1900, and chlamydia infections by approximately 6000.</w:t>
                        </w:r>
                      </w:p>
                    </w:txbxContent>
                  </v:textbox>
                </v:rect>
                <v:shape id="Text Box 9" o:spid="_x0000_s1037" type="#_x0000_t202" style="position:absolute;top:2650;width:18288;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" fillcolor="white [3212]" stroked="f" strokeweight=".5pt">
                  <v:textbox inset=",7.2pt,,7.2pt">
                    <w:txbxContent>
                      <w:p w14:paraId="1D687441" w14:textId="77777777"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4B40959D" w14:textId="78A23C4B" w:rsidR="006B2565" w:rsidRDefault="006B2565" w:rsidP="006B2565">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sexually transmitted dise</w:t>
                        </w:r>
                        <w:r w:rsidR="00C8678B">
                          <w:rPr>
                            <w:rFonts w:asciiTheme="majorHAnsi" w:eastAsiaTheme="majorEastAsia" w:hAnsiTheme="majorHAnsi" w:cstheme="majorBidi"/>
                            <w:caps/>
                            <w:color w:val="5B9BD5" w:themeColor="accent1"/>
                            <w:sz w:val="28"/>
                            <w:szCs w:val="28"/>
                          </w:rPr>
                          <w:t>ases</w:t>
                        </w:r>
                      </w:p>
                    </w:txbxContent>
                  </v:textbox>
                </v:shape>
                <w10:wrap type="square" anchorx="margin" anchory="margin"/>
              </v:group>
            </w:pict>
          </mc:Fallback>
        </mc:AlternateContent>
      </w:r>
      <w:r w:rsidR="003C3157">
        <w:t xml:space="preserve">In 2017, OHA received an initial $5 million legislative investment to begin to modernize the government public health system. Eight regions of LPHAs are using $3.9 million for regional communicable disease control interventions, and OHA is using the remaining $1.1 million to improve the collection and reporting of population health data. Early successes include: </w:t>
      </w:r>
    </w:p>
    <w:p w14:paraId="6CFDCBAF" w14:textId="5A676C90" w:rsidR="003C3157" w:rsidRDefault="003C3157" w:rsidP="00966ABF">
      <w:pPr>
        <w:pStyle w:val="FactText1"/>
        <w:numPr>
          <w:ilvl w:val="0"/>
          <w:numId w:val="24"/>
        </w:numPr>
      </w:pPr>
      <w:r>
        <w:t>30 local public health authorities, four Regional Health Equity Coalitions, three CCOs, one tribe, and one school of public health are represented in regional policies for co-ordination and resource sharing.</w:t>
      </w:r>
    </w:p>
    <w:p w14:paraId="5F7BFA46" w14:textId="7D8AA3D1" w:rsidR="003C3157" w:rsidRDefault="003C3157" w:rsidP="00966ABF">
      <w:pPr>
        <w:pStyle w:val="FactText1"/>
        <w:numPr>
          <w:ilvl w:val="0"/>
          <w:numId w:val="24"/>
        </w:numPr>
      </w:pPr>
      <w:r>
        <w:t>Increased communicable disease investigation capacity covering a 13-county area.</w:t>
      </w:r>
    </w:p>
    <w:p w14:paraId="323D3974" w14:textId="196B7303" w:rsidR="003C3157" w:rsidRDefault="003C3157" w:rsidP="00966ABF">
      <w:pPr>
        <w:pStyle w:val="FactText1"/>
        <w:numPr>
          <w:ilvl w:val="0"/>
          <w:numId w:val="24"/>
        </w:numPr>
      </w:pPr>
      <w:r>
        <w:t>Infection prevention trainings covering 78% of long-term care facilities in Central Oregon.</w:t>
      </w:r>
    </w:p>
    <w:p w14:paraId="71D1F1CD" w14:textId="7986BD32" w:rsidR="003C3157" w:rsidRDefault="003C3157" w:rsidP="00966ABF">
      <w:pPr>
        <w:pStyle w:val="FactText1"/>
        <w:numPr>
          <w:ilvl w:val="0"/>
          <w:numId w:val="24"/>
        </w:numPr>
      </w:pPr>
      <w:r>
        <w:t>Modest improvements in two-year-old immunization rates between 2016 and 2017; the rate increased from 66% to 68%, with similar gains for most racial and ethnic groups.</w:t>
      </w:r>
    </w:p>
    <w:p w14:paraId="1E363D6F" w14:textId="64D8E434" w:rsidR="003C3157" w:rsidRDefault="003C3157" w:rsidP="00966ABF">
      <w:pPr>
        <w:pStyle w:val="FactText1"/>
        <w:numPr>
          <w:ilvl w:val="0"/>
          <w:numId w:val="24"/>
        </w:numPr>
      </w:pPr>
      <w:r>
        <w:t>Over 250 pneumococcal vaccines have been administered to Lane County hospitalized older and at-risk adults.</w:t>
      </w:r>
    </w:p>
    <w:p w14:paraId="21DF9DD3" w14:textId="4640DF75" w:rsidR="003C3157" w:rsidRDefault="003C3157" w:rsidP="00966ABF">
      <w:pPr>
        <w:pStyle w:val="FactText1"/>
        <w:numPr>
          <w:ilvl w:val="0"/>
          <w:numId w:val="24"/>
        </w:numPr>
      </w:pPr>
      <w:r>
        <w:t>Local doctors recruited as “medical champions” to advocate for strategies to reduce sexually transmitted infections, Hepatitis C, and HPV health disparities.</w:t>
      </w:r>
      <w:r w:rsidR="006B2565" w:rsidRPr="006B2565">
        <w:rPr>
          <w:noProof/>
          <w:sz w:val="8"/>
        </w:rPr>
        <w:t xml:space="preserve"> </w:t>
      </w:r>
    </w:p>
    <w:p w14:paraId="60BEB390" w14:textId="77777777" w:rsidR="003C3157" w:rsidRPr="00966ABF" w:rsidRDefault="003C3157" w:rsidP="003C3157">
      <w:pPr>
        <w:pStyle w:val="FactText2"/>
        <w:rPr>
          <w:u w:val="single"/>
        </w:rPr>
      </w:pPr>
      <w:r w:rsidRPr="00966ABF">
        <w:rPr>
          <w:u w:val="single"/>
        </w:rPr>
        <w:t>Future Funding</w:t>
      </w:r>
    </w:p>
    <w:p w14:paraId="0EFB918D" w14:textId="77777777" w:rsidR="003C3157" w:rsidRDefault="003C3157" w:rsidP="003C3157">
      <w:pPr>
        <w:pStyle w:val="FactText2"/>
      </w:pPr>
      <w:r>
        <w:t>The 2017 assessment estimated the additional spending needed for full implementation of public health modernization at approximately $105 million annually (in 2016 dollars), or about a 50% increase over base funding.</w:t>
      </w:r>
    </w:p>
    <w:p w14:paraId="2C19180F" w14:textId="77777777" w:rsidR="003C3157" w:rsidRDefault="003C3157" w:rsidP="003C3157">
      <w:pPr>
        <w:pStyle w:val="FactText2"/>
      </w:pPr>
      <w:r>
        <w:t xml:space="preserve">An investment of $35 million in 2019-21 would build a safer, more resilient, and </w:t>
      </w:r>
      <w:proofErr w:type="gramStart"/>
      <w:r>
        <w:t>better prepared</w:t>
      </w:r>
      <w:proofErr w:type="gramEnd"/>
      <w:r>
        <w:t xml:space="preserve"> Oregon in many ways, focused on the initial priorities described above.</w:t>
      </w:r>
    </w:p>
    <w:p w14:paraId="38407D63" w14:textId="77777777" w:rsidR="003C3157" w:rsidRPr="00966ABF" w:rsidRDefault="003C3157" w:rsidP="003C3157">
      <w:pPr>
        <w:pStyle w:val="FactText2"/>
        <w:rPr>
          <w:i/>
        </w:rPr>
      </w:pPr>
      <w:r w:rsidRPr="00966ABF">
        <w:rPr>
          <w:i/>
        </w:rPr>
        <w:t>Improving health outcomes:</w:t>
      </w:r>
    </w:p>
    <w:p w14:paraId="1D171BA7" w14:textId="54F79E3B" w:rsidR="003C3157" w:rsidRDefault="003C3157" w:rsidP="00966ABF">
      <w:pPr>
        <w:pStyle w:val="FactText1"/>
        <w:numPr>
          <w:ilvl w:val="0"/>
          <w:numId w:val="24"/>
        </w:numPr>
      </w:pPr>
      <w:r>
        <w:t>Identify communicable disease disparities and reduce currently known disparities for illnesses, including hepatitis A, B, and C in houseless, American Indian/Alaska Natives, and African American populations through testing and linkage to vaccination and treatment.</w:t>
      </w:r>
    </w:p>
    <w:p w14:paraId="1A8CA399" w14:textId="2CEBC926" w:rsidR="003C3157" w:rsidRDefault="003C3157" w:rsidP="00966ABF">
      <w:pPr>
        <w:pStyle w:val="FactText1"/>
        <w:numPr>
          <w:ilvl w:val="0"/>
          <w:numId w:val="24"/>
        </w:numPr>
      </w:pPr>
      <w:r>
        <w:t xml:space="preserve">Close regional immunization rate gaps between LPHAs and immunize 1,854 children </w:t>
      </w:r>
      <w:r w:rsidR="009B6EC5">
        <w:t xml:space="preserve">(based on 2-year old immunization series) </w:t>
      </w:r>
      <w:r>
        <w:t>by increasing private provider participation in statewide Assessment Feedback Incentives Exchange.</w:t>
      </w:r>
    </w:p>
    <w:p w14:paraId="206CD477" w14:textId="6F97D7DB" w:rsidR="003C3157" w:rsidRDefault="003C3157" w:rsidP="00966ABF">
      <w:pPr>
        <w:pStyle w:val="FactText1"/>
        <w:numPr>
          <w:ilvl w:val="0"/>
          <w:numId w:val="24"/>
        </w:numPr>
      </w:pPr>
      <w:r>
        <w:t xml:space="preserve">Decreased spread of sexually transmitted infections through contact tracing and notification, accomplished by increasing epidemiologic capacity throughout the state. </w:t>
      </w:r>
    </w:p>
    <w:p w14:paraId="0A1F8F55" w14:textId="30B07663" w:rsidR="003C3157" w:rsidRDefault="003C3157" w:rsidP="00966ABF">
      <w:pPr>
        <w:pStyle w:val="FactText1"/>
        <w:numPr>
          <w:ilvl w:val="0"/>
          <w:numId w:val="24"/>
        </w:numPr>
      </w:pPr>
      <w:r>
        <w:t>Increased capacity to provide epidemiological technical assistance to local jurisdictions to identify communicable disease outbreaks, clusters and trends.</w:t>
      </w:r>
      <w:r w:rsidR="009B6EC5">
        <w:rPr>
          <w:rStyle w:val="FootnoteReference"/>
        </w:rPr>
        <w:footnoteReference w:id="7"/>
      </w:r>
      <w:r w:rsidR="009B6EC5">
        <w:t xml:space="preserve"> </w:t>
      </w:r>
      <w:r>
        <w:t xml:space="preserve">This will bring Oregon up to </w:t>
      </w:r>
      <w:r>
        <w:lastRenderedPageBreak/>
        <w:t>the standard recommended by the Centers for Disease Control and Prevention of one epidemiologist per 100,000 people.</w:t>
      </w:r>
    </w:p>
    <w:p w14:paraId="2B272229" w14:textId="77777777" w:rsidR="003C3157" w:rsidRPr="00966ABF" w:rsidRDefault="003C3157" w:rsidP="003C3157">
      <w:pPr>
        <w:pStyle w:val="FactText2"/>
        <w:rPr>
          <w:i/>
        </w:rPr>
      </w:pPr>
      <w:r w:rsidRPr="00966ABF">
        <w:rPr>
          <w:i/>
        </w:rPr>
        <w:t>Guaranteeing that:</w:t>
      </w:r>
    </w:p>
    <w:p w14:paraId="17565A3C" w14:textId="2620350F" w:rsidR="003C3157" w:rsidRDefault="00C8678B" w:rsidP="00966ABF">
      <w:pPr>
        <w:pStyle w:val="FactText1"/>
        <w:numPr>
          <w:ilvl w:val="0"/>
          <w:numId w:val="24"/>
        </w:numPr>
      </w:pPr>
      <w:r w:rsidRPr="006B2565">
        <w:rPr>
          <w:noProof/>
          <w:sz w:val="8"/>
        </w:rPr>
        <mc:AlternateContent>
          <mc:Choice Requires="wpg">
            <w:drawing>
              <wp:anchor distT="0" distB="0" distL="228600" distR="228600" simplePos="0" relativeHeight="251665408" behindDoc="1" locked="0" layoutInCell="1" allowOverlap="1" wp14:anchorId="4B7D900E" wp14:editId="7DAA570A">
                <wp:simplePos x="0" y="0"/>
                <wp:positionH relativeFrom="margin">
                  <wp:posOffset>4743450</wp:posOffset>
                </wp:positionH>
                <wp:positionV relativeFrom="margin">
                  <wp:posOffset>9525</wp:posOffset>
                </wp:positionV>
                <wp:extent cx="1828800" cy="3810000"/>
                <wp:effectExtent l="0" t="0" r="2540" b="0"/>
                <wp:wrapSquare wrapText="bothSides"/>
                <wp:docPr id="10" name="Group 10"/>
                <wp:cNvGraphicFramePr/>
                <a:graphic xmlns:a="http://schemas.openxmlformats.org/drawingml/2006/main">
                  <a:graphicData uri="http://schemas.microsoft.com/office/word/2010/wordprocessingGroup">
                    <wpg:wgp>
                      <wpg:cNvGrpSpPr/>
                      <wpg:grpSpPr>
                        <a:xfrm>
                          <a:off x="0" y="0"/>
                          <a:ext cx="1828800" cy="3810000"/>
                          <a:chOff x="0" y="0"/>
                          <a:chExt cx="1828800" cy="3810554"/>
                        </a:xfrm>
                      </wpg:grpSpPr>
                      <wps:wsp>
                        <wps:cNvPr id="11" name="Rectangle 11"/>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1060204"/>
                            <a:ext cx="1828800" cy="27503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C9904" w14:textId="20ED56C9" w:rsidR="00C8678B" w:rsidRDefault="00C8678B" w:rsidP="00C8678B">
                              <w:pPr>
                                <w:rPr>
                                  <w:color w:val="FFFFFF" w:themeColor="background1"/>
                                </w:rPr>
                              </w:pPr>
                              <w:r w:rsidRPr="00C8678B">
                                <w:rPr>
                                  <w:rFonts w:ascii="Arial" w:hAnsi="Arial" w:cs="Arial"/>
                                  <w:color w:val="FFFFFF" w:themeColor="background1"/>
                                  <w:sz w:val="24"/>
                                </w:rPr>
                                <w:t xml:space="preserve">The current measles outbreak in Washington </w:t>
                              </w:r>
                              <w:proofErr w:type="gramStart"/>
                              <w:r w:rsidRPr="00C8678B">
                                <w:rPr>
                                  <w:rFonts w:ascii="Arial" w:hAnsi="Arial" w:cs="Arial"/>
                                  <w:color w:val="FFFFFF" w:themeColor="background1"/>
                                  <w:sz w:val="24"/>
                                </w:rPr>
                                <w:t>state,</w:t>
                              </w:r>
                              <w:proofErr w:type="gramEnd"/>
                              <w:r w:rsidRPr="00C8678B">
                                <w:rPr>
                                  <w:rFonts w:ascii="Arial" w:hAnsi="Arial" w:cs="Arial"/>
                                  <w:color w:val="FFFFFF" w:themeColor="background1"/>
                                  <w:sz w:val="24"/>
                                </w:rPr>
                                <w:t xml:space="preserve"> with cases in Oregon, continues to stretch the public health system. In a February 21, 2019, article, the Seattle Times estimated that Washington’s response to the measles outbreak will cost more than $1 million and </w:t>
                              </w:r>
                              <w:proofErr w:type="gramStart"/>
                              <w:r w:rsidRPr="00C8678B">
                                <w:rPr>
                                  <w:rFonts w:ascii="Arial" w:hAnsi="Arial" w:cs="Arial"/>
                                  <w:color w:val="FFFFFF" w:themeColor="background1"/>
                                  <w:sz w:val="24"/>
                                </w:rPr>
                                <w:t>is diverting resources</w:t>
                              </w:r>
                              <w:proofErr w:type="gramEnd"/>
                              <w:r w:rsidRPr="00C8678B">
                                <w:rPr>
                                  <w:rFonts w:ascii="Arial" w:hAnsi="Arial" w:cs="Arial"/>
                                  <w:color w:val="FFFFFF" w:themeColor="background1"/>
                                  <w:sz w:val="24"/>
                                </w:rPr>
                                <w:t xml:space="preserve"> away from other pressing public health issues.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3" name="Text Box 13"/>
                        <wps:cNvSpPr txBox="1"/>
                        <wps:spPr>
                          <a:xfrm>
                            <a:off x="0" y="265051"/>
                            <a:ext cx="1828800" cy="6969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3F098" w14:textId="77777777" w:rsidR="00C8678B" w:rsidRDefault="00C8678B" w:rsidP="00C8678B">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5571F386" w14:textId="0F252D59" w:rsidR="00C8678B" w:rsidRDefault="00C8678B" w:rsidP="00C8678B">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measles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7D900E" id="Group 10" o:spid="_x0000_s1038" style="position:absolute;left:0;text-align:left;margin-left:373.5pt;margin-top:.75pt;width:2in;height:300pt;z-index:-251651072;mso-width-percent:308;mso-wrap-distance-left:18pt;mso-wrap-distance-right:18pt;mso-position-horizontal-relative:margin;mso-position-vertical-relative:margin;mso-width-percent:308;mso-width-relative:margin;mso-height-relative:margin" coordsize="18288,3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">
                <v:rect id="Rectangle 11" o:spid="_x0000_s1039"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" fillcolor="#5b9bd5 [3204]" stroked="f" strokeweight="1pt"/>
                <v:rect id="Rectangle 12" o:spid="_x0000_s1040" style="position:absolute;top:10602;width:18288;height:27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" fillcolor="#5b9bd5 [3204]" stroked="f" strokeweight="1pt">
                  <v:textbox inset=",14.4pt,8.64pt,18pt">
                    <w:txbxContent>
                      <w:p w14:paraId="1A6C9904" w14:textId="20ED56C9" w:rsidR="00C8678B" w:rsidRDefault="00C8678B" w:rsidP="00C8678B">
                        <w:pPr>
                          <w:rPr>
                            <w:color w:val="FFFFFF" w:themeColor="background1"/>
                          </w:rPr>
                        </w:pPr>
                        <w:r w:rsidRPr="00C8678B">
                          <w:rPr>
                            <w:rFonts w:ascii="Arial" w:hAnsi="Arial" w:cs="Arial"/>
                            <w:color w:val="FFFFFF" w:themeColor="background1"/>
                            <w:sz w:val="24"/>
                          </w:rPr>
                          <w:t>The current measles outbreak in Washington state, with cases in Oregon, continues to stretch the public health system. In a February 21, 2019, article, the Seattle Times estimated that Washington’s response to the measles outbreak will cost more than $1 million and is diverting resources away from other pressing public health issues.</w:t>
                        </w:r>
                      </w:p>
                    </w:txbxContent>
                  </v:textbox>
                </v:rect>
                <v:shape id="Text Box 13" o:spid="_x0000_s1041" type="#_x0000_t202" style="position:absolute;top:2650;width:18288;height:6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" fillcolor="white [3212]" stroked="f" strokeweight=".5pt">
                  <v:textbox inset=",7.2pt,,7.2pt">
                    <w:txbxContent>
                      <w:p w14:paraId="7C43F098" w14:textId="77777777" w:rsidR="00C8678B" w:rsidRDefault="00C8678B" w:rsidP="00C8678B">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Case study:</w:t>
                        </w:r>
                      </w:p>
                      <w:p w14:paraId="5571F386" w14:textId="0F252D59" w:rsidR="00C8678B" w:rsidRDefault="00C8678B" w:rsidP="00C8678B">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measles</w:t>
                        </w:r>
                      </w:p>
                    </w:txbxContent>
                  </v:textbox>
                </v:shape>
                <w10:wrap type="square" anchorx="margin" anchory="margin"/>
              </v:group>
            </w:pict>
          </mc:Fallback>
        </mc:AlternateContent>
      </w:r>
      <w:r w:rsidR="003C3157">
        <w:t xml:space="preserve">Oregon has updated and operational plans to prevent, monitor, respond to, and recover from and public health threats and emergencies.  </w:t>
      </w:r>
    </w:p>
    <w:p w14:paraId="66D07361" w14:textId="124F0615" w:rsidR="003C3157" w:rsidRDefault="003C3157" w:rsidP="00966ABF">
      <w:pPr>
        <w:pStyle w:val="FactText1"/>
        <w:numPr>
          <w:ilvl w:val="0"/>
          <w:numId w:val="24"/>
        </w:numPr>
      </w:pPr>
      <w:r>
        <w:t xml:space="preserve">Oregon has practiced responding to a public health emergency, with a broad range of business and health care system partners such as took place recently with eleven coastal hospitals to build coastal resiliency in preparation for a </w:t>
      </w:r>
      <w:proofErr w:type="spellStart"/>
      <w:r>
        <w:t>largescale</w:t>
      </w:r>
      <w:proofErr w:type="spellEnd"/>
      <w:r>
        <w:t xml:space="preserve"> earthquake. </w:t>
      </w:r>
    </w:p>
    <w:p w14:paraId="65E74A4B" w14:textId="7C685E22" w:rsidR="003C3157" w:rsidRDefault="003C3157" w:rsidP="00966ABF">
      <w:pPr>
        <w:pStyle w:val="FactText1"/>
        <w:numPr>
          <w:ilvl w:val="0"/>
          <w:numId w:val="24"/>
        </w:numPr>
      </w:pPr>
      <w:r>
        <w:t>Oregon has the information they need to know and understand emerging communicable disease and environmental health threats in their own community.</w:t>
      </w:r>
    </w:p>
    <w:p w14:paraId="751A1B53" w14:textId="7A274729" w:rsidR="003C3157" w:rsidRDefault="003C3157" w:rsidP="00966ABF">
      <w:pPr>
        <w:pStyle w:val="FactText1"/>
        <w:numPr>
          <w:ilvl w:val="0"/>
          <w:numId w:val="24"/>
        </w:numPr>
      </w:pPr>
      <w:r>
        <w:t xml:space="preserve">All health care providers, private and public, are informed of vaccine preventable communicable disease outbreaks within 48 hours. </w:t>
      </w:r>
    </w:p>
    <w:p w14:paraId="153B6542" w14:textId="77777777" w:rsidR="003C3157" w:rsidRPr="00966ABF" w:rsidRDefault="003C3157" w:rsidP="003C3157">
      <w:pPr>
        <w:pStyle w:val="FactText2"/>
        <w:rPr>
          <w:i/>
        </w:rPr>
      </w:pPr>
      <w:r w:rsidRPr="00966ABF">
        <w:rPr>
          <w:i/>
        </w:rPr>
        <w:t>Funding for local public health authorities will result in:</w:t>
      </w:r>
    </w:p>
    <w:p w14:paraId="22A85591" w14:textId="03CC0F28" w:rsidR="003C3157" w:rsidRDefault="003C3157" w:rsidP="00966ABF">
      <w:pPr>
        <w:pStyle w:val="FactText1"/>
        <w:numPr>
          <w:ilvl w:val="0"/>
          <w:numId w:val="24"/>
        </w:numPr>
      </w:pPr>
      <w:r>
        <w:t xml:space="preserve">Increased initiation of outbreak investigation within </w:t>
      </w:r>
      <w:proofErr w:type="gramStart"/>
      <w:r>
        <w:t>one day</w:t>
      </w:r>
      <w:proofErr w:type="gramEnd"/>
      <w:r>
        <w:t xml:space="preserve"> compliance, as well as other requirements for disease and outbreak investigation, particularly in counties currently lacking basic capacity.</w:t>
      </w:r>
      <w:r w:rsidR="009B6EC5">
        <w:rPr>
          <w:rStyle w:val="FootnoteReference"/>
        </w:rPr>
        <w:footnoteReference w:id="8"/>
      </w:r>
    </w:p>
    <w:p w14:paraId="2EE7652F" w14:textId="5505D6C2" w:rsidR="003C3157" w:rsidRDefault="003C3157" w:rsidP="00966ABF">
      <w:pPr>
        <w:pStyle w:val="FactText1"/>
        <w:numPr>
          <w:ilvl w:val="0"/>
          <w:numId w:val="24"/>
        </w:numPr>
      </w:pPr>
      <w:r>
        <w:t xml:space="preserve">Real time communication with businesses that are affected by an emerging event. </w:t>
      </w:r>
    </w:p>
    <w:p w14:paraId="7E2176D1" w14:textId="51F459A7" w:rsidR="003C3157" w:rsidRDefault="003C3157" w:rsidP="00966ABF">
      <w:pPr>
        <w:pStyle w:val="FactText1"/>
        <w:numPr>
          <w:ilvl w:val="0"/>
          <w:numId w:val="24"/>
        </w:numPr>
      </w:pPr>
      <w:r>
        <w:t>Training and subject matter expertise to long term care facilities, hospitals and other community actors to prevent and to response to communicable disease and environmental health events.</w:t>
      </w:r>
    </w:p>
    <w:p w14:paraId="64D81959" w14:textId="437BF861" w:rsidR="003C3157" w:rsidRDefault="003C3157" w:rsidP="00966ABF">
      <w:pPr>
        <w:pStyle w:val="FactText1"/>
        <w:numPr>
          <w:ilvl w:val="0"/>
          <w:numId w:val="24"/>
        </w:numPr>
      </w:pPr>
      <w:r>
        <w:t xml:space="preserve">Ability to draw quickly on resources from neighboring jurisdictions to respond quickly to local events across Oregon. </w:t>
      </w:r>
    </w:p>
    <w:p w14:paraId="391ED4E5" w14:textId="77777777" w:rsidR="003C3157" w:rsidRPr="00966ABF" w:rsidRDefault="003C3157" w:rsidP="003C3157">
      <w:pPr>
        <w:pStyle w:val="FactText2"/>
        <w:rPr>
          <w:i/>
        </w:rPr>
      </w:pPr>
      <w:r w:rsidRPr="00966ABF">
        <w:rPr>
          <w:i/>
        </w:rPr>
        <w:t xml:space="preserve">Funding to </w:t>
      </w:r>
      <w:proofErr w:type="gramStart"/>
      <w:r w:rsidRPr="00966ABF">
        <w:rPr>
          <w:i/>
        </w:rPr>
        <w:t>federally-recognized</w:t>
      </w:r>
      <w:proofErr w:type="gramEnd"/>
      <w:r w:rsidRPr="00966ABF">
        <w:rPr>
          <w:i/>
        </w:rPr>
        <w:t xml:space="preserve"> Tribes and funds for technical assistance will result in:</w:t>
      </w:r>
    </w:p>
    <w:p w14:paraId="6EDA207E" w14:textId="0990D5AB" w:rsidR="003C3157" w:rsidRDefault="003C3157" w:rsidP="00966ABF">
      <w:pPr>
        <w:pStyle w:val="FactText1"/>
        <w:numPr>
          <w:ilvl w:val="0"/>
          <w:numId w:val="24"/>
        </w:numPr>
      </w:pPr>
      <w:r>
        <w:t>Supporting Oregon Tribal Preparedness Coalition to develop, practice, and implement emergency preparedness and recovery plans in tribal areas and communities.</w:t>
      </w:r>
    </w:p>
    <w:p w14:paraId="411D70AB" w14:textId="02FB4787" w:rsidR="003C3157" w:rsidRDefault="003C3157" w:rsidP="00966ABF">
      <w:pPr>
        <w:pStyle w:val="FactText1"/>
        <w:numPr>
          <w:ilvl w:val="0"/>
          <w:numId w:val="24"/>
        </w:numPr>
      </w:pPr>
      <w:r>
        <w:t>Supporting Tribes to ensure drinking water is safe.</w:t>
      </w:r>
    </w:p>
    <w:p w14:paraId="2178235E" w14:textId="2A71F3E7" w:rsidR="003C3157" w:rsidRDefault="003C3157" w:rsidP="00966ABF">
      <w:pPr>
        <w:pStyle w:val="FactText1"/>
        <w:numPr>
          <w:ilvl w:val="0"/>
          <w:numId w:val="24"/>
        </w:numPr>
      </w:pPr>
      <w:r>
        <w:t xml:space="preserve">Opportunity for Tribal public health authorities to update how they deliver public health services in line with their own tribal need assessments. </w:t>
      </w:r>
    </w:p>
    <w:p w14:paraId="18F19F6C" w14:textId="43B25B09" w:rsidR="003C3157" w:rsidRDefault="003C3157" w:rsidP="00966ABF">
      <w:pPr>
        <w:pStyle w:val="FactText1"/>
        <w:numPr>
          <w:ilvl w:val="0"/>
          <w:numId w:val="24"/>
        </w:numPr>
      </w:pPr>
      <w:r>
        <w:t xml:space="preserve">Faster response times to communicable disease and environmental health threats. </w:t>
      </w:r>
    </w:p>
    <w:p w14:paraId="087DB6A6" w14:textId="41AE18BE" w:rsidR="003C3157" w:rsidRDefault="003C3157" w:rsidP="00966ABF">
      <w:pPr>
        <w:pStyle w:val="FactText1"/>
        <w:numPr>
          <w:ilvl w:val="0"/>
          <w:numId w:val="24"/>
        </w:numPr>
      </w:pPr>
      <w:r>
        <w:t>Real time communication with tribal health care providers, business and community members who are affected by an emerging event.</w:t>
      </w:r>
    </w:p>
    <w:p w14:paraId="4EC68210" w14:textId="77777777" w:rsidR="003C3157" w:rsidRPr="00966ABF" w:rsidRDefault="003C3157" w:rsidP="003C3157">
      <w:pPr>
        <w:pStyle w:val="FactText2"/>
        <w:rPr>
          <w:i/>
        </w:rPr>
      </w:pPr>
      <w:r w:rsidRPr="00966ABF">
        <w:rPr>
          <w:i/>
        </w:rPr>
        <w:t>Funding for statewide coordination, expertise, and leadership of communicable disease prevention and control and environmental health programs will result in:</w:t>
      </w:r>
    </w:p>
    <w:p w14:paraId="307875FB" w14:textId="57376535" w:rsidR="003C3157" w:rsidRDefault="003C3157" w:rsidP="00966ABF">
      <w:pPr>
        <w:pStyle w:val="FactText1"/>
        <w:numPr>
          <w:ilvl w:val="0"/>
          <w:numId w:val="24"/>
        </w:numPr>
      </w:pPr>
      <w:r>
        <w:t>Better data and interventions to increase immunization rates and plan for and respond to disease outbreaks and environmental health threats.</w:t>
      </w:r>
      <w:r w:rsidR="009B6EC5">
        <w:rPr>
          <w:rStyle w:val="FootnoteReference"/>
        </w:rPr>
        <w:footnoteReference w:id="9"/>
      </w:r>
    </w:p>
    <w:p w14:paraId="1852F3AE" w14:textId="3416BDB3" w:rsidR="003C3157" w:rsidRDefault="003C3157" w:rsidP="00966ABF">
      <w:pPr>
        <w:pStyle w:val="FactText1"/>
        <w:numPr>
          <w:ilvl w:val="0"/>
          <w:numId w:val="24"/>
        </w:numPr>
      </w:pPr>
      <w:r>
        <w:lastRenderedPageBreak/>
        <w:t xml:space="preserve">Stronger preparation for and recovery from communicable disease and environmental health threats. </w:t>
      </w:r>
    </w:p>
    <w:p w14:paraId="415B175A" w14:textId="0B8C1977" w:rsidR="003C3157" w:rsidRDefault="003C3157" w:rsidP="00966ABF">
      <w:pPr>
        <w:pStyle w:val="FactText1"/>
        <w:numPr>
          <w:ilvl w:val="0"/>
          <w:numId w:val="24"/>
        </w:numPr>
      </w:pPr>
      <w:r>
        <w:t xml:space="preserve">Culturally responsive communications within 24 hours for priority populations.  </w:t>
      </w:r>
    </w:p>
    <w:p w14:paraId="5E9BB9ED" w14:textId="176A5C16" w:rsidR="003C3157" w:rsidRDefault="003C3157" w:rsidP="00966ABF">
      <w:pPr>
        <w:pStyle w:val="FactText1"/>
        <w:numPr>
          <w:ilvl w:val="0"/>
          <w:numId w:val="24"/>
        </w:numPr>
      </w:pPr>
      <w:r>
        <w:t>Accountable and responsible use of public dollars, review of accountability-based payment models, and evaluation of the system changes and health outcomes driven by an investment in public health modernization.</w:t>
      </w:r>
    </w:p>
    <w:p w14:paraId="665B80BF" w14:textId="1FE8B4F6" w:rsidR="00C8678B" w:rsidRDefault="00C8678B" w:rsidP="00C8678B">
      <w:pPr>
        <w:pStyle w:val="FactText1"/>
      </w:pPr>
    </w:p>
    <w:p w14:paraId="3D730AA6" w14:textId="77777777" w:rsidR="00946811" w:rsidRDefault="00946811" w:rsidP="00C8678B">
      <w:pPr>
        <w:pStyle w:val="FactText1"/>
      </w:pPr>
    </w:p>
    <w:p w14:paraId="76AB4927" w14:textId="77777777" w:rsidR="00C8678B" w:rsidRDefault="00C8678B" w:rsidP="00C8678B">
      <w:pPr>
        <w:pStyle w:val="Heading2"/>
      </w:pPr>
      <w:r>
        <w:t>For more information</w:t>
      </w:r>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C8678B" w:rsidRPr="000F55FC" w14:paraId="3AD5B877" w14:textId="77777777" w:rsidTr="007531C9">
        <w:trPr>
          <w:trHeight w:val="180"/>
        </w:trPr>
        <w:tc>
          <w:tcPr>
            <w:tcW w:w="5352" w:type="dxa"/>
          </w:tcPr>
          <w:p w14:paraId="242250A2" w14:textId="77777777" w:rsidR="00C8678B" w:rsidRDefault="00C8678B" w:rsidP="007531C9">
            <w:pPr>
              <w:pStyle w:val="FactText1"/>
              <w:rPr>
                <w:b/>
              </w:rPr>
            </w:pPr>
            <w:r>
              <w:rPr>
                <w:b/>
              </w:rPr>
              <w:t>Oregon Health Authority</w:t>
            </w:r>
          </w:p>
          <w:p w14:paraId="537C2D3E" w14:textId="77777777" w:rsidR="00C8678B" w:rsidRDefault="00C8678B" w:rsidP="007531C9">
            <w:pPr>
              <w:pStyle w:val="FactText1"/>
              <w:rPr>
                <w:b/>
              </w:rPr>
            </w:pPr>
            <w:r>
              <w:rPr>
                <w:b/>
              </w:rPr>
              <w:t>Public Health Division</w:t>
            </w:r>
          </w:p>
          <w:p w14:paraId="5DE08DEC" w14:textId="77777777" w:rsidR="00C8678B" w:rsidRDefault="00012850" w:rsidP="007531C9">
            <w:pPr>
              <w:pStyle w:val="FactText1"/>
            </w:pPr>
            <w:hyperlink r:id="rId10" w:history="1">
              <w:r w:rsidR="00C8678B" w:rsidRPr="00B94446">
                <w:rPr>
                  <w:rStyle w:val="Hyperlink"/>
                </w:rPr>
                <w:t>www.oregon.gov/oha/PH/</w:t>
              </w:r>
            </w:hyperlink>
          </w:p>
          <w:p w14:paraId="0AB16DE1" w14:textId="77777777" w:rsidR="00C8678B" w:rsidRPr="00587447" w:rsidRDefault="00C8678B" w:rsidP="007531C9">
            <w:pPr>
              <w:pStyle w:val="FactText1"/>
            </w:pPr>
          </w:p>
        </w:tc>
        <w:tc>
          <w:tcPr>
            <w:tcW w:w="5352" w:type="dxa"/>
          </w:tcPr>
          <w:p w14:paraId="53D10DBB" w14:textId="77777777" w:rsidR="00C8678B" w:rsidRPr="000F55FC" w:rsidRDefault="00C8678B" w:rsidP="007531C9">
            <w:pPr>
              <w:pStyle w:val="FactText1"/>
              <w:rPr>
                <w:b/>
              </w:rPr>
            </w:pPr>
            <w:r w:rsidRPr="000F55FC">
              <w:rPr>
                <w:b/>
              </w:rPr>
              <w:t>Program contact</w:t>
            </w:r>
          </w:p>
          <w:p w14:paraId="1608933B" w14:textId="77777777" w:rsidR="00C8678B" w:rsidRPr="000F55FC" w:rsidRDefault="00C8678B" w:rsidP="007531C9">
            <w:pPr>
              <w:pStyle w:val="FactText1"/>
            </w:pPr>
            <w:r>
              <w:t>Lillian Shirley, State Public Health Director</w:t>
            </w:r>
          </w:p>
          <w:p w14:paraId="6204FF2B" w14:textId="77777777" w:rsidR="00C8678B" w:rsidRPr="000F55FC" w:rsidRDefault="00C8678B" w:rsidP="007531C9">
            <w:pPr>
              <w:pStyle w:val="FactText1"/>
            </w:pPr>
            <w:r>
              <w:t>971-673-1229</w:t>
            </w:r>
          </w:p>
          <w:p w14:paraId="74BE126C" w14:textId="77777777" w:rsidR="00C8678B" w:rsidRPr="000F55FC" w:rsidRDefault="00C8678B" w:rsidP="007531C9">
            <w:pPr>
              <w:pStyle w:val="FactText1"/>
            </w:pPr>
            <w:proofErr w:type="gramStart"/>
            <w:r>
              <w:rPr>
                <w:rStyle w:val="Hyperlink"/>
              </w:rPr>
              <w:t>lillian.shirley</w:t>
            </w:r>
            <w:r w:rsidRPr="00747DED">
              <w:rPr>
                <w:rStyle w:val="Hyperlink"/>
              </w:rPr>
              <w:t>@dhsoha.state.or.us</w:t>
            </w:r>
            <w:proofErr w:type="gramEnd"/>
          </w:p>
        </w:tc>
      </w:tr>
    </w:tbl>
    <w:p w14:paraId="34127131" w14:textId="77777777" w:rsidR="00C8678B" w:rsidRPr="004E1244" w:rsidRDefault="00C8678B" w:rsidP="00C8678B">
      <w:pPr>
        <w:pStyle w:val="FactText1"/>
        <w:rPr>
          <w:sz w:val="8"/>
        </w:rPr>
      </w:pPr>
    </w:p>
    <w:p w14:paraId="46A302B2" w14:textId="428D34F9" w:rsidR="00C8678B" w:rsidRDefault="00C8678B">
      <w:pPr>
        <w:rPr>
          <w:rFonts w:ascii="Arial" w:hAnsi="Arial"/>
          <w:sz w:val="24"/>
        </w:rPr>
      </w:pPr>
      <w:r>
        <w:br w:type="page"/>
      </w:r>
    </w:p>
    <w:p w14:paraId="3E361BEF" w14:textId="6733E2A1" w:rsidR="00C8678B" w:rsidRDefault="00946811" w:rsidP="00C8678B">
      <w:pPr>
        <w:pStyle w:val="FactText1"/>
      </w:pPr>
      <w:r>
        <w:rPr>
          <w:rFonts w:ascii="Calibri" w:hAnsi="Calibri" w:cs="Calibri"/>
          <w:b/>
        </w:rPr>
        <w:lastRenderedPageBreak/>
        <w:t>A</w:t>
      </w:r>
      <w:r w:rsidRPr="00946811">
        <w:rPr>
          <w:rFonts w:ascii="Calibri" w:hAnsi="Calibri" w:cs="Calibri"/>
          <w:b/>
        </w:rPr>
        <w:t>ppendix: OHA staff reference sheet for OHA Positions and Contra</w:t>
      </w:r>
      <w:r>
        <w:rPr>
          <w:rFonts w:ascii="Calibri" w:hAnsi="Calibri" w:cs="Calibri"/>
          <w:b/>
        </w:rPr>
        <w:t>cts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1"/>
        <w:gridCol w:w="1435"/>
      </w:tblGrid>
      <w:tr w:rsidR="00C8678B" w:rsidRPr="00C8678B" w14:paraId="3840BA03" w14:textId="77777777" w:rsidTr="00946811">
        <w:tc>
          <w:tcPr>
            <w:tcW w:w="4460" w:type="pct"/>
            <w:shd w:val="clear" w:color="auto" w:fill="D9D9D9"/>
          </w:tcPr>
          <w:p w14:paraId="35594D5E" w14:textId="133A4721" w:rsidR="00C8678B" w:rsidRPr="00C8678B" w:rsidRDefault="00C8678B" w:rsidP="00C8678B">
            <w:pPr>
              <w:rPr>
                <w:rFonts w:cs="Calibri"/>
                <w:b/>
                <w:sz w:val="24"/>
              </w:rPr>
            </w:pPr>
            <w:r w:rsidRPr="00C8678B">
              <w:rPr>
                <w:rFonts w:cs="Calibri"/>
                <w:b/>
                <w:sz w:val="24"/>
              </w:rPr>
              <w:t>Statewide coordination, expertise and leadership of communicable disease control and environmental health efforts</w:t>
            </w:r>
          </w:p>
        </w:tc>
        <w:tc>
          <w:tcPr>
            <w:tcW w:w="540" w:type="pct"/>
            <w:shd w:val="clear" w:color="auto" w:fill="D9D9D9"/>
          </w:tcPr>
          <w:p w14:paraId="3DF9EE88" w14:textId="77777777" w:rsidR="00C8678B" w:rsidRPr="00C8678B" w:rsidRDefault="00C8678B" w:rsidP="00C8678B">
            <w:pPr>
              <w:jc w:val="right"/>
              <w:rPr>
                <w:rFonts w:cs="Calibri"/>
                <w:b/>
                <w:sz w:val="24"/>
              </w:rPr>
            </w:pPr>
            <w:r w:rsidRPr="00C8678B">
              <w:rPr>
                <w:rFonts w:cs="Calibri"/>
                <w:b/>
                <w:sz w:val="24"/>
              </w:rPr>
              <w:t>$1,900,000</w:t>
            </w:r>
          </w:p>
        </w:tc>
      </w:tr>
      <w:tr w:rsidR="00C8678B" w:rsidRPr="00C8678B" w14:paraId="06B7918F" w14:textId="77777777" w:rsidTr="00946811">
        <w:tc>
          <w:tcPr>
            <w:tcW w:w="4460" w:type="pct"/>
            <w:shd w:val="clear" w:color="auto" w:fill="FFFFFF"/>
          </w:tcPr>
          <w:p w14:paraId="262CE06E" w14:textId="77777777" w:rsidR="00C8678B" w:rsidRPr="00C8678B" w:rsidRDefault="00C8678B" w:rsidP="00C8678B">
            <w:pPr>
              <w:rPr>
                <w:rFonts w:cs="Calibri"/>
                <w:sz w:val="24"/>
              </w:rPr>
            </w:pPr>
            <w:r w:rsidRPr="00C8678B">
              <w:rPr>
                <w:rFonts w:cs="Calibri"/>
                <w:sz w:val="24"/>
              </w:rPr>
              <w:t>Health Equity Coordinator – Operations and Policy Analyst 3</w:t>
            </w:r>
          </w:p>
        </w:tc>
        <w:tc>
          <w:tcPr>
            <w:tcW w:w="540" w:type="pct"/>
            <w:shd w:val="clear" w:color="auto" w:fill="FFFFFF"/>
          </w:tcPr>
          <w:p w14:paraId="22AA9F8C" w14:textId="77777777" w:rsidR="00C8678B" w:rsidRPr="00C8678B" w:rsidRDefault="00C8678B" w:rsidP="00C8678B">
            <w:pPr>
              <w:jc w:val="right"/>
              <w:rPr>
                <w:rFonts w:cs="Calibri"/>
                <w:sz w:val="24"/>
              </w:rPr>
            </w:pPr>
          </w:p>
        </w:tc>
      </w:tr>
      <w:tr w:rsidR="00C8678B" w:rsidRPr="00C8678B" w14:paraId="445E5978" w14:textId="77777777" w:rsidTr="00946811">
        <w:tc>
          <w:tcPr>
            <w:tcW w:w="4460" w:type="pct"/>
            <w:shd w:val="clear" w:color="auto" w:fill="FFFFFF"/>
          </w:tcPr>
          <w:p w14:paraId="4B57CA4E" w14:textId="77777777" w:rsidR="00C8678B" w:rsidRPr="00C8678B" w:rsidRDefault="00C8678B" w:rsidP="00C8678B">
            <w:pPr>
              <w:rPr>
                <w:rFonts w:cs="Calibri"/>
                <w:i/>
                <w:sz w:val="24"/>
              </w:rPr>
            </w:pPr>
            <w:r w:rsidRPr="00C8678B">
              <w:rPr>
                <w:rFonts w:cs="Calibri"/>
                <w:i/>
                <w:sz w:val="24"/>
              </w:rPr>
              <w:t>Coordinates PHD-wide health equity initiatives; provides training and technical assistance to LPHAs.</w:t>
            </w:r>
          </w:p>
        </w:tc>
        <w:tc>
          <w:tcPr>
            <w:tcW w:w="540" w:type="pct"/>
            <w:shd w:val="clear" w:color="auto" w:fill="FFFFFF"/>
          </w:tcPr>
          <w:p w14:paraId="01F8E463" w14:textId="77777777" w:rsidR="00C8678B" w:rsidRPr="00C8678B" w:rsidRDefault="00C8678B" w:rsidP="00C8678B">
            <w:pPr>
              <w:jc w:val="right"/>
              <w:rPr>
                <w:rFonts w:cs="Calibri"/>
                <w:i/>
                <w:sz w:val="24"/>
              </w:rPr>
            </w:pPr>
          </w:p>
        </w:tc>
      </w:tr>
      <w:tr w:rsidR="00C8678B" w:rsidRPr="00C8678B" w14:paraId="09CE3470" w14:textId="77777777" w:rsidTr="00946811">
        <w:tc>
          <w:tcPr>
            <w:tcW w:w="4460" w:type="pct"/>
            <w:shd w:val="clear" w:color="auto" w:fill="FFFFFF"/>
          </w:tcPr>
          <w:p w14:paraId="729B3094" w14:textId="77777777" w:rsidR="00C8678B" w:rsidRPr="00C8678B" w:rsidRDefault="00C8678B" w:rsidP="00C8678B">
            <w:pPr>
              <w:rPr>
                <w:rFonts w:cs="Calibri"/>
                <w:sz w:val="24"/>
              </w:rPr>
            </w:pPr>
            <w:r w:rsidRPr="00C8678B">
              <w:rPr>
                <w:rFonts w:cs="Calibri"/>
                <w:sz w:val="24"/>
              </w:rPr>
              <w:t>Senior Toxicologist - Natural Resource Specialist 4 (0.45 funding only)</w:t>
            </w:r>
          </w:p>
        </w:tc>
        <w:tc>
          <w:tcPr>
            <w:tcW w:w="540" w:type="pct"/>
            <w:shd w:val="clear" w:color="auto" w:fill="FFFFFF"/>
          </w:tcPr>
          <w:p w14:paraId="46A38265" w14:textId="77777777" w:rsidR="00C8678B" w:rsidRPr="00C8678B" w:rsidRDefault="00C8678B" w:rsidP="00C8678B">
            <w:pPr>
              <w:jc w:val="right"/>
              <w:rPr>
                <w:rFonts w:cs="Calibri"/>
                <w:sz w:val="24"/>
              </w:rPr>
            </w:pPr>
          </w:p>
        </w:tc>
      </w:tr>
      <w:tr w:rsidR="00C8678B" w:rsidRPr="00C8678B" w14:paraId="178DC695" w14:textId="77777777" w:rsidTr="00946811">
        <w:tc>
          <w:tcPr>
            <w:tcW w:w="4460" w:type="pct"/>
            <w:shd w:val="clear" w:color="auto" w:fill="FFFFFF"/>
          </w:tcPr>
          <w:p w14:paraId="46BE54B3" w14:textId="77777777" w:rsidR="00C8678B" w:rsidRPr="00C8678B" w:rsidRDefault="00C8678B" w:rsidP="00C8678B">
            <w:pPr>
              <w:rPr>
                <w:rFonts w:cs="Calibri"/>
                <w:i/>
                <w:sz w:val="24"/>
              </w:rPr>
            </w:pPr>
            <w:r w:rsidRPr="00C8678B">
              <w:rPr>
                <w:rFonts w:cs="Calibri"/>
                <w:i/>
                <w:sz w:val="24"/>
              </w:rPr>
              <w:t>Lead toxicologist for all toxics risk assessments; risk communication to the public, agencies, legislators; oversight of other toxicologists.</w:t>
            </w:r>
          </w:p>
        </w:tc>
        <w:tc>
          <w:tcPr>
            <w:tcW w:w="540" w:type="pct"/>
            <w:shd w:val="clear" w:color="auto" w:fill="FFFFFF"/>
          </w:tcPr>
          <w:p w14:paraId="0EC430B8" w14:textId="77777777" w:rsidR="00C8678B" w:rsidRPr="00C8678B" w:rsidRDefault="00C8678B" w:rsidP="00C8678B">
            <w:pPr>
              <w:jc w:val="right"/>
              <w:rPr>
                <w:rFonts w:cs="Calibri"/>
                <w:sz w:val="24"/>
              </w:rPr>
            </w:pPr>
          </w:p>
        </w:tc>
      </w:tr>
      <w:tr w:rsidR="00C8678B" w:rsidRPr="00C8678B" w14:paraId="6BA7D733" w14:textId="77777777" w:rsidTr="00946811">
        <w:tc>
          <w:tcPr>
            <w:tcW w:w="4460" w:type="pct"/>
            <w:shd w:val="clear" w:color="auto" w:fill="FFFFFF"/>
          </w:tcPr>
          <w:p w14:paraId="3507FD66" w14:textId="77777777" w:rsidR="00C8678B" w:rsidRPr="00C8678B" w:rsidRDefault="00C8678B" w:rsidP="00C8678B">
            <w:pPr>
              <w:rPr>
                <w:rFonts w:cs="Calibri"/>
                <w:sz w:val="24"/>
              </w:rPr>
            </w:pPr>
            <w:r w:rsidRPr="00C8678B">
              <w:rPr>
                <w:rFonts w:cs="Calibri"/>
                <w:sz w:val="24"/>
              </w:rPr>
              <w:t>Healthy Homes, Schools, and Waters Lead - Natural Resource Specialist 4 (funding only)</w:t>
            </w:r>
          </w:p>
        </w:tc>
        <w:tc>
          <w:tcPr>
            <w:tcW w:w="540" w:type="pct"/>
            <w:shd w:val="clear" w:color="auto" w:fill="FFFFFF"/>
          </w:tcPr>
          <w:p w14:paraId="0E90FF89" w14:textId="77777777" w:rsidR="00C8678B" w:rsidRPr="00C8678B" w:rsidRDefault="00C8678B" w:rsidP="00C8678B">
            <w:pPr>
              <w:jc w:val="right"/>
              <w:rPr>
                <w:rFonts w:cs="Calibri"/>
                <w:sz w:val="24"/>
              </w:rPr>
            </w:pPr>
          </w:p>
        </w:tc>
      </w:tr>
      <w:tr w:rsidR="00C8678B" w:rsidRPr="00C8678B" w14:paraId="01FD57C6" w14:textId="77777777" w:rsidTr="00946811">
        <w:tc>
          <w:tcPr>
            <w:tcW w:w="4460" w:type="pct"/>
            <w:shd w:val="clear" w:color="auto" w:fill="FFFFFF"/>
          </w:tcPr>
          <w:p w14:paraId="20F7B4B8" w14:textId="77777777" w:rsidR="00C8678B" w:rsidRPr="00C8678B" w:rsidRDefault="00C8678B" w:rsidP="00C8678B">
            <w:pPr>
              <w:rPr>
                <w:rFonts w:cs="Calibri"/>
                <w:i/>
                <w:sz w:val="24"/>
              </w:rPr>
            </w:pPr>
            <w:r w:rsidRPr="00C8678B">
              <w:rPr>
                <w:rFonts w:cs="Calibri"/>
                <w:i/>
                <w:sz w:val="24"/>
              </w:rPr>
              <w:t>0.5 lead for recreational waters technical and policy analysis and stakeholder engagement for health advisories and 0.5 policy analysis and program development related to support statewide and LPHA interventions to reduce toxic exposures in homes and schools.</w:t>
            </w:r>
          </w:p>
        </w:tc>
        <w:tc>
          <w:tcPr>
            <w:tcW w:w="540" w:type="pct"/>
            <w:shd w:val="clear" w:color="auto" w:fill="FFFFFF"/>
          </w:tcPr>
          <w:p w14:paraId="59DCAD9D" w14:textId="77777777" w:rsidR="00C8678B" w:rsidRPr="00C8678B" w:rsidRDefault="00C8678B" w:rsidP="00C8678B">
            <w:pPr>
              <w:jc w:val="right"/>
              <w:rPr>
                <w:rFonts w:cs="Calibri"/>
                <w:sz w:val="24"/>
              </w:rPr>
            </w:pPr>
          </w:p>
        </w:tc>
      </w:tr>
      <w:tr w:rsidR="00C8678B" w:rsidRPr="00C8678B" w14:paraId="0CE774F6" w14:textId="77777777" w:rsidTr="00946811">
        <w:tc>
          <w:tcPr>
            <w:tcW w:w="4460" w:type="pct"/>
            <w:shd w:val="clear" w:color="auto" w:fill="FFFFFF"/>
          </w:tcPr>
          <w:p w14:paraId="6F1D0471" w14:textId="77777777" w:rsidR="00C8678B" w:rsidRPr="00C8678B" w:rsidRDefault="00C8678B" w:rsidP="00C8678B">
            <w:pPr>
              <w:rPr>
                <w:rFonts w:cs="Calibri"/>
                <w:sz w:val="24"/>
              </w:rPr>
            </w:pPr>
            <w:r w:rsidRPr="00C8678B">
              <w:rPr>
                <w:rFonts w:cs="Calibri"/>
                <w:sz w:val="24"/>
              </w:rPr>
              <w:t>Environmental Public Health Section Manager – Principal Executive Manager F (0.50 funding only)</w:t>
            </w:r>
          </w:p>
        </w:tc>
        <w:tc>
          <w:tcPr>
            <w:tcW w:w="540" w:type="pct"/>
            <w:shd w:val="clear" w:color="auto" w:fill="FFFFFF"/>
          </w:tcPr>
          <w:p w14:paraId="47406820" w14:textId="77777777" w:rsidR="00C8678B" w:rsidRPr="00C8678B" w:rsidRDefault="00C8678B" w:rsidP="00C8678B">
            <w:pPr>
              <w:jc w:val="right"/>
              <w:rPr>
                <w:rFonts w:cs="Calibri"/>
                <w:sz w:val="24"/>
              </w:rPr>
            </w:pPr>
          </w:p>
        </w:tc>
      </w:tr>
      <w:tr w:rsidR="00C8678B" w:rsidRPr="00C8678B" w14:paraId="7B1BAB33" w14:textId="77777777" w:rsidTr="00946811">
        <w:tc>
          <w:tcPr>
            <w:tcW w:w="4460" w:type="pct"/>
            <w:shd w:val="clear" w:color="auto" w:fill="FFFFFF"/>
          </w:tcPr>
          <w:p w14:paraId="267EB2F9" w14:textId="77777777" w:rsidR="00C8678B" w:rsidRPr="00C8678B" w:rsidRDefault="00C8678B" w:rsidP="00C8678B">
            <w:pPr>
              <w:rPr>
                <w:rFonts w:cs="Calibri"/>
                <w:i/>
                <w:sz w:val="24"/>
              </w:rPr>
            </w:pPr>
            <w:r w:rsidRPr="00C8678B">
              <w:rPr>
                <w:rFonts w:cs="Calibri"/>
                <w:i/>
                <w:sz w:val="24"/>
              </w:rPr>
              <w:t>Oversees OHA Environmental Public Health Section responsible for statewide environmental health assessment, surveillance, and regulatory programs.</w:t>
            </w:r>
          </w:p>
        </w:tc>
        <w:tc>
          <w:tcPr>
            <w:tcW w:w="540" w:type="pct"/>
            <w:shd w:val="clear" w:color="auto" w:fill="FFFFFF"/>
          </w:tcPr>
          <w:p w14:paraId="65A4B75F" w14:textId="77777777" w:rsidR="00C8678B" w:rsidRPr="00C8678B" w:rsidRDefault="00C8678B" w:rsidP="00C8678B">
            <w:pPr>
              <w:jc w:val="right"/>
              <w:rPr>
                <w:rFonts w:cs="Calibri"/>
                <w:sz w:val="24"/>
              </w:rPr>
            </w:pPr>
          </w:p>
        </w:tc>
      </w:tr>
      <w:tr w:rsidR="00C8678B" w:rsidRPr="00C8678B" w14:paraId="3E4E5842" w14:textId="77777777" w:rsidTr="00946811">
        <w:tc>
          <w:tcPr>
            <w:tcW w:w="4460" w:type="pct"/>
            <w:shd w:val="clear" w:color="auto" w:fill="FFFFFF"/>
          </w:tcPr>
          <w:p w14:paraId="6F83AEBF" w14:textId="77777777" w:rsidR="00C8678B" w:rsidRPr="00C8678B" w:rsidRDefault="00C8678B" w:rsidP="00C8678B">
            <w:pPr>
              <w:rPr>
                <w:rFonts w:cs="Calibri"/>
                <w:sz w:val="24"/>
              </w:rPr>
            </w:pPr>
            <w:r w:rsidRPr="00C8678B">
              <w:rPr>
                <w:rFonts w:cs="Calibri"/>
                <w:sz w:val="24"/>
              </w:rPr>
              <w:t>Environmental Public Health Assessment Program Manager – Principal Executive Manager D (0.75 funding only)</w:t>
            </w:r>
          </w:p>
        </w:tc>
        <w:tc>
          <w:tcPr>
            <w:tcW w:w="540" w:type="pct"/>
            <w:shd w:val="clear" w:color="auto" w:fill="FFFFFF"/>
          </w:tcPr>
          <w:p w14:paraId="29D3D2E5" w14:textId="77777777" w:rsidR="00C8678B" w:rsidRPr="00C8678B" w:rsidRDefault="00C8678B" w:rsidP="00C8678B">
            <w:pPr>
              <w:jc w:val="right"/>
              <w:rPr>
                <w:rFonts w:cs="Calibri"/>
                <w:sz w:val="24"/>
              </w:rPr>
            </w:pPr>
          </w:p>
        </w:tc>
      </w:tr>
      <w:tr w:rsidR="00C8678B" w:rsidRPr="00C8678B" w14:paraId="3C4376E5" w14:textId="77777777" w:rsidTr="00946811">
        <w:tc>
          <w:tcPr>
            <w:tcW w:w="4460" w:type="pct"/>
            <w:shd w:val="clear" w:color="auto" w:fill="FFFFFF"/>
          </w:tcPr>
          <w:p w14:paraId="5E9CB73D" w14:textId="77777777" w:rsidR="00C8678B" w:rsidRPr="00C8678B" w:rsidRDefault="00C8678B" w:rsidP="00C8678B">
            <w:pPr>
              <w:rPr>
                <w:rFonts w:cs="Calibri"/>
                <w:i/>
                <w:sz w:val="24"/>
              </w:rPr>
            </w:pPr>
            <w:r w:rsidRPr="00C8678B">
              <w:rPr>
                <w:rFonts w:cs="Calibri"/>
                <w:i/>
                <w:sz w:val="24"/>
              </w:rPr>
              <w:t>Oversees healthy air and water, climate and health, and land use and health programs.</w:t>
            </w:r>
          </w:p>
        </w:tc>
        <w:tc>
          <w:tcPr>
            <w:tcW w:w="540" w:type="pct"/>
            <w:shd w:val="clear" w:color="auto" w:fill="FFFFFF"/>
          </w:tcPr>
          <w:p w14:paraId="3D2E8224" w14:textId="77777777" w:rsidR="00C8678B" w:rsidRPr="00C8678B" w:rsidRDefault="00C8678B" w:rsidP="00C8678B">
            <w:pPr>
              <w:jc w:val="right"/>
              <w:rPr>
                <w:rFonts w:cs="Calibri"/>
                <w:sz w:val="24"/>
              </w:rPr>
            </w:pPr>
          </w:p>
        </w:tc>
      </w:tr>
      <w:tr w:rsidR="00C8678B" w:rsidRPr="00C8678B" w14:paraId="0E9ABAB9" w14:textId="77777777" w:rsidTr="00946811">
        <w:tc>
          <w:tcPr>
            <w:tcW w:w="4460" w:type="pct"/>
            <w:shd w:val="clear" w:color="auto" w:fill="FFFFFF"/>
          </w:tcPr>
          <w:p w14:paraId="0335048A" w14:textId="77777777" w:rsidR="00C8678B" w:rsidRPr="00C8678B" w:rsidRDefault="00C8678B" w:rsidP="00C8678B">
            <w:pPr>
              <w:rPr>
                <w:rFonts w:cs="Calibri"/>
                <w:i/>
                <w:sz w:val="24"/>
              </w:rPr>
            </w:pPr>
            <w:r w:rsidRPr="00C8678B">
              <w:rPr>
                <w:rFonts w:cs="Calibri"/>
                <w:sz w:val="24"/>
              </w:rPr>
              <w:t>Acute &amp; Communicable Exposure Prevention Lead – Operations and Policy Analyst 3</w:t>
            </w:r>
          </w:p>
        </w:tc>
        <w:tc>
          <w:tcPr>
            <w:tcW w:w="540" w:type="pct"/>
            <w:shd w:val="clear" w:color="auto" w:fill="FFFFFF"/>
          </w:tcPr>
          <w:p w14:paraId="23FBD157" w14:textId="77777777" w:rsidR="00C8678B" w:rsidRPr="00C8678B" w:rsidRDefault="00C8678B" w:rsidP="00C8678B">
            <w:pPr>
              <w:jc w:val="right"/>
              <w:rPr>
                <w:rFonts w:cs="Calibri"/>
                <w:sz w:val="24"/>
              </w:rPr>
            </w:pPr>
          </w:p>
        </w:tc>
      </w:tr>
      <w:tr w:rsidR="00C8678B" w:rsidRPr="00C8678B" w14:paraId="3A007F75" w14:textId="77777777" w:rsidTr="00946811">
        <w:tc>
          <w:tcPr>
            <w:tcW w:w="4460" w:type="pct"/>
            <w:shd w:val="clear" w:color="auto" w:fill="FFFFFF"/>
          </w:tcPr>
          <w:p w14:paraId="60F9F397" w14:textId="77777777" w:rsidR="00C8678B" w:rsidRPr="00C8678B" w:rsidRDefault="00C8678B" w:rsidP="00C8678B">
            <w:pPr>
              <w:rPr>
                <w:rFonts w:cs="Calibri"/>
                <w:i/>
                <w:sz w:val="24"/>
              </w:rPr>
            </w:pPr>
            <w:r w:rsidRPr="00C8678B">
              <w:rPr>
                <w:rFonts w:cs="Calibri"/>
                <w:i/>
                <w:sz w:val="24"/>
              </w:rPr>
              <w:t xml:space="preserve">Conducts policy analysis, program development and evaluation, and develops partnerships to support statewide and LPHA interventions to reduce acute and communicable disease outbreaks. These include interventions related to vector borne diseases, foodborne outbreaks, </w:t>
            </w:r>
            <w:proofErr w:type="spellStart"/>
            <w:r w:rsidRPr="00C8678B">
              <w:rPr>
                <w:rFonts w:cs="Calibri"/>
                <w:i/>
                <w:sz w:val="24"/>
              </w:rPr>
              <w:t>biotoxins</w:t>
            </w:r>
            <w:proofErr w:type="spellEnd"/>
            <w:r w:rsidRPr="00C8678B">
              <w:rPr>
                <w:rFonts w:cs="Calibri"/>
                <w:i/>
                <w:sz w:val="24"/>
              </w:rPr>
              <w:t xml:space="preserve"> and risks intensified by climate change. Focus will be on populations at disproportionate risk (low income, communities of color).</w:t>
            </w:r>
          </w:p>
        </w:tc>
        <w:tc>
          <w:tcPr>
            <w:tcW w:w="540" w:type="pct"/>
            <w:shd w:val="clear" w:color="auto" w:fill="FFFFFF"/>
          </w:tcPr>
          <w:p w14:paraId="7002E462" w14:textId="77777777" w:rsidR="00C8678B" w:rsidRPr="00C8678B" w:rsidRDefault="00C8678B" w:rsidP="00C8678B">
            <w:pPr>
              <w:jc w:val="right"/>
              <w:rPr>
                <w:rFonts w:cs="Calibri"/>
                <w:sz w:val="24"/>
              </w:rPr>
            </w:pPr>
          </w:p>
        </w:tc>
      </w:tr>
      <w:tr w:rsidR="00C8678B" w:rsidRPr="00C8678B" w14:paraId="58EEFCC1" w14:textId="77777777" w:rsidTr="00946811">
        <w:tc>
          <w:tcPr>
            <w:tcW w:w="4460" w:type="pct"/>
            <w:shd w:val="clear" w:color="auto" w:fill="FFFFFF"/>
          </w:tcPr>
          <w:p w14:paraId="40268F15" w14:textId="77777777" w:rsidR="00C8678B" w:rsidRPr="00C8678B" w:rsidRDefault="00C8678B" w:rsidP="00C8678B">
            <w:pPr>
              <w:rPr>
                <w:rFonts w:cs="Calibri"/>
                <w:sz w:val="24"/>
              </w:rPr>
            </w:pPr>
            <w:bookmarkStart w:id="2" w:name="_Hlk525811702"/>
            <w:r w:rsidRPr="00C8678B">
              <w:rPr>
                <w:rFonts w:cs="Calibri"/>
                <w:sz w:val="24"/>
              </w:rPr>
              <w:t>Disease surveillance and intervention epidemiologist – Epidemiologist 3</w:t>
            </w:r>
          </w:p>
        </w:tc>
        <w:tc>
          <w:tcPr>
            <w:tcW w:w="526" w:type="pct"/>
            <w:shd w:val="clear" w:color="auto" w:fill="FFFFFF"/>
          </w:tcPr>
          <w:p w14:paraId="224C01D5" w14:textId="77777777" w:rsidR="00C8678B" w:rsidRPr="00C8678B" w:rsidRDefault="00C8678B" w:rsidP="00C8678B">
            <w:pPr>
              <w:jc w:val="right"/>
              <w:rPr>
                <w:rFonts w:cs="Calibri"/>
                <w:sz w:val="24"/>
              </w:rPr>
            </w:pPr>
          </w:p>
        </w:tc>
      </w:tr>
      <w:tr w:rsidR="00C8678B" w:rsidRPr="00C8678B" w14:paraId="48B0014F" w14:textId="77777777" w:rsidTr="00946811">
        <w:tc>
          <w:tcPr>
            <w:tcW w:w="4460" w:type="pct"/>
            <w:shd w:val="clear" w:color="auto" w:fill="FFFFFF"/>
          </w:tcPr>
          <w:p w14:paraId="636350AD" w14:textId="77777777" w:rsidR="00C8678B" w:rsidRPr="00C8678B" w:rsidRDefault="00C8678B" w:rsidP="00C8678B">
            <w:pPr>
              <w:rPr>
                <w:rFonts w:cs="Calibri"/>
                <w:i/>
                <w:sz w:val="24"/>
              </w:rPr>
            </w:pPr>
            <w:r w:rsidRPr="00C8678B">
              <w:rPr>
                <w:rFonts w:cs="Calibri"/>
                <w:i/>
                <w:sz w:val="24"/>
              </w:rPr>
              <w:t>Leads investigation and control of reportable disease outbreaks and provides surge response in emerging PH issues.</w:t>
            </w:r>
          </w:p>
        </w:tc>
        <w:tc>
          <w:tcPr>
            <w:tcW w:w="526" w:type="pct"/>
            <w:shd w:val="clear" w:color="auto" w:fill="FFFFFF"/>
          </w:tcPr>
          <w:p w14:paraId="741AF182" w14:textId="77777777" w:rsidR="00C8678B" w:rsidRPr="00C8678B" w:rsidRDefault="00C8678B" w:rsidP="00C8678B">
            <w:pPr>
              <w:jc w:val="right"/>
              <w:rPr>
                <w:rFonts w:cs="Calibri"/>
                <w:i/>
                <w:sz w:val="24"/>
              </w:rPr>
            </w:pPr>
          </w:p>
        </w:tc>
      </w:tr>
      <w:tr w:rsidR="00C8678B" w:rsidRPr="00C8678B" w14:paraId="298B927D" w14:textId="77777777" w:rsidTr="00946811">
        <w:tc>
          <w:tcPr>
            <w:tcW w:w="4460" w:type="pct"/>
            <w:shd w:val="clear" w:color="auto" w:fill="FFFFFF"/>
          </w:tcPr>
          <w:p w14:paraId="232F21EC" w14:textId="77777777" w:rsidR="00C8678B" w:rsidRPr="00C8678B" w:rsidRDefault="00C8678B" w:rsidP="00C8678B">
            <w:pPr>
              <w:rPr>
                <w:rFonts w:cs="Calibri"/>
                <w:sz w:val="24"/>
              </w:rPr>
            </w:pPr>
            <w:r w:rsidRPr="00C8678B">
              <w:rPr>
                <w:rFonts w:cs="Calibri"/>
                <w:sz w:val="24"/>
              </w:rPr>
              <w:t>Staff development and training</w:t>
            </w:r>
          </w:p>
        </w:tc>
        <w:tc>
          <w:tcPr>
            <w:tcW w:w="526" w:type="pct"/>
            <w:shd w:val="clear" w:color="auto" w:fill="FFFFFF"/>
          </w:tcPr>
          <w:p w14:paraId="623515A0" w14:textId="77777777" w:rsidR="00C8678B" w:rsidRPr="00C8678B" w:rsidRDefault="00C8678B" w:rsidP="00C8678B">
            <w:pPr>
              <w:jc w:val="right"/>
              <w:rPr>
                <w:rFonts w:cs="Calibri"/>
                <w:sz w:val="24"/>
              </w:rPr>
            </w:pPr>
          </w:p>
        </w:tc>
      </w:tr>
      <w:tr w:rsidR="00C8678B" w:rsidRPr="00C8678B" w14:paraId="284FEC51" w14:textId="77777777" w:rsidTr="00946811">
        <w:tc>
          <w:tcPr>
            <w:tcW w:w="4460" w:type="pct"/>
            <w:shd w:val="clear" w:color="auto" w:fill="FFFFFF"/>
          </w:tcPr>
          <w:p w14:paraId="6A7F8672" w14:textId="77777777" w:rsidR="00C8678B" w:rsidRPr="00C8678B" w:rsidRDefault="00C8678B" w:rsidP="00C8678B">
            <w:pPr>
              <w:rPr>
                <w:rFonts w:cs="Calibri"/>
                <w:i/>
                <w:sz w:val="24"/>
              </w:rPr>
            </w:pPr>
            <w:r w:rsidRPr="00C8678B">
              <w:rPr>
                <w:rFonts w:cs="Calibri"/>
                <w:i/>
                <w:sz w:val="24"/>
              </w:rPr>
              <w:t xml:space="preserve">Supports training and workforce development opportunities for staff and LPHAs to take on new PH </w:t>
            </w:r>
            <w:r w:rsidRPr="00C8678B">
              <w:rPr>
                <w:rFonts w:cs="Calibri"/>
                <w:i/>
                <w:sz w:val="24"/>
              </w:rPr>
              <w:br/>
              <w:t>modernization functions, including assessment and epidemiology and health equity.</w:t>
            </w:r>
          </w:p>
        </w:tc>
        <w:tc>
          <w:tcPr>
            <w:tcW w:w="526" w:type="pct"/>
            <w:shd w:val="clear" w:color="auto" w:fill="FFFFFF"/>
          </w:tcPr>
          <w:p w14:paraId="3955B6BB" w14:textId="77777777" w:rsidR="00C8678B" w:rsidRPr="00C8678B" w:rsidRDefault="00C8678B" w:rsidP="00C8678B">
            <w:pPr>
              <w:rPr>
                <w:rFonts w:cs="Calibri"/>
                <w:i/>
                <w:sz w:val="24"/>
              </w:rPr>
            </w:pPr>
          </w:p>
        </w:tc>
      </w:tr>
      <w:tr w:rsidR="00C8678B" w:rsidRPr="00C8678B" w14:paraId="0FBCE13A" w14:textId="77777777" w:rsidTr="00946811">
        <w:tc>
          <w:tcPr>
            <w:tcW w:w="4460" w:type="pct"/>
            <w:shd w:val="clear" w:color="auto" w:fill="FFFFFF"/>
          </w:tcPr>
          <w:p w14:paraId="1D29A4BD" w14:textId="77777777" w:rsidR="00C8678B" w:rsidRPr="00C8678B" w:rsidRDefault="00C8678B" w:rsidP="00C8678B">
            <w:pPr>
              <w:rPr>
                <w:rFonts w:cs="Calibri"/>
                <w:sz w:val="24"/>
              </w:rPr>
            </w:pPr>
            <w:r w:rsidRPr="00C8678B">
              <w:rPr>
                <w:rFonts w:cs="Calibri"/>
                <w:sz w:val="24"/>
              </w:rPr>
              <w:t>Translation and interpretation services</w:t>
            </w:r>
          </w:p>
        </w:tc>
        <w:tc>
          <w:tcPr>
            <w:tcW w:w="526" w:type="pct"/>
            <w:shd w:val="clear" w:color="auto" w:fill="FFFFFF"/>
          </w:tcPr>
          <w:p w14:paraId="61A19ACF" w14:textId="77777777" w:rsidR="00C8678B" w:rsidRPr="00C8678B" w:rsidRDefault="00C8678B" w:rsidP="00C8678B">
            <w:pPr>
              <w:jc w:val="right"/>
              <w:rPr>
                <w:rFonts w:cs="Calibri"/>
                <w:sz w:val="24"/>
              </w:rPr>
            </w:pPr>
          </w:p>
        </w:tc>
      </w:tr>
      <w:tr w:rsidR="00C8678B" w:rsidRPr="00C8678B" w14:paraId="33CECC98" w14:textId="77777777" w:rsidTr="00946811">
        <w:tc>
          <w:tcPr>
            <w:tcW w:w="4460" w:type="pct"/>
            <w:shd w:val="clear" w:color="auto" w:fill="FFFFFF"/>
          </w:tcPr>
          <w:p w14:paraId="5C19225E" w14:textId="77777777" w:rsidR="00C8678B" w:rsidRPr="00C8678B" w:rsidRDefault="00C8678B" w:rsidP="00C8678B">
            <w:pPr>
              <w:rPr>
                <w:rFonts w:cs="Calibri"/>
                <w:i/>
                <w:sz w:val="24"/>
              </w:rPr>
            </w:pPr>
            <w:r w:rsidRPr="00C8678B">
              <w:rPr>
                <w:rFonts w:cs="Calibri"/>
                <w:i/>
                <w:sz w:val="24"/>
              </w:rPr>
              <w:t>Translation of public health advisories and public communications into languages needed based on the audience per OHA language access policy; provide interpretation services for public meetings.</w:t>
            </w:r>
          </w:p>
        </w:tc>
        <w:tc>
          <w:tcPr>
            <w:tcW w:w="526" w:type="pct"/>
            <w:shd w:val="clear" w:color="auto" w:fill="FFFFFF"/>
          </w:tcPr>
          <w:p w14:paraId="4B48681C" w14:textId="77777777" w:rsidR="00C8678B" w:rsidRPr="00C8678B" w:rsidRDefault="00C8678B" w:rsidP="00C8678B">
            <w:pPr>
              <w:rPr>
                <w:rFonts w:cs="Calibri"/>
                <w:i/>
                <w:sz w:val="24"/>
              </w:rPr>
            </w:pPr>
          </w:p>
        </w:tc>
      </w:tr>
      <w:bookmarkEnd w:id="2"/>
      <w:tr w:rsidR="00C8678B" w:rsidRPr="00C8678B" w14:paraId="0ACFB397" w14:textId="77777777" w:rsidTr="00946811">
        <w:tc>
          <w:tcPr>
            <w:tcW w:w="4460" w:type="pct"/>
            <w:shd w:val="clear" w:color="auto" w:fill="BFBFBF"/>
          </w:tcPr>
          <w:p w14:paraId="1F8BB591" w14:textId="77777777" w:rsidR="00C8678B" w:rsidRPr="00C8678B" w:rsidRDefault="00C8678B" w:rsidP="00C8678B">
            <w:pPr>
              <w:rPr>
                <w:rFonts w:cs="Calibri"/>
                <w:b/>
                <w:sz w:val="24"/>
              </w:rPr>
            </w:pPr>
            <w:r w:rsidRPr="00C8678B">
              <w:rPr>
                <w:rFonts w:cs="Calibri"/>
                <w:b/>
                <w:sz w:val="24"/>
              </w:rPr>
              <w:t>Special Payments to Federally Recognized Tribes</w:t>
            </w:r>
          </w:p>
        </w:tc>
        <w:tc>
          <w:tcPr>
            <w:tcW w:w="526" w:type="pct"/>
            <w:shd w:val="clear" w:color="auto" w:fill="BFBFBF"/>
          </w:tcPr>
          <w:p w14:paraId="4DC1470E" w14:textId="77777777" w:rsidR="00C8678B" w:rsidRPr="00C8678B" w:rsidRDefault="00C8678B" w:rsidP="00C8678B">
            <w:pPr>
              <w:jc w:val="right"/>
              <w:rPr>
                <w:rFonts w:cs="Calibri"/>
                <w:b/>
                <w:sz w:val="24"/>
              </w:rPr>
            </w:pPr>
            <w:r w:rsidRPr="00C8678B">
              <w:rPr>
                <w:rFonts w:cs="Calibri"/>
                <w:b/>
                <w:sz w:val="24"/>
              </w:rPr>
              <w:t>$3,200,000</w:t>
            </w:r>
          </w:p>
        </w:tc>
      </w:tr>
      <w:tr w:rsidR="00C8678B" w:rsidRPr="00C8678B" w14:paraId="37D0DD40" w14:textId="77777777" w:rsidTr="00946811">
        <w:tc>
          <w:tcPr>
            <w:tcW w:w="4460" w:type="pct"/>
            <w:shd w:val="clear" w:color="auto" w:fill="FFFFFF"/>
          </w:tcPr>
          <w:p w14:paraId="5D29509D" w14:textId="77777777" w:rsidR="00C8678B" w:rsidRPr="00C8678B" w:rsidRDefault="00C8678B" w:rsidP="00C8678B">
            <w:pPr>
              <w:rPr>
                <w:rFonts w:cs="Calibri"/>
                <w:i/>
                <w:sz w:val="24"/>
              </w:rPr>
            </w:pPr>
            <w:r w:rsidRPr="00C8678B">
              <w:rPr>
                <w:rFonts w:cs="Calibri"/>
                <w:i/>
                <w:sz w:val="24"/>
              </w:rPr>
              <w:t>Provides resources to Oregon tribes to: engage community members to improve health equity; collect and analyze population health data; prepare for PH emergencies; respond to disease outbreaks; and develop resilience strategies.</w:t>
            </w:r>
          </w:p>
        </w:tc>
        <w:tc>
          <w:tcPr>
            <w:tcW w:w="526" w:type="pct"/>
            <w:shd w:val="clear" w:color="auto" w:fill="FFFFFF"/>
          </w:tcPr>
          <w:p w14:paraId="1506900C" w14:textId="77777777" w:rsidR="00C8678B" w:rsidRPr="00C8678B" w:rsidRDefault="00C8678B" w:rsidP="00C8678B">
            <w:pPr>
              <w:jc w:val="right"/>
              <w:rPr>
                <w:rFonts w:cs="Calibri"/>
                <w:sz w:val="24"/>
              </w:rPr>
            </w:pPr>
          </w:p>
        </w:tc>
      </w:tr>
      <w:tr w:rsidR="00C8678B" w:rsidRPr="00C8678B" w14:paraId="335E8F13" w14:textId="77777777" w:rsidTr="00946811">
        <w:tc>
          <w:tcPr>
            <w:tcW w:w="4460" w:type="pct"/>
            <w:shd w:val="clear" w:color="auto" w:fill="BFBFBF"/>
          </w:tcPr>
          <w:p w14:paraId="62C49F43" w14:textId="77777777" w:rsidR="00C8678B" w:rsidRPr="00C8678B" w:rsidRDefault="00C8678B" w:rsidP="00C8678B">
            <w:pPr>
              <w:rPr>
                <w:rFonts w:cs="Calibri"/>
                <w:b/>
                <w:sz w:val="24"/>
              </w:rPr>
            </w:pPr>
            <w:r w:rsidRPr="00C8678B">
              <w:rPr>
                <w:rFonts w:cs="Calibri"/>
                <w:b/>
                <w:sz w:val="24"/>
              </w:rPr>
              <w:t xml:space="preserve">Special Payments to Local Public Health Authorities </w:t>
            </w:r>
          </w:p>
        </w:tc>
        <w:tc>
          <w:tcPr>
            <w:tcW w:w="526" w:type="pct"/>
            <w:shd w:val="clear" w:color="auto" w:fill="BFBFBF"/>
          </w:tcPr>
          <w:p w14:paraId="2C1EC454" w14:textId="77777777" w:rsidR="00C8678B" w:rsidRPr="00C8678B" w:rsidRDefault="00C8678B" w:rsidP="00C8678B">
            <w:pPr>
              <w:jc w:val="right"/>
              <w:rPr>
                <w:rFonts w:cs="Calibri"/>
                <w:b/>
                <w:sz w:val="24"/>
              </w:rPr>
            </w:pPr>
            <w:r w:rsidRPr="00C8678B">
              <w:rPr>
                <w:rFonts w:cs="Calibri"/>
                <w:b/>
                <w:sz w:val="24"/>
              </w:rPr>
              <w:t>$25,000,000</w:t>
            </w:r>
          </w:p>
        </w:tc>
      </w:tr>
      <w:tr w:rsidR="00C8678B" w:rsidRPr="00C8678B" w14:paraId="0B2A2D33" w14:textId="77777777" w:rsidTr="00946811">
        <w:tc>
          <w:tcPr>
            <w:tcW w:w="4460" w:type="pct"/>
            <w:shd w:val="clear" w:color="auto" w:fill="FFFFFF"/>
          </w:tcPr>
          <w:p w14:paraId="4DA3AD75" w14:textId="77777777" w:rsidR="00C8678B" w:rsidRPr="00C8678B" w:rsidRDefault="00C8678B" w:rsidP="00C8678B">
            <w:pPr>
              <w:rPr>
                <w:rFonts w:cs="Calibri"/>
                <w:i/>
                <w:sz w:val="24"/>
              </w:rPr>
            </w:pPr>
            <w:r w:rsidRPr="00C8678B">
              <w:rPr>
                <w:rFonts w:cs="Calibri"/>
                <w:i/>
                <w:sz w:val="24"/>
              </w:rPr>
              <w:t>Provides resources to LPHAs to: engage community members to improve health equity; respond to disease outbreaks and environmental health hazards; prepare for PH emergencies; and build an equitable and efficient PH system.</w:t>
            </w:r>
          </w:p>
          <w:p w14:paraId="10B4FC78" w14:textId="77777777" w:rsidR="00C8678B" w:rsidRDefault="00C8678B" w:rsidP="00C8678B">
            <w:pPr>
              <w:rPr>
                <w:rFonts w:cs="Calibri"/>
                <w:i/>
                <w:sz w:val="24"/>
              </w:rPr>
            </w:pPr>
          </w:p>
          <w:p w14:paraId="41D10F5C" w14:textId="77777777" w:rsidR="00946811" w:rsidRDefault="00946811" w:rsidP="00C8678B">
            <w:pPr>
              <w:rPr>
                <w:rFonts w:cs="Calibri"/>
                <w:i/>
                <w:sz w:val="24"/>
              </w:rPr>
            </w:pPr>
          </w:p>
          <w:p w14:paraId="1B79302F" w14:textId="77777777" w:rsidR="00946811" w:rsidRDefault="00946811" w:rsidP="00C8678B">
            <w:pPr>
              <w:rPr>
                <w:rFonts w:cs="Calibri"/>
                <w:i/>
                <w:sz w:val="24"/>
              </w:rPr>
            </w:pPr>
          </w:p>
          <w:p w14:paraId="1B424E61" w14:textId="0C470436" w:rsidR="00946811" w:rsidRPr="00C8678B" w:rsidRDefault="00946811" w:rsidP="00C8678B">
            <w:pPr>
              <w:rPr>
                <w:rFonts w:cs="Calibri"/>
                <w:i/>
                <w:sz w:val="24"/>
              </w:rPr>
            </w:pPr>
          </w:p>
        </w:tc>
        <w:tc>
          <w:tcPr>
            <w:tcW w:w="526" w:type="pct"/>
            <w:shd w:val="clear" w:color="auto" w:fill="FFFFFF"/>
          </w:tcPr>
          <w:p w14:paraId="59C58FCA" w14:textId="77777777" w:rsidR="00C8678B" w:rsidRPr="00C8678B" w:rsidRDefault="00C8678B" w:rsidP="00C8678B">
            <w:pPr>
              <w:rPr>
                <w:rFonts w:cs="Calibri"/>
                <w:i/>
                <w:sz w:val="24"/>
              </w:rPr>
            </w:pPr>
          </w:p>
        </w:tc>
      </w:tr>
      <w:tr w:rsidR="00C8678B" w:rsidRPr="00C8678B" w14:paraId="4087E7C9" w14:textId="77777777" w:rsidTr="00946811">
        <w:tc>
          <w:tcPr>
            <w:tcW w:w="4460" w:type="pct"/>
            <w:shd w:val="clear" w:color="auto" w:fill="BFBFBF"/>
          </w:tcPr>
          <w:p w14:paraId="6C14B7D2" w14:textId="77777777" w:rsidR="00C8678B" w:rsidRPr="00C8678B" w:rsidRDefault="00C8678B" w:rsidP="00C8678B">
            <w:pPr>
              <w:rPr>
                <w:rFonts w:cs="Calibri"/>
                <w:b/>
                <w:sz w:val="24"/>
              </w:rPr>
            </w:pPr>
            <w:r w:rsidRPr="00C8678B">
              <w:rPr>
                <w:rFonts w:cs="Calibri"/>
                <w:b/>
                <w:sz w:val="24"/>
              </w:rPr>
              <w:lastRenderedPageBreak/>
              <w:t>Public Health System Quality Assurance</w:t>
            </w:r>
          </w:p>
        </w:tc>
        <w:tc>
          <w:tcPr>
            <w:tcW w:w="526" w:type="pct"/>
            <w:shd w:val="clear" w:color="auto" w:fill="BFBFBF"/>
          </w:tcPr>
          <w:p w14:paraId="71DCD944" w14:textId="77777777" w:rsidR="00C8678B" w:rsidRPr="00C8678B" w:rsidRDefault="00C8678B" w:rsidP="00C8678B">
            <w:pPr>
              <w:rPr>
                <w:rFonts w:cs="Calibri"/>
                <w:b/>
                <w:sz w:val="24"/>
              </w:rPr>
            </w:pPr>
            <w:r w:rsidRPr="00C8678B">
              <w:rPr>
                <w:rFonts w:cs="Calibri"/>
                <w:b/>
                <w:sz w:val="24"/>
              </w:rPr>
              <w:t>$750,000</w:t>
            </w:r>
          </w:p>
        </w:tc>
      </w:tr>
      <w:tr w:rsidR="00C8678B" w:rsidRPr="00C8678B" w14:paraId="5C1B1182" w14:textId="77777777" w:rsidTr="00946811">
        <w:tc>
          <w:tcPr>
            <w:tcW w:w="4460" w:type="pct"/>
            <w:shd w:val="clear" w:color="auto" w:fill="FFFFFF"/>
          </w:tcPr>
          <w:p w14:paraId="38D3DB05" w14:textId="77777777" w:rsidR="00C8678B" w:rsidRPr="00C8678B" w:rsidRDefault="00C8678B" w:rsidP="00C8678B">
            <w:pPr>
              <w:rPr>
                <w:rFonts w:cs="Calibri"/>
                <w:sz w:val="24"/>
              </w:rPr>
            </w:pPr>
            <w:r w:rsidRPr="00C8678B">
              <w:rPr>
                <w:rFonts w:cs="Calibri"/>
                <w:sz w:val="24"/>
              </w:rPr>
              <w:t>Contract Monitoring Coordinator – Operations and Policy Analyst 3</w:t>
            </w:r>
          </w:p>
        </w:tc>
        <w:tc>
          <w:tcPr>
            <w:tcW w:w="526" w:type="pct"/>
            <w:shd w:val="clear" w:color="auto" w:fill="FFFFFF"/>
          </w:tcPr>
          <w:p w14:paraId="32860FDB" w14:textId="77777777" w:rsidR="00C8678B" w:rsidRPr="00C8678B" w:rsidRDefault="00C8678B" w:rsidP="00C8678B">
            <w:pPr>
              <w:rPr>
                <w:rFonts w:cs="Calibri"/>
                <w:i/>
                <w:sz w:val="24"/>
              </w:rPr>
            </w:pPr>
          </w:p>
        </w:tc>
      </w:tr>
      <w:tr w:rsidR="00C8678B" w:rsidRPr="00C8678B" w14:paraId="7140A0B7" w14:textId="77777777" w:rsidTr="00946811">
        <w:tc>
          <w:tcPr>
            <w:tcW w:w="4460" w:type="pct"/>
            <w:shd w:val="clear" w:color="auto" w:fill="FFFFFF"/>
          </w:tcPr>
          <w:p w14:paraId="157B96F9" w14:textId="77777777" w:rsidR="00C8678B" w:rsidRPr="00C8678B" w:rsidRDefault="00C8678B" w:rsidP="00C8678B">
            <w:pPr>
              <w:rPr>
                <w:rFonts w:cs="Calibri"/>
                <w:i/>
                <w:sz w:val="24"/>
              </w:rPr>
            </w:pPr>
            <w:r w:rsidRPr="00C8678B">
              <w:rPr>
                <w:rFonts w:cs="Calibri"/>
                <w:i/>
                <w:sz w:val="24"/>
              </w:rPr>
              <w:t>Develops and implements contract monitoring and review protocols for the Public Health Division to ensure compliance with state and federal guidelines.</w:t>
            </w:r>
          </w:p>
        </w:tc>
        <w:tc>
          <w:tcPr>
            <w:tcW w:w="526" w:type="pct"/>
            <w:shd w:val="clear" w:color="auto" w:fill="FFFFFF"/>
          </w:tcPr>
          <w:p w14:paraId="415B93C4" w14:textId="77777777" w:rsidR="00C8678B" w:rsidRPr="00C8678B" w:rsidRDefault="00C8678B" w:rsidP="00C8678B">
            <w:pPr>
              <w:rPr>
                <w:rFonts w:cs="Calibri"/>
                <w:i/>
                <w:sz w:val="24"/>
              </w:rPr>
            </w:pPr>
          </w:p>
        </w:tc>
      </w:tr>
      <w:tr w:rsidR="00C8678B" w:rsidRPr="00C8678B" w14:paraId="143BA583" w14:textId="77777777" w:rsidTr="00946811">
        <w:tc>
          <w:tcPr>
            <w:tcW w:w="4460" w:type="pct"/>
            <w:shd w:val="clear" w:color="auto" w:fill="FFFFFF"/>
          </w:tcPr>
          <w:p w14:paraId="57627681" w14:textId="77777777" w:rsidR="00C8678B" w:rsidRPr="00C8678B" w:rsidRDefault="00C8678B" w:rsidP="00C8678B">
            <w:pPr>
              <w:rPr>
                <w:rFonts w:cs="Calibri"/>
                <w:sz w:val="24"/>
              </w:rPr>
            </w:pPr>
            <w:r w:rsidRPr="00C8678B">
              <w:rPr>
                <w:rFonts w:cs="Calibri"/>
                <w:sz w:val="24"/>
              </w:rPr>
              <w:t>LPHA Payment Analyst – Fiscal Analyst 2 (cost allocation)</w:t>
            </w:r>
          </w:p>
        </w:tc>
        <w:tc>
          <w:tcPr>
            <w:tcW w:w="526" w:type="pct"/>
            <w:shd w:val="clear" w:color="auto" w:fill="FFFFFF"/>
          </w:tcPr>
          <w:p w14:paraId="77690D99" w14:textId="77777777" w:rsidR="00C8678B" w:rsidRPr="00C8678B" w:rsidRDefault="00C8678B" w:rsidP="00C8678B">
            <w:pPr>
              <w:rPr>
                <w:rFonts w:cs="Calibri"/>
                <w:i/>
                <w:sz w:val="24"/>
              </w:rPr>
            </w:pPr>
          </w:p>
        </w:tc>
      </w:tr>
      <w:tr w:rsidR="00C8678B" w:rsidRPr="00C8678B" w14:paraId="5DCB05DC" w14:textId="77777777" w:rsidTr="00946811">
        <w:tc>
          <w:tcPr>
            <w:tcW w:w="4460" w:type="pct"/>
            <w:shd w:val="clear" w:color="auto" w:fill="FFFFFF"/>
          </w:tcPr>
          <w:p w14:paraId="4F49610A" w14:textId="77777777" w:rsidR="00C8678B" w:rsidRPr="00C8678B" w:rsidRDefault="00C8678B" w:rsidP="00C8678B">
            <w:pPr>
              <w:rPr>
                <w:rFonts w:cs="Calibri"/>
                <w:i/>
                <w:sz w:val="24"/>
              </w:rPr>
            </w:pPr>
            <w:r w:rsidRPr="00C8678B">
              <w:rPr>
                <w:rFonts w:cs="Calibri"/>
                <w:i/>
                <w:sz w:val="24"/>
              </w:rPr>
              <w:t>Develops and implements contract requirements.</w:t>
            </w:r>
          </w:p>
        </w:tc>
        <w:tc>
          <w:tcPr>
            <w:tcW w:w="526" w:type="pct"/>
            <w:shd w:val="clear" w:color="auto" w:fill="FFFFFF"/>
          </w:tcPr>
          <w:p w14:paraId="4D1C9D4A" w14:textId="77777777" w:rsidR="00C8678B" w:rsidRPr="00C8678B" w:rsidRDefault="00C8678B" w:rsidP="00C8678B">
            <w:pPr>
              <w:rPr>
                <w:rFonts w:cs="Calibri"/>
                <w:i/>
                <w:sz w:val="24"/>
              </w:rPr>
            </w:pPr>
          </w:p>
        </w:tc>
      </w:tr>
      <w:tr w:rsidR="00C8678B" w:rsidRPr="00C8678B" w14:paraId="54026510" w14:textId="77777777" w:rsidTr="00946811">
        <w:tc>
          <w:tcPr>
            <w:tcW w:w="4460" w:type="pct"/>
            <w:shd w:val="clear" w:color="auto" w:fill="FFFFFF"/>
          </w:tcPr>
          <w:p w14:paraId="50ACAAED" w14:textId="77777777" w:rsidR="00C8678B" w:rsidRPr="00C8678B" w:rsidRDefault="00C8678B" w:rsidP="00C8678B">
            <w:pPr>
              <w:rPr>
                <w:rFonts w:cs="Calibri"/>
                <w:sz w:val="24"/>
              </w:rPr>
            </w:pPr>
            <w:r w:rsidRPr="00C8678B">
              <w:rPr>
                <w:rFonts w:cs="Calibri"/>
                <w:sz w:val="24"/>
              </w:rPr>
              <w:t>Public health measurement</w:t>
            </w:r>
          </w:p>
        </w:tc>
        <w:tc>
          <w:tcPr>
            <w:tcW w:w="526" w:type="pct"/>
            <w:shd w:val="clear" w:color="auto" w:fill="FFFFFF"/>
          </w:tcPr>
          <w:p w14:paraId="0B26366B" w14:textId="77777777" w:rsidR="00C8678B" w:rsidRPr="00C8678B" w:rsidRDefault="00C8678B" w:rsidP="00C8678B">
            <w:pPr>
              <w:jc w:val="right"/>
              <w:rPr>
                <w:rFonts w:cs="Calibri"/>
                <w:sz w:val="24"/>
              </w:rPr>
            </w:pPr>
          </w:p>
        </w:tc>
      </w:tr>
      <w:tr w:rsidR="00C8678B" w:rsidRPr="00C8678B" w14:paraId="4BCA5455" w14:textId="77777777" w:rsidTr="00946811">
        <w:tc>
          <w:tcPr>
            <w:tcW w:w="4460" w:type="pct"/>
            <w:shd w:val="clear" w:color="auto" w:fill="FFFFFF"/>
          </w:tcPr>
          <w:p w14:paraId="7AEBE782" w14:textId="77777777" w:rsidR="00C8678B" w:rsidRPr="00C8678B" w:rsidRDefault="00C8678B" w:rsidP="00C8678B">
            <w:pPr>
              <w:rPr>
                <w:rFonts w:cs="Calibri"/>
                <w:i/>
                <w:sz w:val="24"/>
              </w:rPr>
            </w:pPr>
            <w:r w:rsidRPr="00C8678B">
              <w:rPr>
                <w:rFonts w:cs="Calibri"/>
                <w:i/>
                <w:sz w:val="24"/>
              </w:rPr>
              <w:t>Annual collection and public report of PH accountability measure data.</w:t>
            </w:r>
          </w:p>
        </w:tc>
        <w:tc>
          <w:tcPr>
            <w:tcW w:w="526" w:type="pct"/>
            <w:shd w:val="clear" w:color="auto" w:fill="FFFFFF"/>
          </w:tcPr>
          <w:p w14:paraId="471D581E" w14:textId="77777777" w:rsidR="00C8678B" w:rsidRPr="00C8678B" w:rsidRDefault="00C8678B" w:rsidP="00C8678B">
            <w:pPr>
              <w:rPr>
                <w:rFonts w:cs="Calibri"/>
                <w:i/>
                <w:sz w:val="24"/>
              </w:rPr>
            </w:pPr>
          </w:p>
        </w:tc>
      </w:tr>
      <w:tr w:rsidR="00C8678B" w:rsidRPr="00C8678B" w14:paraId="664A8106" w14:textId="77777777" w:rsidTr="00946811">
        <w:tc>
          <w:tcPr>
            <w:tcW w:w="4460" w:type="pct"/>
            <w:shd w:val="clear" w:color="auto" w:fill="FFFFFF"/>
          </w:tcPr>
          <w:p w14:paraId="2C122E20" w14:textId="77777777" w:rsidR="00C8678B" w:rsidRPr="00C8678B" w:rsidRDefault="00C8678B" w:rsidP="00C8678B">
            <w:pPr>
              <w:rPr>
                <w:rFonts w:cs="Calibri"/>
                <w:sz w:val="24"/>
              </w:rPr>
            </w:pPr>
            <w:r w:rsidRPr="00C8678B">
              <w:rPr>
                <w:rFonts w:cs="Calibri"/>
                <w:sz w:val="24"/>
              </w:rPr>
              <w:t>Program evaluation</w:t>
            </w:r>
          </w:p>
        </w:tc>
        <w:tc>
          <w:tcPr>
            <w:tcW w:w="526" w:type="pct"/>
            <w:shd w:val="clear" w:color="auto" w:fill="FFFFFF"/>
          </w:tcPr>
          <w:p w14:paraId="50805505" w14:textId="77777777" w:rsidR="00C8678B" w:rsidRPr="00C8678B" w:rsidRDefault="00C8678B" w:rsidP="00C8678B">
            <w:pPr>
              <w:jc w:val="right"/>
              <w:rPr>
                <w:rFonts w:cs="Calibri"/>
                <w:sz w:val="24"/>
              </w:rPr>
            </w:pPr>
          </w:p>
        </w:tc>
      </w:tr>
      <w:tr w:rsidR="00C8678B" w:rsidRPr="00C8678B" w14:paraId="1643821F" w14:textId="77777777" w:rsidTr="00946811">
        <w:tc>
          <w:tcPr>
            <w:tcW w:w="4460" w:type="pct"/>
            <w:shd w:val="clear" w:color="auto" w:fill="FFFFFF"/>
          </w:tcPr>
          <w:p w14:paraId="5344A5B6" w14:textId="77777777" w:rsidR="00C8678B" w:rsidRPr="00C8678B" w:rsidRDefault="00C8678B" w:rsidP="00C8678B">
            <w:pPr>
              <w:rPr>
                <w:rFonts w:cs="Calibri"/>
                <w:i/>
                <w:sz w:val="24"/>
              </w:rPr>
            </w:pPr>
            <w:r w:rsidRPr="00C8678B">
              <w:rPr>
                <w:rFonts w:cs="Calibri"/>
                <w:i/>
                <w:sz w:val="24"/>
              </w:rPr>
              <w:t>Evaluation of the effectiveness of public health modernization and public health interventions</w:t>
            </w:r>
          </w:p>
        </w:tc>
        <w:tc>
          <w:tcPr>
            <w:tcW w:w="526" w:type="pct"/>
            <w:shd w:val="clear" w:color="auto" w:fill="FFFFFF"/>
          </w:tcPr>
          <w:p w14:paraId="0B960B7D" w14:textId="77777777" w:rsidR="00C8678B" w:rsidRPr="00C8678B" w:rsidRDefault="00C8678B" w:rsidP="00C8678B">
            <w:pPr>
              <w:rPr>
                <w:rFonts w:cs="Calibri"/>
                <w:i/>
                <w:sz w:val="24"/>
              </w:rPr>
            </w:pPr>
          </w:p>
        </w:tc>
      </w:tr>
      <w:tr w:rsidR="00C8678B" w:rsidRPr="00C8678B" w14:paraId="23ED4FC8" w14:textId="77777777" w:rsidTr="00946811">
        <w:tc>
          <w:tcPr>
            <w:tcW w:w="4460" w:type="pct"/>
            <w:shd w:val="clear" w:color="auto" w:fill="FFFFFF"/>
          </w:tcPr>
          <w:p w14:paraId="36E38C38" w14:textId="77777777" w:rsidR="00C8678B" w:rsidRPr="00C8678B" w:rsidRDefault="00C8678B" w:rsidP="00C8678B">
            <w:pPr>
              <w:rPr>
                <w:rFonts w:cs="Calibri"/>
                <w:sz w:val="24"/>
              </w:rPr>
            </w:pPr>
            <w:r w:rsidRPr="00C8678B">
              <w:rPr>
                <w:rFonts w:cs="Calibri"/>
                <w:sz w:val="24"/>
              </w:rPr>
              <w:t>Accountability-based payment</w:t>
            </w:r>
          </w:p>
        </w:tc>
        <w:tc>
          <w:tcPr>
            <w:tcW w:w="526" w:type="pct"/>
            <w:shd w:val="clear" w:color="auto" w:fill="FFFFFF"/>
          </w:tcPr>
          <w:p w14:paraId="52871995" w14:textId="77777777" w:rsidR="00C8678B" w:rsidRPr="00C8678B" w:rsidRDefault="00C8678B" w:rsidP="00C8678B">
            <w:pPr>
              <w:jc w:val="right"/>
              <w:rPr>
                <w:rFonts w:cs="Calibri"/>
                <w:sz w:val="24"/>
              </w:rPr>
            </w:pPr>
          </w:p>
        </w:tc>
      </w:tr>
      <w:tr w:rsidR="00C8678B" w:rsidRPr="00C8678B" w14:paraId="6C82DD1D" w14:textId="77777777" w:rsidTr="00946811">
        <w:tc>
          <w:tcPr>
            <w:tcW w:w="4460" w:type="pct"/>
            <w:shd w:val="clear" w:color="auto" w:fill="FFFFFF"/>
          </w:tcPr>
          <w:p w14:paraId="621A7FA6" w14:textId="77777777" w:rsidR="00C8678B" w:rsidRPr="00C8678B" w:rsidRDefault="00C8678B" w:rsidP="00C8678B">
            <w:pPr>
              <w:rPr>
                <w:rFonts w:cs="Calibri"/>
                <w:i/>
                <w:sz w:val="24"/>
              </w:rPr>
            </w:pPr>
            <w:r w:rsidRPr="00C8678B">
              <w:rPr>
                <w:rFonts w:cs="Calibri"/>
                <w:i/>
                <w:sz w:val="24"/>
              </w:rPr>
              <w:t>Develops system for applying changes to payment structure for LPHAs, including implementation of incentive payments and matching funds for county investment per ORS 431.380.</w:t>
            </w:r>
          </w:p>
        </w:tc>
        <w:tc>
          <w:tcPr>
            <w:tcW w:w="526" w:type="pct"/>
            <w:shd w:val="clear" w:color="auto" w:fill="FFFFFF"/>
          </w:tcPr>
          <w:p w14:paraId="2D9FF4E6" w14:textId="77777777" w:rsidR="00C8678B" w:rsidRPr="00C8678B" w:rsidRDefault="00C8678B" w:rsidP="00C8678B">
            <w:pPr>
              <w:jc w:val="right"/>
              <w:rPr>
                <w:rFonts w:cs="Calibri"/>
                <w:sz w:val="24"/>
              </w:rPr>
            </w:pPr>
          </w:p>
        </w:tc>
      </w:tr>
      <w:tr w:rsidR="00C8678B" w:rsidRPr="00C8678B" w14:paraId="16222CB2" w14:textId="77777777" w:rsidTr="00946811">
        <w:tc>
          <w:tcPr>
            <w:tcW w:w="4460" w:type="pct"/>
            <w:shd w:val="clear" w:color="auto" w:fill="BFBFBF"/>
          </w:tcPr>
          <w:p w14:paraId="73699F43" w14:textId="77777777" w:rsidR="00C8678B" w:rsidRPr="00C8678B" w:rsidRDefault="00C8678B" w:rsidP="00C8678B">
            <w:pPr>
              <w:rPr>
                <w:rFonts w:cs="Calibri"/>
                <w:b/>
                <w:sz w:val="24"/>
              </w:rPr>
            </w:pPr>
            <w:r w:rsidRPr="00C8678B">
              <w:rPr>
                <w:rFonts w:cs="Calibri"/>
                <w:b/>
                <w:sz w:val="24"/>
              </w:rPr>
              <w:t>Data reporting systems and accountability metrics</w:t>
            </w:r>
          </w:p>
        </w:tc>
        <w:tc>
          <w:tcPr>
            <w:tcW w:w="526" w:type="pct"/>
            <w:shd w:val="clear" w:color="auto" w:fill="BFBFBF"/>
          </w:tcPr>
          <w:p w14:paraId="360FC5C0" w14:textId="77777777" w:rsidR="00C8678B" w:rsidRPr="00C8678B" w:rsidRDefault="00C8678B" w:rsidP="00C8678B">
            <w:pPr>
              <w:rPr>
                <w:rFonts w:cs="Calibri"/>
                <w:b/>
                <w:sz w:val="24"/>
              </w:rPr>
            </w:pPr>
            <w:r w:rsidRPr="00C8678B">
              <w:rPr>
                <w:rFonts w:cs="Calibri"/>
                <w:b/>
                <w:sz w:val="24"/>
              </w:rPr>
              <w:t>$4,500,000</w:t>
            </w:r>
          </w:p>
        </w:tc>
      </w:tr>
      <w:tr w:rsidR="00C8678B" w:rsidRPr="00C8678B" w14:paraId="6FC2DC01" w14:textId="77777777" w:rsidTr="00946811">
        <w:tc>
          <w:tcPr>
            <w:tcW w:w="4460" w:type="pct"/>
            <w:shd w:val="clear" w:color="auto" w:fill="FFFFFF"/>
          </w:tcPr>
          <w:p w14:paraId="38196941" w14:textId="77777777" w:rsidR="00C8678B" w:rsidRPr="00C8678B" w:rsidRDefault="00C8678B" w:rsidP="00C8678B">
            <w:pPr>
              <w:rPr>
                <w:rFonts w:cs="Calibri"/>
                <w:sz w:val="24"/>
              </w:rPr>
            </w:pPr>
            <w:r w:rsidRPr="00C8678B">
              <w:rPr>
                <w:rFonts w:cs="Calibri"/>
                <w:sz w:val="24"/>
              </w:rPr>
              <w:t>PHD Business Systems Analyst - Information Systems Specialist 7 (OIS 0.30 funding and position authority)</w:t>
            </w:r>
          </w:p>
        </w:tc>
        <w:tc>
          <w:tcPr>
            <w:tcW w:w="526" w:type="pct"/>
            <w:shd w:val="clear" w:color="auto" w:fill="FFFFFF"/>
          </w:tcPr>
          <w:p w14:paraId="41E7AC1E" w14:textId="77777777" w:rsidR="00C8678B" w:rsidRPr="00C8678B" w:rsidRDefault="00C8678B" w:rsidP="00C8678B">
            <w:pPr>
              <w:rPr>
                <w:rFonts w:cs="Calibri"/>
                <w:i/>
                <w:sz w:val="24"/>
              </w:rPr>
            </w:pPr>
          </w:p>
        </w:tc>
      </w:tr>
      <w:tr w:rsidR="00C8678B" w:rsidRPr="00C8678B" w14:paraId="2EE34ED5" w14:textId="77777777" w:rsidTr="00946811">
        <w:tc>
          <w:tcPr>
            <w:tcW w:w="4460" w:type="pct"/>
            <w:shd w:val="clear" w:color="auto" w:fill="FFFFFF"/>
          </w:tcPr>
          <w:p w14:paraId="217EFBCA" w14:textId="77777777" w:rsidR="00C8678B" w:rsidRPr="00C8678B" w:rsidRDefault="00C8678B" w:rsidP="00C8678B">
            <w:pPr>
              <w:rPr>
                <w:rFonts w:cs="Calibri"/>
                <w:i/>
                <w:sz w:val="24"/>
              </w:rPr>
            </w:pPr>
            <w:r w:rsidRPr="00C8678B">
              <w:rPr>
                <w:rFonts w:cs="Calibri"/>
                <w:i/>
                <w:sz w:val="24"/>
              </w:rPr>
              <w:t xml:space="preserve">Liaises with PH to coordinate design, development and implementation of information technology solutions. </w:t>
            </w:r>
          </w:p>
        </w:tc>
        <w:tc>
          <w:tcPr>
            <w:tcW w:w="526" w:type="pct"/>
            <w:shd w:val="clear" w:color="auto" w:fill="FFFFFF"/>
          </w:tcPr>
          <w:p w14:paraId="1F8E3DBD" w14:textId="77777777" w:rsidR="00C8678B" w:rsidRPr="00C8678B" w:rsidRDefault="00C8678B" w:rsidP="00C8678B">
            <w:pPr>
              <w:rPr>
                <w:rFonts w:cs="Calibri"/>
                <w:i/>
                <w:sz w:val="24"/>
              </w:rPr>
            </w:pPr>
          </w:p>
        </w:tc>
      </w:tr>
      <w:tr w:rsidR="00C8678B" w:rsidRPr="00C8678B" w14:paraId="2E62050E" w14:textId="77777777" w:rsidTr="00946811">
        <w:tc>
          <w:tcPr>
            <w:tcW w:w="4460" w:type="pct"/>
            <w:shd w:val="clear" w:color="auto" w:fill="FFFFFF"/>
          </w:tcPr>
          <w:p w14:paraId="61540CAE" w14:textId="77777777" w:rsidR="00C8678B" w:rsidRPr="00C8678B" w:rsidRDefault="00C8678B" w:rsidP="00C8678B">
            <w:pPr>
              <w:rPr>
                <w:rFonts w:cs="Calibri"/>
                <w:sz w:val="24"/>
              </w:rPr>
            </w:pPr>
            <w:r w:rsidRPr="00C8678B">
              <w:rPr>
                <w:rFonts w:cs="Calibri"/>
                <w:sz w:val="24"/>
              </w:rPr>
              <w:t>PHD Sr. Tech Analyst - Information Systems Specialist 8 (OIS 0.55 funding only)</w:t>
            </w:r>
          </w:p>
        </w:tc>
        <w:tc>
          <w:tcPr>
            <w:tcW w:w="526" w:type="pct"/>
            <w:shd w:val="clear" w:color="auto" w:fill="FFFFFF"/>
          </w:tcPr>
          <w:p w14:paraId="70775E1A" w14:textId="77777777" w:rsidR="00C8678B" w:rsidRPr="00C8678B" w:rsidRDefault="00C8678B" w:rsidP="00C8678B">
            <w:pPr>
              <w:jc w:val="right"/>
              <w:rPr>
                <w:rFonts w:cs="Calibri"/>
                <w:sz w:val="24"/>
              </w:rPr>
            </w:pPr>
          </w:p>
        </w:tc>
      </w:tr>
      <w:tr w:rsidR="00C8678B" w:rsidRPr="00C8678B" w14:paraId="2A11B9B4" w14:textId="77777777" w:rsidTr="00946811">
        <w:tc>
          <w:tcPr>
            <w:tcW w:w="4987" w:type="pct"/>
            <w:gridSpan w:val="2"/>
            <w:shd w:val="clear" w:color="auto" w:fill="FFFFFF"/>
          </w:tcPr>
          <w:p w14:paraId="0168BC70" w14:textId="77777777" w:rsidR="00C8678B" w:rsidRPr="00C8678B" w:rsidRDefault="00C8678B" w:rsidP="00C8678B">
            <w:pPr>
              <w:rPr>
                <w:rFonts w:cs="Calibri"/>
                <w:i/>
                <w:sz w:val="24"/>
              </w:rPr>
            </w:pPr>
            <w:r w:rsidRPr="00C8678B">
              <w:rPr>
                <w:rFonts w:cs="Calibri"/>
                <w:i/>
                <w:sz w:val="24"/>
              </w:rPr>
              <w:t>Provides technical expertise and leadership to develop, integrate and implement PH information systems.</w:t>
            </w:r>
          </w:p>
        </w:tc>
      </w:tr>
      <w:tr w:rsidR="00C8678B" w:rsidRPr="00C8678B" w14:paraId="04B5B970" w14:textId="77777777" w:rsidTr="00946811">
        <w:tc>
          <w:tcPr>
            <w:tcW w:w="4460" w:type="pct"/>
            <w:shd w:val="clear" w:color="auto" w:fill="FFFFFF"/>
          </w:tcPr>
          <w:p w14:paraId="050DFDE5" w14:textId="77777777" w:rsidR="00C8678B" w:rsidRPr="00C8678B" w:rsidRDefault="00C8678B" w:rsidP="00C8678B">
            <w:pPr>
              <w:rPr>
                <w:rFonts w:cs="Calibri"/>
                <w:sz w:val="24"/>
              </w:rPr>
            </w:pPr>
            <w:r w:rsidRPr="00C8678B">
              <w:rPr>
                <w:rFonts w:cs="Calibri"/>
                <w:sz w:val="24"/>
              </w:rPr>
              <w:t>Business Engagement Analyst – Operations and Policy Analyst 3</w:t>
            </w:r>
          </w:p>
        </w:tc>
        <w:tc>
          <w:tcPr>
            <w:tcW w:w="526" w:type="pct"/>
            <w:shd w:val="clear" w:color="auto" w:fill="FFFFFF"/>
          </w:tcPr>
          <w:p w14:paraId="04D1EE75" w14:textId="77777777" w:rsidR="00C8678B" w:rsidRPr="00C8678B" w:rsidRDefault="00C8678B" w:rsidP="00C8678B">
            <w:pPr>
              <w:jc w:val="right"/>
              <w:rPr>
                <w:rFonts w:cs="Calibri"/>
                <w:sz w:val="24"/>
                <w:highlight w:val="yellow"/>
              </w:rPr>
            </w:pPr>
          </w:p>
        </w:tc>
      </w:tr>
      <w:tr w:rsidR="00C8678B" w:rsidRPr="00C8678B" w14:paraId="5ECFF9B7" w14:textId="77777777" w:rsidTr="00946811">
        <w:tc>
          <w:tcPr>
            <w:tcW w:w="4460" w:type="pct"/>
            <w:shd w:val="clear" w:color="auto" w:fill="FFFFFF"/>
          </w:tcPr>
          <w:p w14:paraId="4A97BEFD" w14:textId="77777777" w:rsidR="00C8678B" w:rsidRPr="00C8678B" w:rsidRDefault="00C8678B" w:rsidP="00C8678B">
            <w:pPr>
              <w:rPr>
                <w:rFonts w:cs="Calibri"/>
                <w:i/>
                <w:sz w:val="24"/>
              </w:rPr>
            </w:pPr>
            <w:r w:rsidRPr="00C8678B">
              <w:rPr>
                <w:rFonts w:cs="Calibri"/>
                <w:i/>
                <w:sz w:val="24"/>
              </w:rPr>
              <w:t>Business Engagement Services for PH IT initiatives, system modifications, cloud workbook development, and IT contracts and procurement.</w:t>
            </w:r>
          </w:p>
        </w:tc>
        <w:tc>
          <w:tcPr>
            <w:tcW w:w="526" w:type="pct"/>
            <w:shd w:val="clear" w:color="auto" w:fill="FFFFFF"/>
          </w:tcPr>
          <w:p w14:paraId="3A86C212" w14:textId="77777777" w:rsidR="00C8678B" w:rsidRPr="00C8678B" w:rsidRDefault="00C8678B" w:rsidP="00C8678B">
            <w:pPr>
              <w:jc w:val="right"/>
              <w:rPr>
                <w:rFonts w:cs="Calibri"/>
                <w:sz w:val="24"/>
              </w:rPr>
            </w:pPr>
          </w:p>
        </w:tc>
      </w:tr>
      <w:tr w:rsidR="00C8678B" w:rsidRPr="00C8678B" w14:paraId="55CB313A" w14:textId="77777777" w:rsidTr="00946811">
        <w:tc>
          <w:tcPr>
            <w:tcW w:w="4460" w:type="pct"/>
            <w:shd w:val="clear" w:color="auto" w:fill="FFFFFF"/>
          </w:tcPr>
          <w:p w14:paraId="6BABBEC4" w14:textId="77777777" w:rsidR="00C8678B" w:rsidRPr="00C8678B" w:rsidRDefault="00C8678B" w:rsidP="00C8678B">
            <w:pPr>
              <w:rPr>
                <w:rFonts w:cs="Calibri"/>
                <w:sz w:val="24"/>
              </w:rPr>
            </w:pPr>
            <w:r w:rsidRPr="00C8678B">
              <w:rPr>
                <w:rFonts w:cs="Calibri"/>
                <w:sz w:val="24"/>
              </w:rPr>
              <w:t>Contract for new School Module for Electronic Reporting</w:t>
            </w:r>
          </w:p>
        </w:tc>
        <w:tc>
          <w:tcPr>
            <w:tcW w:w="526" w:type="pct"/>
            <w:shd w:val="clear" w:color="auto" w:fill="FFFFFF"/>
          </w:tcPr>
          <w:p w14:paraId="36C24483" w14:textId="77777777" w:rsidR="00C8678B" w:rsidRPr="00C8678B" w:rsidRDefault="00C8678B" w:rsidP="00C8678B">
            <w:pPr>
              <w:jc w:val="right"/>
              <w:rPr>
                <w:rFonts w:cs="Calibri"/>
                <w:sz w:val="24"/>
              </w:rPr>
            </w:pPr>
          </w:p>
        </w:tc>
      </w:tr>
      <w:tr w:rsidR="00C8678B" w:rsidRPr="00C8678B" w14:paraId="4F049DB0" w14:textId="77777777" w:rsidTr="00946811">
        <w:tc>
          <w:tcPr>
            <w:tcW w:w="4460" w:type="pct"/>
            <w:shd w:val="clear" w:color="auto" w:fill="FFFFFF"/>
          </w:tcPr>
          <w:p w14:paraId="6F2C5D87" w14:textId="77777777" w:rsidR="00C8678B" w:rsidRPr="00C8678B" w:rsidRDefault="00C8678B" w:rsidP="00C8678B">
            <w:pPr>
              <w:rPr>
                <w:rFonts w:cs="Calibri"/>
                <w:i/>
                <w:sz w:val="24"/>
              </w:rPr>
            </w:pPr>
            <w:r w:rsidRPr="00C8678B">
              <w:rPr>
                <w:rFonts w:cs="Calibri"/>
                <w:i/>
                <w:sz w:val="24"/>
              </w:rPr>
              <w:t>Facilitates interoperability between schools, LPHA sand OHA to provide efficient and timely data for the collection and assessment of student immunization records.</w:t>
            </w:r>
          </w:p>
        </w:tc>
        <w:tc>
          <w:tcPr>
            <w:tcW w:w="526" w:type="pct"/>
            <w:shd w:val="clear" w:color="auto" w:fill="FFFFFF"/>
          </w:tcPr>
          <w:p w14:paraId="140CED9F" w14:textId="77777777" w:rsidR="00C8678B" w:rsidRPr="00C8678B" w:rsidRDefault="00C8678B" w:rsidP="00C8678B">
            <w:pPr>
              <w:rPr>
                <w:rFonts w:cs="Calibri"/>
                <w:i/>
                <w:sz w:val="24"/>
              </w:rPr>
            </w:pPr>
          </w:p>
        </w:tc>
      </w:tr>
      <w:tr w:rsidR="00C8678B" w:rsidRPr="00C8678B" w14:paraId="7C985DF8" w14:textId="77777777" w:rsidTr="00946811">
        <w:tc>
          <w:tcPr>
            <w:tcW w:w="4460" w:type="pct"/>
            <w:shd w:val="clear" w:color="auto" w:fill="FFFFFF"/>
          </w:tcPr>
          <w:p w14:paraId="7F225A3A" w14:textId="77777777" w:rsidR="00C8678B" w:rsidRPr="00C8678B" w:rsidRDefault="00C8678B" w:rsidP="00C8678B">
            <w:pPr>
              <w:rPr>
                <w:rFonts w:cs="Calibri"/>
                <w:sz w:val="24"/>
              </w:rPr>
            </w:pPr>
            <w:r w:rsidRPr="00C8678B">
              <w:rPr>
                <w:rFonts w:cs="Calibri"/>
                <w:sz w:val="24"/>
              </w:rPr>
              <w:t>Alternate survey collection methods</w:t>
            </w:r>
          </w:p>
        </w:tc>
        <w:tc>
          <w:tcPr>
            <w:tcW w:w="526" w:type="pct"/>
            <w:shd w:val="clear" w:color="auto" w:fill="FFFFFF"/>
          </w:tcPr>
          <w:p w14:paraId="63EC557C" w14:textId="77777777" w:rsidR="00C8678B" w:rsidRPr="00C8678B" w:rsidRDefault="00C8678B" w:rsidP="00C8678B">
            <w:pPr>
              <w:jc w:val="right"/>
              <w:rPr>
                <w:rFonts w:cs="Calibri"/>
                <w:sz w:val="24"/>
              </w:rPr>
            </w:pPr>
          </w:p>
        </w:tc>
      </w:tr>
      <w:tr w:rsidR="00C8678B" w:rsidRPr="00C8678B" w14:paraId="2BB9C8F9" w14:textId="77777777" w:rsidTr="00946811">
        <w:tc>
          <w:tcPr>
            <w:tcW w:w="4460" w:type="pct"/>
            <w:shd w:val="clear" w:color="auto" w:fill="FFFFFF"/>
          </w:tcPr>
          <w:p w14:paraId="7C59F0D2" w14:textId="77777777" w:rsidR="00C8678B" w:rsidRPr="00C8678B" w:rsidRDefault="00C8678B" w:rsidP="00C8678B">
            <w:pPr>
              <w:rPr>
                <w:rFonts w:cs="Calibri"/>
                <w:i/>
                <w:sz w:val="24"/>
              </w:rPr>
            </w:pPr>
            <w:r w:rsidRPr="00C8678B">
              <w:rPr>
                <w:rFonts w:cs="Calibri"/>
                <w:i/>
                <w:sz w:val="24"/>
              </w:rPr>
              <w:t>Supports implementation of alternative methods for collecting surveillance data so that greater response rates can be achieved.</w:t>
            </w:r>
          </w:p>
        </w:tc>
        <w:tc>
          <w:tcPr>
            <w:tcW w:w="526" w:type="pct"/>
            <w:shd w:val="clear" w:color="auto" w:fill="FFFFFF"/>
          </w:tcPr>
          <w:p w14:paraId="2178A0B3" w14:textId="77777777" w:rsidR="00C8678B" w:rsidRPr="00C8678B" w:rsidRDefault="00C8678B" w:rsidP="00C8678B">
            <w:pPr>
              <w:jc w:val="right"/>
              <w:rPr>
                <w:rFonts w:cs="Calibri"/>
                <w:sz w:val="24"/>
              </w:rPr>
            </w:pPr>
          </w:p>
        </w:tc>
      </w:tr>
      <w:tr w:rsidR="00C8678B" w:rsidRPr="00C8678B" w14:paraId="70556164" w14:textId="77777777" w:rsidTr="00946811">
        <w:tc>
          <w:tcPr>
            <w:tcW w:w="4460" w:type="pct"/>
            <w:shd w:val="clear" w:color="auto" w:fill="FFFFFF"/>
          </w:tcPr>
          <w:p w14:paraId="115FB90C" w14:textId="77777777" w:rsidR="00C8678B" w:rsidRPr="00C8678B" w:rsidRDefault="00C8678B" w:rsidP="00C8678B">
            <w:pPr>
              <w:rPr>
                <w:rFonts w:cs="Calibri"/>
                <w:sz w:val="24"/>
              </w:rPr>
            </w:pPr>
            <w:r w:rsidRPr="00C8678B">
              <w:rPr>
                <w:rFonts w:cs="Calibri"/>
                <w:sz w:val="24"/>
              </w:rPr>
              <w:t>Core surveillance &amp; surveys</w:t>
            </w:r>
          </w:p>
        </w:tc>
        <w:tc>
          <w:tcPr>
            <w:tcW w:w="526" w:type="pct"/>
            <w:shd w:val="clear" w:color="auto" w:fill="FFFFFF"/>
          </w:tcPr>
          <w:p w14:paraId="204ACADE" w14:textId="77777777" w:rsidR="00C8678B" w:rsidRPr="00C8678B" w:rsidRDefault="00C8678B" w:rsidP="00C8678B">
            <w:pPr>
              <w:jc w:val="right"/>
              <w:rPr>
                <w:rFonts w:cs="Calibri"/>
                <w:sz w:val="24"/>
              </w:rPr>
            </w:pPr>
          </w:p>
        </w:tc>
      </w:tr>
      <w:tr w:rsidR="00C8678B" w:rsidRPr="00C8678B" w14:paraId="3E8E41C4" w14:textId="77777777" w:rsidTr="00946811">
        <w:tc>
          <w:tcPr>
            <w:tcW w:w="4460" w:type="pct"/>
            <w:shd w:val="clear" w:color="auto" w:fill="FFFFFF"/>
          </w:tcPr>
          <w:p w14:paraId="168622C1" w14:textId="77777777" w:rsidR="00C8678B" w:rsidRPr="00C8678B" w:rsidRDefault="00C8678B" w:rsidP="00C8678B">
            <w:pPr>
              <w:rPr>
                <w:rFonts w:cs="Calibri"/>
                <w:i/>
                <w:sz w:val="24"/>
              </w:rPr>
            </w:pPr>
            <w:r w:rsidRPr="00C8678B">
              <w:rPr>
                <w:rFonts w:cs="Calibri"/>
                <w:i/>
                <w:sz w:val="24"/>
              </w:rPr>
              <w:t>Supports implementation of statewide surveys (e.g. Behavioral Risk Factor Surveillance System Survey and race oversample, Oregon Healthy Teens survey and the Pregnancy Risk Assessment Monitoring System).</w:t>
            </w:r>
          </w:p>
        </w:tc>
        <w:tc>
          <w:tcPr>
            <w:tcW w:w="526" w:type="pct"/>
            <w:shd w:val="clear" w:color="auto" w:fill="FFFFFF"/>
          </w:tcPr>
          <w:p w14:paraId="32F00F78" w14:textId="77777777" w:rsidR="00C8678B" w:rsidRPr="00C8678B" w:rsidRDefault="00C8678B" w:rsidP="00C8678B">
            <w:pPr>
              <w:rPr>
                <w:rFonts w:cs="Calibri"/>
                <w:i/>
                <w:sz w:val="24"/>
              </w:rPr>
            </w:pPr>
          </w:p>
        </w:tc>
      </w:tr>
      <w:tr w:rsidR="00C8678B" w:rsidRPr="00C8678B" w14:paraId="79807BB8" w14:textId="77777777" w:rsidTr="00946811">
        <w:tc>
          <w:tcPr>
            <w:tcW w:w="4460" w:type="pct"/>
            <w:shd w:val="clear" w:color="auto" w:fill="FFFFFF"/>
          </w:tcPr>
          <w:p w14:paraId="727DC781" w14:textId="77777777" w:rsidR="00C8678B" w:rsidRPr="00C8678B" w:rsidRDefault="00C8678B" w:rsidP="00C8678B">
            <w:pPr>
              <w:rPr>
                <w:rFonts w:cs="Calibri"/>
                <w:sz w:val="24"/>
              </w:rPr>
            </w:pPr>
            <w:r w:rsidRPr="00C8678B">
              <w:rPr>
                <w:rFonts w:cs="Calibri"/>
                <w:sz w:val="24"/>
              </w:rPr>
              <w:t xml:space="preserve">Office of Information Services charges </w:t>
            </w:r>
          </w:p>
        </w:tc>
        <w:tc>
          <w:tcPr>
            <w:tcW w:w="526" w:type="pct"/>
            <w:shd w:val="clear" w:color="auto" w:fill="FFFFFF"/>
          </w:tcPr>
          <w:p w14:paraId="5E5B8EC1" w14:textId="77777777" w:rsidR="00C8678B" w:rsidRPr="00C8678B" w:rsidRDefault="00C8678B" w:rsidP="00C8678B">
            <w:pPr>
              <w:jc w:val="right"/>
              <w:rPr>
                <w:rFonts w:cs="Calibri"/>
                <w:sz w:val="24"/>
              </w:rPr>
            </w:pPr>
          </w:p>
        </w:tc>
      </w:tr>
      <w:tr w:rsidR="00C8678B" w:rsidRPr="00C8678B" w14:paraId="2E0C3D15" w14:textId="77777777" w:rsidTr="00946811">
        <w:tc>
          <w:tcPr>
            <w:tcW w:w="4460" w:type="pct"/>
            <w:shd w:val="clear" w:color="auto" w:fill="FFFFFF"/>
          </w:tcPr>
          <w:p w14:paraId="51173A7A" w14:textId="77777777" w:rsidR="00C8678B" w:rsidRPr="00C8678B" w:rsidRDefault="00C8678B" w:rsidP="00C8678B">
            <w:pPr>
              <w:rPr>
                <w:rFonts w:cs="Calibri"/>
                <w:i/>
                <w:sz w:val="24"/>
              </w:rPr>
            </w:pPr>
            <w:r w:rsidRPr="00C8678B">
              <w:rPr>
                <w:rFonts w:cs="Calibri"/>
                <w:i/>
                <w:sz w:val="24"/>
              </w:rPr>
              <w:t xml:space="preserve">Supports maintenance and upgrade of the Oregon Public Health Assessment Tool (OPHAT); communicable disease data collection compliance with REAL+D policy; purchase of enterprise software for data visualization; Oregon State Public Health Laboratory hardware and software upgrades. </w:t>
            </w:r>
          </w:p>
        </w:tc>
        <w:tc>
          <w:tcPr>
            <w:tcW w:w="526" w:type="pct"/>
            <w:shd w:val="clear" w:color="auto" w:fill="FFFFFF"/>
          </w:tcPr>
          <w:p w14:paraId="032B453F" w14:textId="77777777" w:rsidR="00C8678B" w:rsidRPr="00C8678B" w:rsidRDefault="00C8678B" w:rsidP="00C8678B">
            <w:pPr>
              <w:rPr>
                <w:rFonts w:cs="Calibri"/>
                <w:i/>
                <w:sz w:val="24"/>
              </w:rPr>
            </w:pPr>
          </w:p>
        </w:tc>
      </w:tr>
    </w:tbl>
    <w:p w14:paraId="0E98FF0B" w14:textId="77777777" w:rsidR="00C8678B" w:rsidRDefault="00C8678B" w:rsidP="00C8678B">
      <w:pPr>
        <w:pStyle w:val="FactText1"/>
      </w:pPr>
    </w:p>
    <w:sectPr w:rsidR="00C8678B" w:rsidSect="00490DF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432" w:left="720" w:header="432" w:footer="432" w:gutter="0"/>
      <w:cols w:space="720"/>
      <w:formProt w:val="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F9F43" w14:textId="77777777" w:rsidR="008E4C9F" w:rsidRDefault="008E4C9F">
      <w:r>
        <w:separator/>
      </w:r>
    </w:p>
  </w:endnote>
  <w:endnote w:type="continuationSeparator" w:id="0">
    <w:p w14:paraId="6BCE6595" w14:textId="77777777" w:rsidR="008E4C9F" w:rsidRDefault="008E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A2EA85" w14:textId="77777777" w:rsidR="00012850" w:rsidRDefault="000128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D22378" w14:textId="21B82C52" w:rsidR="00D622C6" w:rsidRPr="00490DFA" w:rsidRDefault="00966ABF" w:rsidP="00490DFA">
    <w:pPr>
      <w:pStyle w:val="Footer"/>
    </w:pPr>
    <w:r>
      <w:t>Public Health Modernization</w:t>
    </w:r>
    <w:r w:rsidR="00A5486A">
      <w:t xml:space="preserve"> F</w:t>
    </w:r>
    <w:r w:rsidR="007F1524">
      <w:t>act Sheet</w:t>
    </w:r>
    <w:r w:rsidR="00871699" w:rsidRPr="00490DFA">
      <w:t xml:space="preserve"> </w:t>
    </w:r>
    <w:r w:rsidR="00871699" w:rsidRPr="00490DFA">
      <w:tab/>
    </w:r>
    <w:r w:rsidR="00235407" w:rsidRPr="00490DFA">
      <w:tab/>
    </w:r>
    <w:r w:rsidR="00871699" w:rsidRPr="00490DFA">
      <w:t xml:space="preserve">Last updated </w:t>
    </w:r>
    <w:r w:rsidR="007F1524">
      <w:t>0</w:t>
    </w:r>
    <w:r>
      <w:t>4/03</w:t>
    </w:r>
    <w:r w:rsidR="00490DFA" w:rsidRPr="00490DFA">
      <w:t>/</w:t>
    </w:r>
    <w:r w:rsidR="007F1524">
      <w:t>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718030" w14:textId="77777777" w:rsidR="00012850" w:rsidRDefault="000128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4F19D" w14:textId="77777777" w:rsidR="008E4C9F" w:rsidRDefault="008E4C9F">
      <w:r>
        <w:separator/>
      </w:r>
    </w:p>
  </w:footnote>
  <w:footnote w:type="continuationSeparator" w:id="0">
    <w:p w14:paraId="42FD102A" w14:textId="77777777" w:rsidR="008E4C9F" w:rsidRDefault="008E4C9F">
      <w:r>
        <w:continuationSeparator/>
      </w:r>
    </w:p>
  </w:footnote>
  <w:footnote w:id="1">
    <w:p w14:paraId="578166C8" w14:textId="59F4B885" w:rsidR="00D17E6A" w:rsidRDefault="00D17E6A">
      <w:pPr>
        <w:pStyle w:val="FootnoteText"/>
      </w:pPr>
      <w:r>
        <w:rPr>
          <w:rStyle w:val="FootnoteReference"/>
        </w:rPr>
        <w:footnoteRef/>
      </w:r>
      <w:r>
        <w:t xml:space="preserve"> </w:t>
      </w:r>
      <w:proofErr w:type="gramStart"/>
      <w:r w:rsidRPr="00D17E6A">
        <w:t>Mays GP, Smith SA.</w:t>
      </w:r>
      <w:proofErr w:type="gramEnd"/>
      <w:r w:rsidRPr="00D17E6A">
        <w:t xml:space="preserve"> Evidence links increases in public health spending to declines in preventable deaths. </w:t>
      </w:r>
      <w:proofErr w:type="gramStart"/>
      <w:r w:rsidRPr="00D17E6A">
        <w:t xml:space="preserve">Health </w:t>
      </w:r>
      <w:proofErr w:type="spellStart"/>
      <w:r w:rsidRPr="00D17E6A">
        <w:t>Aff</w:t>
      </w:r>
      <w:proofErr w:type="spellEnd"/>
      <w:r w:rsidRPr="00D17E6A">
        <w:t xml:space="preserve"> (Millwood).</w:t>
      </w:r>
      <w:proofErr w:type="gramEnd"/>
      <w:r w:rsidRPr="00D17E6A">
        <w:t xml:space="preserve"> 2011 Aug; 30(8)</w:t>
      </w:r>
      <w:proofErr w:type="gramStart"/>
      <w:r w:rsidRPr="00D17E6A">
        <w:t>:1585</w:t>
      </w:r>
      <w:proofErr w:type="gramEnd"/>
      <w:r w:rsidRPr="00D17E6A">
        <w:t>–1593.</w:t>
      </w:r>
    </w:p>
  </w:footnote>
  <w:footnote w:id="2">
    <w:p w14:paraId="2C3FC1C2" w14:textId="2D77598B" w:rsidR="00D17E6A" w:rsidRDefault="00D17E6A">
      <w:pPr>
        <w:pStyle w:val="FootnoteText"/>
      </w:pPr>
      <w:r>
        <w:rPr>
          <w:rStyle w:val="FootnoteReference"/>
        </w:rPr>
        <w:footnoteRef/>
      </w:r>
      <w:r>
        <w:t xml:space="preserve"> </w:t>
      </w:r>
      <w:r w:rsidRPr="00D17E6A">
        <w:t xml:space="preserve">Brown TT. </w:t>
      </w:r>
      <w:proofErr w:type="gramStart"/>
      <w:r w:rsidRPr="00D17E6A">
        <w:t>Returns on investment in California county health departments of public health.</w:t>
      </w:r>
      <w:proofErr w:type="gramEnd"/>
      <w:r w:rsidRPr="00D17E6A">
        <w:t xml:space="preserve"> </w:t>
      </w:r>
      <w:proofErr w:type="spellStart"/>
      <w:r w:rsidRPr="00D17E6A">
        <w:t>Aj</w:t>
      </w:r>
      <w:proofErr w:type="spellEnd"/>
      <w:r w:rsidRPr="00D17E6A">
        <w:t xml:space="preserve"> J Public Health 2016; 106(8)</w:t>
      </w:r>
      <w:proofErr w:type="gramStart"/>
      <w:r w:rsidRPr="00D17E6A">
        <w:t>:1477</w:t>
      </w:r>
      <w:proofErr w:type="gramEnd"/>
      <w:r w:rsidRPr="00D17E6A">
        <w:t>-82.</w:t>
      </w:r>
    </w:p>
  </w:footnote>
  <w:footnote w:id="3">
    <w:p w14:paraId="6AD1DBCC" w14:textId="18A93EE4" w:rsidR="00D17E6A" w:rsidRDefault="00D17E6A">
      <w:pPr>
        <w:pStyle w:val="FootnoteText"/>
      </w:pPr>
      <w:r>
        <w:rPr>
          <w:rStyle w:val="FootnoteReference"/>
        </w:rPr>
        <w:footnoteRef/>
      </w:r>
      <w:r>
        <w:t xml:space="preserve"> </w:t>
      </w:r>
      <w:r w:rsidRPr="00D17E6A">
        <w:t xml:space="preserve">Brown TT. How effective are public health departments at preventing mortality? </w:t>
      </w:r>
      <w:proofErr w:type="gramStart"/>
      <w:r w:rsidRPr="00D17E6A">
        <w:t>Econ Hum Biol. 2014 Mar; 13:34-45.</w:t>
      </w:r>
      <w:proofErr w:type="gramEnd"/>
    </w:p>
    <w:p w14:paraId="2FDE6DBF" w14:textId="77777777" w:rsidR="004E0DAC" w:rsidRDefault="004E0DAC">
      <w:pPr>
        <w:pStyle w:val="FootnoteText"/>
      </w:pPr>
    </w:p>
  </w:footnote>
  <w:footnote w:id="4">
    <w:p w14:paraId="283A21B5" w14:textId="032505B7" w:rsidR="00D17E6A" w:rsidRDefault="00D17E6A">
      <w:pPr>
        <w:pStyle w:val="FootnoteText"/>
      </w:pPr>
      <w:r>
        <w:rPr>
          <w:rStyle w:val="FootnoteReference"/>
        </w:rPr>
        <w:footnoteRef/>
      </w:r>
      <w:r>
        <w:t xml:space="preserve"> </w:t>
      </w:r>
      <w:proofErr w:type="gramStart"/>
      <w:r w:rsidRPr="00D17E6A">
        <w:t>Institute of Medicine.</w:t>
      </w:r>
      <w:proofErr w:type="gramEnd"/>
      <w:r w:rsidRPr="00D17E6A">
        <w:t xml:space="preserve"> For the public’s health: Investing in a healthier future. Washington, DC: The National Academies Press; 2012.</w:t>
      </w:r>
    </w:p>
    <w:p w14:paraId="3E590257" w14:textId="77777777" w:rsidR="004E0DAC" w:rsidRDefault="004E0DAC">
      <w:pPr>
        <w:pStyle w:val="FootnoteText"/>
      </w:pPr>
    </w:p>
  </w:footnote>
  <w:footnote w:id="5">
    <w:p w14:paraId="1C2306D4" w14:textId="2295B685" w:rsidR="009B6EC5" w:rsidRDefault="009B6EC5">
      <w:pPr>
        <w:pStyle w:val="FootnoteText"/>
      </w:pPr>
      <w:r>
        <w:rPr>
          <w:rStyle w:val="FootnoteReference"/>
        </w:rPr>
        <w:footnoteRef/>
      </w:r>
      <w:r>
        <w:t xml:space="preserve"> State of Oregon</w:t>
      </w:r>
      <w:r w:rsidR="00747DED">
        <w:t xml:space="preserve"> Public Health Modernization Assessment Report, June 2016. </w:t>
      </w:r>
      <w:hyperlink r:id="rId1" w:history="1">
        <w:r w:rsidR="00747DED" w:rsidRPr="00B94446">
          <w:rPr>
            <w:rStyle w:val="Hyperlink"/>
          </w:rPr>
          <w:t>https://www.oregon.gov/oha/PH/ABOUT/TASKFORCE/Documents/PHModernizationFullDetailedReport.pdf</w:t>
        </w:r>
      </w:hyperlink>
      <w:r w:rsidR="00747DED">
        <w:t xml:space="preserve"> </w:t>
      </w:r>
    </w:p>
  </w:footnote>
  <w:footnote w:id="6">
    <w:p w14:paraId="4742DB81" w14:textId="77BB9AAC" w:rsidR="00747DED" w:rsidRDefault="00747DED">
      <w:pPr>
        <w:pStyle w:val="FootnoteText"/>
      </w:pPr>
      <w:r>
        <w:rPr>
          <w:rStyle w:val="FootnoteReference"/>
        </w:rPr>
        <w:footnoteRef/>
      </w:r>
      <w:r>
        <w:t xml:space="preserve"> Statewide Public Health Modernization Plan, December 2016. </w:t>
      </w:r>
      <w:hyperlink r:id="rId2" w:history="1">
        <w:r w:rsidRPr="00B94446">
          <w:rPr>
            <w:rStyle w:val="Hyperlink"/>
          </w:rPr>
          <w:t>https://www.oregon.gov/oha/PH/ABOUT/TASKFORCE/Documents/statewidemodernizationplan.pdf</w:t>
        </w:r>
      </w:hyperlink>
      <w:r>
        <w:t xml:space="preserve"> </w:t>
      </w:r>
    </w:p>
    <w:p w14:paraId="7329ABDF" w14:textId="77777777" w:rsidR="004E0DAC" w:rsidRDefault="004E0DAC">
      <w:pPr>
        <w:pStyle w:val="FootnoteText"/>
      </w:pPr>
    </w:p>
  </w:footnote>
  <w:footnote w:id="7">
    <w:p w14:paraId="692FB7C6" w14:textId="20B37FBA" w:rsidR="009B6EC5" w:rsidRDefault="009B6EC5">
      <w:pPr>
        <w:pStyle w:val="FootnoteText"/>
      </w:pPr>
      <w:r>
        <w:rPr>
          <w:rStyle w:val="FootnoteReference"/>
        </w:rPr>
        <w:footnoteRef/>
      </w:r>
      <w:r>
        <w:t xml:space="preserve"> </w:t>
      </w:r>
      <w:r w:rsidRPr="009B6EC5">
        <w:t>Including initiation of outbreak investigation within 1 day, particularly in counties currently lacking basic capacity</w:t>
      </w:r>
      <w:r>
        <w:t xml:space="preserve">; </w:t>
      </w:r>
      <w:hyperlink r:id="rId3" w:history="1">
        <w:r w:rsidRPr="00B94446">
          <w:rPr>
            <w:rStyle w:val="Hyperlink"/>
          </w:rPr>
          <w:t>https://www.oregon.gov/oha/PH/PROVIDERPARTNERRESOURCES/LOCALHEALTHDEPARTMENTRESOURCES/Pages/lhd-trt.aspx</w:t>
        </w:r>
      </w:hyperlink>
      <w:r>
        <w:t xml:space="preserve"> </w:t>
      </w:r>
    </w:p>
    <w:p w14:paraId="2137C3D6" w14:textId="77777777" w:rsidR="004E0DAC" w:rsidRDefault="004E0DAC">
      <w:pPr>
        <w:pStyle w:val="FootnoteText"/>
      </w:pPr>
    </w:p>
  </w:footnote>
  <w:footnote w:id="8">
    <w:p w14:paraId="5E3ED33D" w14:textId="0ADA2601" w:rsidR="009B6EC5" w:rsidRDefault="009B6EC5">
      <w:pPr>
        <w:pStyle w:val="FootnoteText"/>
      </w:pPr>
      <w:r>
        <w:rPr>
          <w:rStyle w:val="FootnoteReference"/>
        </w:rPr>
        <w:footnoteRef/>
      </w:r>
      <w:r>
        <w:t xml:space="preserve"> </w:t>
      </w:r>
      <w:hyperlink r:id="rId4" w:history="1">
        <w:r w:rsidRPr="00B94446">
          <w:rPr>
            <w:rStyle w:val="Hyperlink"/>
          </w:rPr>
          <w:t>https://www.oregon.gov/oha/PH/PROVIDERPARTNERRESOURCES/LOCALHEALTHDEPARTMENTRESOURCES/Pages/lhd-trt.aspx</w:t>
        </w:r>
      </w:hyperlink>
    </w:p>
  </w:footnote>
  <w:footnote w:id="9">
    <w:p w14:paraId="03329798" w14:textId="3B2FF1E3" w:rsidR="009B6EC5" w:rsidRDefault="009B6EC5">
      <w:pPr>
        <w:pStyle w:val="FootnoteText"/>
      </w:pPr>
      <w:r>
        <w:rPr>
          <w:rStyle w:val="FootnoteReference"/>
        </w:rPr>
        <w:footnoteRef/>
      </w:r>
      <w:r>
        <w:t xml:space="preserve"> </w:t>
      </w:r>
      <w:r w:rsidRPr="009B6EC5">
        <w:t>Increase immunization rates by 2% per year immunize 1,854 children by increasing private provider participation in statewide (AFIX) Assessment Feedback Incentives Exchange (AFIX)</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8983EE" w14:textId="031BCEF2" w:rsidR="00012850" w:rsidRDefault="00012850">
    <w:pPr>
      <w:pStyle w:val="Header"/>
    </w:pPr>
    <w:r>
      <w:rPr>
        <w:noProof/>
      </w:rPr>
      <w:pict w14:anchorId="4FA1894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0pt;height:180pt;z-index:-251655168;mso-wrap-edited:f;mso-position-horizontal:center;mso-position-horizontal-relative:margin;mso-position-vertical:center;mso-position-vertical-relative:margin" wrapcoords="11370 4140 90 4410 60 4770 630 5580 660 15660 60 17100 60 17190 20550 17190 20550 17100 19950 15660 19920 8460 20280 8370 21450 7380 21450 4410 11640 4140 11370 4140" fillcolor="silver" stroked="f">
          <v:textpath style="font-family:&quot;Times New Roman&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AE5740" w14:textId="0CC7C6EE" w:rsidR="00012850" w:rsidRDefault="00012850">
    <w:pPr>
      <w:pStyle w:val="Header"/>
    </w:pPr>
    <w:r>
      <w:rPr>
        <w:noProof/>
      </w:rPr>
      <w:pict w14:anchorId="2B12D6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0pt;height:180pt;z-index:-251657216;mso-wrap-edited:f;mso-position-horizontal:center;mso-position-horizontal-relative:margin;mso-position-vertical:center;mso-position-vertical-relative:margin" wrapcoords="11370 4140 90 4410 60 4770 630 5580 660 15660 60 17100 60 17190 20550 17190 20550 17100 19950 15660 19920 8460 20280 8370 21450 7380 21450 4410 11640 4140 11370 4140" fillcolor="silver" stroked="f">
          <v:textpath style="font-family:&quot;Times New Roman&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8DFB42" w14:textId="6C54839B" w:rsidR="00012850" w:rsidRDefault="00012850">
    <w:pPr>
      <w:pStyle w:val="Header"/>
    </w:pPr>
    <w:r>
      <w:rPr>
        <w:noProof/>
      </w:rPr>
      <w:pict w14:anchorId="567547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0pt;height:180pt;z-index:-251653120;mso-wrap-edited:f;mso-position-horizontal:center;mso-position-horizontal-relative:margin;mso-position-vertical:center;mso-position-vertical-relative:margin" wrapcoords="11370 4140 90 4410 60 4770 630 5580 660 15660 60 17100 60 17190 20550 17190 20550 17100 19950 15660 19920 8460 20280 8370 21450 7380 21450 4410 11640 4140 11370 4140" fillcolor="silver" stroked="f">
          <v:textpath style="font-family:&quot;Times New Roman&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E32"/>
    <w:multiLevelType w:val="hybridMultilevel"/>
    <w:tmpl w:val="9CF00FEE"/>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0D2E4700"/>
    <w:multiLevelType w:val="hybridMultilevel"/>
    <w:tmpl w:val="165ABF56"/>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0D7158FF"/>
    <w:multiLevelType w:val="hybridMultilevel"/>
    <w:tmpl w:val="D7E61E64"/>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0E5F7E5A"/>
    <w:multiLevelType w:val="hybridMultilevel"/>
    <w:tmpl w:val="2BB0829A"/>
    <w:lvl w:ilvl="0" w:tplc="E7462AE8">
      <w:start w:val="1"/>
      <w:numFmt w:val="bullet"/>
      <w:lvlText w:val=""/>
      <w:lvlJc w:val="left"/>
      <w:pPr>
        <w:ind w:left="870" w:hanging="360"/>
      </w:pPr>
      <w:rPr>
        <w:rFonts w:ascii="Wingdings 3" w:hAnsi="Wingdings 3" w:hint="default"/>
        <w:color w:val="EC890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EA461B3"/>
    <w:multiLevelType w:val="hybridMultilevel"/>
    <w:tmpl w:val="9B56B12C"/>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nsid w:val="1D8A6478"/>
    <w:multiLevelType w:val="hybridMultilevel"/>
    <w:tmpl w:val="1FBEFFD8"/>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nsid w:val="1E9A2751"/>
    <w:multiLevelType w:val="hybridMultilevel"/>
    <w:tmpl w:val="04940DD6"/>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nsid w:val="217A0C61"/>
    <w:multiLevelType w:val="hybridMultilevel"/>
    <w:tmpl w:val="3F5E568A"/>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nsid w:val="253F1156"/>
    <w:multiLevelType w:val="hybridMultilevel"/>
    <w:tmpl w:val="7F3ED774"/>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nsid w:val="2F2143CC"/>
    <w:multiLevelType w:val="hybridMultilevel"/>
    <w:tmpl w:val="59D0F19C"/>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0">
    <w:nsid w:val="2F3E1E97"/>
    <w:multiLevelType w:val="hybridMultilevel"/>
    <w:tmpl w:val="98AC7CE2"/>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35A66546"/>
    <w:multiLevelType w:val="hybridMultilevel"/>
    <w:tmpl w:val="04BA9D0E"/>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nsid w:val="37894776"/>
    <w:multiLevelType w:val="hybridMultilevel"/>
    <w:tmpl w:val="6CC65756"/>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nsid w:val="3F2355ED"/>
    <w:multiLevelType w:val="hybridMultilevel"/>
    <w:tmpl w:val="3D5410C8"/>
    <w:lvl w:ilvl="0" w:tplc="E7462AE8">
      <w:start w:val="1"/>
      <w:numFmt w:val="bullet"/>
      <w:lvlText w:val=""/>
      <w:lvlJc w:val="left"/>
      <w:pPr>
        <w:ind w:left="870" w:hanging="360"/>
      </w:pPr>
      <w:rPr>
        <w:rFonts w:ascii="Wingdings 3" w:hAnsi="Wingdings 3" w:hint="default"/>
        <w:color w:val="EC890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nsid w:val="45755947"/>
    <w:multiLevelType w:val="hybridMultilevel"/>
    <w:tmpl w:val="A708471E"/>
    <w:lvl w:ilvl="0" w:tplc="E7462AE8">
      <w:start w:val="1"/>
      <w:numFmt w:val="bullet"/>
      <w:lvlText w:val=""/>
      <w:lvlJc w:val="left"/>
      <w:pPr>
        <w:ind w:left="870" w:hanging="360"/>
      </w:pPr>
      <w:rPr>
        <w:rFonts w:ascii="Wingdings 3" w:hAnsi="Wingdings 3" w:hint="default"/>
        <w:color w:val="EC890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57441A18"/>
    <w:multiLevelType w:val="hybridMultilevel"/>
    <w:tmpl w:val="BF9EA34E"/>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nsid w:val="615B3D46"/>
    <w:multiLevelType w:val="hybridMultilevel"/>
    <w:tmpl w:val="F0126EEA"/>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65D13D85"/>
    <w:multiLevelType w:val="hybridMultilevel"/>
    <w:tmpl w:val="A6F814A8"/>
    <w:lvl w:ilvl="0" w:tplc="E7462AE8">
      <w:start w:val="1"/>
      <w:numFmt w:val="bullet"/>
      <w:lvlText w:val=""/>
      <w:lvlJc w:val="left"/>
      <w:pPr>
        <w:ind w:left="720" w:hanging="360"/>
      </w:pPr>
      <w:rPr>
        <w:rFonts w:ascii="Wingdings 3" w:hAnsi="Wingdings 3"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D3206"/>
    <w:multiLevelType w:val="hybridMultilevel"/>
    <w:tmpl w:val="853CE496"/>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nsid w:val="6A9F3560"/>
    <w:multiLevelType w:val="hybridMultilevel"/>
    <w:tmpl w:val="BF906DD6"/>
    <w:lvl w:ilvl="0" w:tplc="E7462AE8">
      <w:start w:val="1"/>
      <w:numFmt w:val="bullet"/>
      <w:lvlText w:val=""/>
      <w:lvlJc w:val="left"/>
      <w:pPr>
        <w:ind w:left="870" w:hanging="360"/>
      </w:pPr>
      <w:rPr>
        <w:rFonts w:ascii="Wingdings 3" w:hAnsi="Wingdings 3" w:hint="default"/>
        <w:color w:val="EC890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nsid w:val="70095EB6"/>
    <w:multiLevelType w:val="hybridMultilevel"/>
    <w:tmpl w:val="6B7E5DA2"/>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nsid w:val="777B079F"/>
    <w:multiLevelType w:val="hybridMultilevel"/>
    <w:tmpl w:val="2762359A"/>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nsid w:val="7B8855A6"/>
    <w:multiLevelType w:val="hybridMultilevel"/>
    <w:tmpl w:val="23D61054"/>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nsid w:val="7F5C52D1"/>
    <w:multiLevelType w:val="hybridMultilevel"/>
    <w:tmpl w:val="EAB24936"/>
    <w:lvl w:ilvl="0" w:tplc="E7462AE8">
      <w:start w:val="1"/>
      <w:numFmt w:val="bullet"/>
      <w:lvlText w:val=""/>
      <w:lvlJc w:val="left"/>
      <w:pPr>
        <w:ind w:left="870" w:hanging="360"/>
      </w:pPr>
      <w:rPr>
        <w:rFonts w:ascii="Wingdings 3" w:hAnsi="Wingdings 3" w:hint="default"/>
        <w:color w:val="EC890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nsid w:val="7FD159E5"/>
    <w:multiLevelType w:val="hybridMultilevel"/>
    <w:tmpl w:val="CA301F28"/>
    <w:lvl w:ilvl="0" w:tplc="E7462AE8">
      <w:start w:val="1"/>
      <w:numFmt w:val="bullet"/>
      <w:lvlText w:val=""/>
      <w:lvlJc w:val="left"/>
      <w:pPr>
        <w:ind w:left="806" w:hanging="360"/>
      </w:pPr>
      <w:rPr>
        <w:rFonts w:ascii="Wingdings 3" w:hAnsi="Wingdings 3" w:hint="default"/>
        <w:color w:val="EC890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20"/>
  </w:num>
  <w:num w:numId="2">
    <w:abstractNumId w:val="0"/>
  </w:num>
  <w:num w:numId="3">
    <w:abstractNumId w:val="7"/>
  </w:num>
  <w:num w:numId="4">
    <w:abstractNumId w:val="11"/>
  </w:num>
  <w:num w:numId="5">
    <w:abstractNumId w:val="4"/>
  </w:num>
  <w:num w:numId="6">
    <w:abstractNumId w:val="12"/>
  </w:num>
  <w:num w:numId="7">
    <w:abstractNumId w:val="8"/>
  </w:num>
  <w:num w:numId="8">
    <w:abstractNumId w:val="2"/>
  </w:num>
  <w:num w:numId="9">
    <w:abstractNumId w:val="6"/>
  </w:num>
  <w:num w:numId="10">
    <w:abstractNumId w:val="16"/>
  </w:num>
  <w:num w:numId="11">
    <w:abstractNumId w:val="10"/>
  </w:num>
  <w:num w:numId="12">
    <w:abstractNumId w:val="13"/>
  </w:num>
  <w:num w:numId="13">
    <w:abstractNumId w:val="17"/>
  </w:num>
  <w:num w:numId="14">
    <w:abstractNumId w:val="22"/>
  </w:num>
  <w:num w:numId="15">
    <w:abstractNumId w:val="14"/>
  </w:num>
  <w:num w:numId="16">
    <w:abstractNumId w:val="15"/>
  </w:num>
  <w:num w:numId="17">
    <w:abstractNumId w:val="1"/>
  </w:num>
  <w:num w:numId="18">
    <w:abstractNumId w:val="21"/>
  </w:num>
  <w:num w:numId="19">
    <w:abstractNumId w:val="3"/>
  </w:num>
  <w:num w:numId="20">
    <w:abstractNumId w:val="23"/>
  </w:num>
  <w:num w:numId="21">
    <w:abstractNumId w:val="5"/>
  </w:num>
  <w:num w:numId="22">
    <w:abstractNumId w:val="19"/>
  </w:num>
  <w:num w:numId="23">
    <w:abstractNumId w:val="18"/>
  </w:num>
  <w:num w:numId="24">
    <w:abstractNumId w:val="9"/>
  </w:num>
  <w:num w:numId="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24"/>
    <w:rsid w:val="00000937"/>
    <w:rsid w:val="00012850"/>
    <w:rsid w:val="00012C4A"/>
    <w:rsid w:val="00017AAC"/>
    <w:rsid w:val="000259D9"/>
    <w:rsid w:val="00027861"/>
    <w:rsid w:val="00027A4E"/>
    <w:rsid w:val="00035B07"/>
    <w:rsid w:val="000424AB"/>
    <w:rsid w:val="0006406C"/>
    <w:rsid w:val="00087C09"/>
    <w:rsid w:val="00090BF1"/>
    <w:rsid w:val="000B1927"/>
    <w:rsid w:val="000C0D01"/>
    <w:rsid w:val="000C1364"/>
    <w:rsid w:val="000C1EBD"/>
    <w:rsid w:val="000C7909"/>
    <w:rsid w:val="000D5DD5"/>
    <w:rsid w:val="000E7374"/>
    <w:rsid w:val="000F55FC"/>
    <w:rsid w:val="00101D54"/>
    <w:rsid w:val="00117957"/>
    <w:rsid w:val="00123DE9"/>
    <w:rsid w:val="00135FD1"/>
    <w:rsid w:val="001525DF"/>
    <w:rsid w:val="00170B1D"/>
    <w:rsid w:val="00177F52"/>
    <w:rsid w:val="00181A88"/>
    <w:rsid w:val="00181B4E"/>
    <w:rsid w:val="00187E17"/>
    <w:rsid w:val="001A2AD5"/>
    <w:rsid w:val="001A614B"/>
    <w:rsid w:val="001D61B8"/>
    <w:rsid w:val="001F10DE"/>
    <w:rsid w:val="001F3FDA"/>
    <w:rsid w:val="00226D56"/>
    <w:rsid w:val="00235407"/>
    <w:rsid w:val="002635E5"/>
    <w:rsid w:val="002830EC"/>
    <w:rsid w:val="00283943"/>
    <w:rsid w:val="00296576"/>
    <w:rsid w:val="002C67C5"/>
    <w:rsid w:val="002D40F9"/>
    <w:rsid w:val="002D4DA4"/>
    <w:rsid w:val="002F1158"/>
    <w:rsid w:val="003023EC"/>
    <w:rsid w:val="00310D92"/>
    <w:rsid w:val="003242FD"/>
    <w:rsid w:val="00327005"/>
    <w:rsid w:val="0033244B"/>
    <w:rsid w:val="00350C2A"/>
    <w:rsid w:val="00357F59"/>
    <w:rsid w:val="00360814"/>
    <w:rsid w:val="0037365D"/>
    <w:rsid w:val="00392EC6"/>
    <w:rsid w:val="003A0310"/>
    <w:rsid w:val="003A55B2"/>
    <w:rsid w:val="003B2294"/>
    <w:rsid w:val="003B3E6D"/>
    <w:rsid w:val="003C3157"/>
    <w:rsid w:val="003C4DFB"/>
    <w:rsid w:val="003D3324"/>
    <w:rsid w:val="003D7B49"/>
    <w:rsid w:val="003E51BC"/>
    <w:rsid w:val="003F44D8"/>
    <w:rsid w:val="003F6DBB"/>
    <w:rsid w:val="0040022B"/>
    <w:rsid w:val="00406877"/>
    <w:rsid w:val="004079D3"/>
    <w:rsid w:val="00412733"/>
    <w:rsid w:val="00414432"/>
    <w:rsid w:val="00462DBB"/>
    <w:rsid w:val="00463370"/>
    <w:rsid w:val="00472664"/>
    <w:rsid w:val="00485F9F"/>
    <w:rsid w:val="00490DFA"/>
    <w:rsid w:val="00491233"/>
    <w:rsid w:val="00492B45"/>
    <w:rsid w:val="004977BE"/>
    <w:rsid w:val="004B4F3C"/>
    <w:rsid w:val="004B7C4F"/>
    <w:rsid w:val="004C0946"/>
    <w:rsid w:val="004C3D73"/>
    <w:rsid w:val="004D4A31"/>
    <w:rsid w:val="004E0DAC"/>
    <w:rsid w:val="004E1244"/>
    <w:rsid w:val="0050712F"/>
    <w:rsid w:val="005077A6"/>
    <w:rsid w:val="00521A23"/>
    <w:rsid w:val="005274B9"/>
    <w:rsid w:val="00532CC5"/>
    <w:rsid w:val="005427D2"/>
    <w:rsid w:val="00546B95"/>
    <w:rsid w:val="00546C7D"/>
    <w:rsid w:val="00553AB1"/>
    <w:rsid w:val="00587447"/>
    <w:rsid w:val="00587931"/>
    <w:rsid w:val="005960C6"/>
    <w:rsid w:val="005A12B5"/>
    <w:rsid w:val="005D05E0"/>
    <w:rsid w:val="005D56D7"/>
    <w:rsid w:val="005D66E9"/>
    <w:rsid w:val="005D6D01"/>
    <w:rsid w:val="0061239C"/>
    <w:rsid w:val="00613F3A"/>
    <w:rsid w:val="006337E3"/>
    <w:rsid w:val="0063545B"/>
    <w:rsid w:val="0063653E"/>
    <w:rsid w:val="006379C5"/>
    <w:rsid w:val="00647609"/>
    <w:rsid w:val="00651044"/>
    <w:rsid w:val="00663606"/>
    <w:rsid w:val="0066724E"/>
    <w:rsid w:val="006760AD"/>
    <w:rsid w:val="006769FA"/>
    <w:rsid w:val="006776B3"/>
    <w:rsid w:val="00686808"/>
    <w:rsid w:val="006B2565"/>
    <w:rsid w:val="006C2690"/>
    <w:rsid w:val="006C3EC3"/>
    <w:rsid w:val="006D2D68"/>
    <w:rsid w:val="006D6501"/>
    <w:rsid w:val="006F102C"/>
    <w:rsid w:val="00704386"/>
    <w:rsid w:val="00704495"/>
    <w:rsid w:val="00710A75"/>
    <w:rsid w:val="00723FD3"/>
    <w:rsid w:val="00744970"/>
    <w:rsid w:val="00747DED"/>
    <w:rsid w:val="00750132"/>
    <w:rsid w:val="00756A70"/>
    <w:rsid w:val="00761A61"/>
    <w:rsid w:val="00774FC5"/>
    <w:rsid w:val="007857FB"/>
    <w:rsid w:val="00791FF6"/>
    <w:rsid w:val="00796536"/>
    <w:rsid w:val="007967A0"/>
    <w:rsid w:val="007A78BF"/>
    <w:rsid w:val="007B325E"/>
    <w:rsid w:val="007C426B"/>
    <w:rsid w:val="007C52B1"/>
    <w:rsid w:val="007E4B1F"/>
    <w:rsid w:val="007F1524"/>
    <w:rsid w:val="00802F24"/>
    <w:rsid w:val="008030D5"/>
    <w:rsid w:val="0081314F"/>
    <w:rsid w:val="00825779"/>
    <w:rsid w:val="00840485"/>
    <w:rsid w:val="00847F58"/>
    <w:rsid w:val="00860E07"/>
    <w:rsid w:val="00862A8D"/>
    <w:rsid w:val="008637DF"/>
    <w:rsid w:val="00867C18"/>
    <w:rsid w:val="00867E62"/>
    <w:rsid w:val="00871699"/>
    <w:rsid w:val="00887818"/>
    <w:rsid w:val="008B133B"/>
    <w:rsid w:val="008B48DF"/>
    <w:rsid w:val="008B7C2B"/>
    <w:rsid w:val="008C160E"/>
    <w:rsid w:val="008C537E"/>
    <w:rsid w:val="008D1066"/>
    <w:rsid w:val="008D7E32"/>
    <w:rsid w:val="008E3AF4"/>
    <w:rsid w:val="008E4C9F"/>
    <w:rsid w:val="0091315B"/>
    <w:rsid w:val="009161C6"/>
    <w:rsid w:val="00917791"/>
    <w:rsid w:val="00933828"/>
    <w:rsid w:val="00936E7E"/>
    <w:rsid w:val="00946811"/>
    <w:rsid w:val="00947EC5"/>
    <w:rsid w:val="00951D16"/>
    <w:rsid w:val="00966ABF"/>
    <w:rsid w:val="0097649F"/>
    <w:rsid w:val="00996669"/>
    <w:rsid w:val="009A72B4"/>
    <w:rsid w:val="009B6EC5"/>
    <w:rsid w:val="009D22BD"/>
    <w:rsid w:val="009D2E3D"/>
    <w:rsid w:val="009D624F"/>
    <w:rsid w:val="00A17A29"/>
    <w:rsid w:val="00A3132B"/>
    <w:rsid w:val="00A43859"/>
    <w:rsid w:val="00A5486A"/>
    <w:rsid w:val="00A711C9"/>
    <w:rsid w:val="00A764D0"/>
    <w:rsid w:val="00A76D04"/>
    <w:rsid w:val="00A842CD"/>
    <w:rsid w:val="00A91B74"/>
    <w:rsid w:val="00A9403B"/>
    <w:rsid w:val="00AD1ED5"/>
    <w:rsid w:val="00AD33BC"/>
    <w:rsid w:val="00AD4070"/>
    <w:rsid w:val="00AD468C"/>
    <w:rsid w:val="00AF4F25"/>
    <w:rsid w:val="00B17221"/>
    <w:rsid w:val="00B23262"/>
    <w:rsid w:val="00B344D2"/>
    <w:rsid w:val="00B37B2D"/>
    <w:rsid w:val="00B404AD"/>
    <w:rsid w:val="00B449AC"/>
    <w:rsid w:val="00B45EBC"/>
    <w:rsid w:val="00B502A0"/>
    <w:rsid w:val="00B93F5C"/>
    <w:rsid w:val="00B96728"/>
    <w:rsid w:val="00BA7A1C"/>
    <w:rsid w:val="00BB0102"/>
    <w:rsid w:val="00BD64B9"/>
    <w:rsid w:val="00BD7DC5"/>
    <w:rsid w:val="00BD7E0F"/>
    <w:rsid w:val="00BD7FF1"/>
    <w:rsid w:val="00BE1249"/>
    <w:rsid w:val="00BE241E"/>
    <w:rsid w:val="00BF0FA9"/>
    <w:rsid w:val="00BF1A88"/>
    <w:rsid w:val="00BF5FCC"/>
    <w:rsid w:val="00C00FDD"/>
    <w:rsid w:val="00C07F72"/>
    <w:rsid w:val="00C139EF"/>
    <w:rsid w:val="00C24C3F"/>
    <w:rsid w:val="00C4625C"/>
    <w:rsid w:val="00C55AB8"/>
    <w:rsid w:val="00C74DC6"/>
    <w:rsid w:val="00C75174"/>
    <w:rsid w:val="00C81A4A"/>
    <w:rsid w:val="00C8678B"/>
    <w:rsid w:val="00C870A3"/>
    <w:rsid w:val="00C87C3A"/>
    <w:rsid w:val="00CA0933"/>
    <w:rsid w:val="00CA2C68"/>
    <w:rsid w:val="00CA4B07"/>
    <w:rsid w:val="00CD49BC"/>
    <w:rsid w:val="00CE2B79"/>
    <w:rsid w:val="00D015F4"/>
    <w:rsid w:val="00D17E6A"/>
    <w:rsid w:val="00D23100"/>
    <w:rsid w:val="00D233D8"/>
    <w:rsid w:val="00D30533"/>
    <w:rsid w:val="00D3185F"/>
    <w:rsid w:val="00D3239E"/>
    <w:rsid w:val="00D33427"/>
    <w:rsid w:val="00D33A0D"/>
    <w:rsid w:val="00D40F2A"/>
    <w:rsid w:val="00D439C6"/>
    <w:rsid w:val="00D50E2F"/>
    <w:rsid w:val="00D622C6"/>
    <w:rsid w:val="00D66D03"/>
    <w:rsid w:val="00D82ABE"/>
    <w:rsid w:val="00D86AD5"/>
    <w:rsid w:val="00DA2EEF"/>
    <w:rsid w:val="00DA56A5"/>
    <w:rsid w:val="00DC0D62"/>
    <w:rsid w:val="00DC42D6"/>
    <w:rsid w:val="00DC5F3E"/>
    <w:rsid w:val="00DD317D"/>
    <w:rsid w:val="00DE3818"/>
    <w:rsid w:val="00DF20A1"/>
    <w:rsid w:val="00E10ACB"/>
    <w:rsid w:val="00E10E3C"/>
    <w:rsid w:val="00E211B7"/>
    <w:rsid w:val="00E3003A"/>
    <w:rsid w:val="00E402C3"/>
    <w:rsid w:val="00E43CED"/>
    <w:rsid w:val="00E4605E"/>
    <w:rsid w:val="00E50C2E"/>
    <w:rsid w:val="00E512C1"/>
    <w:rsid w:val="00E577A7"/>
    <w:rsid w:val="00E66EB6"/>
    <w:rsid w:val="00E93C82"/>
    <w:rsid w:val="00E948DC"/>
    <w:rsid w:val="00EA2327"/>
    <w:rsid w:val="00EA4480"/>
    <w:rsid w:val="00EA6112"/>
    <w:rsid w:val="00EC5344"/>
    <w:rsid w:val="00EC7039"/>
    <w:rsid w:val="00EE0046"/>
    <w:rsid w:val="00EE2543"/>
    <w:rsid w:val="00EE49BE"/>
    <w:rsid w:val="00EE51E0"/>
    <w:rsid w:val="00EF7C32"/>
    <w:rsid w:val="00F16328"/>
    <w:rsid w:val="00F32AD2"/>
    <w:rsid w:val="00F3706A"/>
    <w:rsid w:val="00F37FE0"/>
    <w:rsid w:val="00F47162"/>
    <w:rsid w:val="00F50B13"/>
    <w:rsid w:val="00F715F5"/>
    <w:rsid w:val="00F76C73"/>
    <w:rsid w:val="00F772CE"/>
    <w:rsid w:val="00F83341"/>
    <w:rsid w:val="00F90279"/>
    <w:rsid w:val="00F92AB6"/>
    <w:rsid w:val="00FB28B2"/>
    <w:rsid w:val="00FB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AB6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2C6"/>
    <w:rPr>
      <w:sz w:val="28"/>
      <w:szCs w:val="24"/>
    </w:rPr>
  </w:style>
  <w:style w:type="paragraph" w:styleId="Heading1">
    <w:name w:val="heading 1"/>
    <w:basedOn w:val="Normal"/>
    <w:next w:val="Normal"/>
    <w:link w:val="Heading1Char"/>
    <w:uiPriority w:val="9"/>
    <w:qFormat/>
    <w:rsid w:val="008C160E"/>
    <w:pPr>
      <w:keepNext/>
      <w:keepLines/>
      <w:spacing w:after="60"/>
      <w:ind w:left="86"/>
      <w:outlineLvl w:val="0"/>
    </w:pPr>
    <w:rPr>
      <w:rFonts w:ascii="Arial" w:hAnsi="Arial"/>
      <w:b/>
      <w:bCs/>
      <w:color w:val="005595"/>
      <w:sz w:val="36"/>
      <w:szCs w:val="36"/>
    </w:rPr>
  </w:style>
  <w:style w:type="paragraph" w:styleId="Heading2">
    <w:name w:val="heading 2"/>
    <w:basedOn w:val="Normal"/>
    <w:next w:val="Normal"/>
    <w:link w:val="Heading2Char"/>
    <w:uiPriority w:val="9"/>
    <w:unhideWhenUsed/>
    <w:qFormat/>
    <w:rsid w:val="008C160E"/>
    <w:pPr>
      <w:keepNext/>
      <w:keepLines/>
      <w:spacing w:before="360" w:after="60"/>
      <w:ind w:left="86"/>
      <w:outlineLvl w:val="1"/>
    </w:pPr>
    <w:rPr>
      <w:rFonts w:ascii="Arial" w:hAnsi="Arial" w:cs="Arial"/>
      <w:b/>
      <w:bCs/>
      <w:w w:val="9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4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3943"/>
    <w:pPr>
      <w:tabs>
        <w:tab w:val="center" w:pos="4320"/>
        <w:tab w:val="right" w:pos="8640"/>
      </w:tabs>
    </w:pPr>
  </w:style>
  <w:style w:type="paragraph" w:styleId="Footer">
    <w:name w:val="footer"/>
    <w:basedOn w:val="Normal"/>
    <w:rsid w:val="00490DFA"/>
    <w:pPr>
      <w:pBdr>
        <w:top w:val="single" w:sz="4" w:space="1" w:color="365F91"/>
      </w:pBdr>
      <w:tabs>
        <w:tab w:val="center" w:pos="5400"/>
        <w:tab w:val="right" w:pos="10800"/>
      </w:tabs>
    </w:pPr>
    <w:rPr>
      <w:rFonts w:ascii="Arial" w:hAnsi="Arial" w:cs="Arial"/>
      <w:color w:val="005595"/>
      <w:sz w:val="22"/>
      <w:szCs w:val="22"/>
    </w:rPr>
  </w:style>
  <w:style w:type="character" w:customStyle="1" w:styleId="Heading1Char">
    <w:name w:val="Heading 1 Char"/>
    <w:link w:val="Heading1"/>
    <w:uiPriority w:val="9"/>
    <w:rsid w:val="008C160E"/>
    <w:rPr>
      <w:rFonts w:ascii="Arial" w:hAnsi="Arial"/>
      <w:b/>
      <w:bCs/>
      <w:color w:val="005595"/>
      <w:sz w:val="36"/>
      <w:szCs w:val="36"/>
    </w:rPr>
  </w:style>
  <w:style w:type="character" w:customStyle="1" w:styleId="Heading2Char">
    <w:name w:val="Heading 2 Char"/>
    <w:link w:val="Heading2"/>
    <w:uiPriority w:val="9"/>
    <w:rsid w:val="008C160E"/>
    <w:rPr>
      <w:rFonts w:ascii="Arial" w:hAnsi="Arial" w:cs="Arial"/>
      <w:b/>
      <w:bCs/>
      <w:w w:val="90"/>
      <w:sz w:val="28"/>
      <w:szCs w:val="28"/>
    </w:rPr>
  </w:style>
  <w:style w:type="character" w:styleId="Hyperlink">
    <w:name w:val="Hyperlink"/>
    <w:rsid w:val="00D33A0D"/>
    <w:rPr>
      <w:color w:val="0000FF"/>
      <w:u w:val="single"/>
    </w:rPr>
  </w:style>
  <w:style w:type="paragraph" w:customStyle="1" w:styleId="FactText1">
    <w:name w:val="Fact Text 1"/>
    <w:qFormat/>
    <w:rsid w:val="005A12B5"/>
    <w:pPr>
      <w:spacing w:after="40"/>
      <w:ind w:left="86"/>
    </w:pPr>
    <w:rPr>
      <w:rFonts w:ascii="Arial" w:hAnsi="Arial"/>
      <w:sz w:val="24"/>
      <w:szCs w:val="24"/>
    </w:rPr>
  </w:style>
  <w:style w:type="paragraph" w:customStyle="1" w:styleId="FactText2">
    <w:name w:val="Fact Text 2"/>
    <w:basedOn w:val="FactText1"/>
    <w:qFormat/>
    <w:rsid w:val="00BF0FA9"/>
    <w:pPr>
      <w:spacing w:before="240"/>
    </w:pPr>
  </w:style>
  <w:style w:type="table" w:customStyle="1" w:styleId="GridTable2Accent5">
    <w:name w:val="Grid Table 2 Accent 5"/>
    <w:basedOn w:val="TableNormal"/>
    <w:uiPriority w:val="47"/>
    <w:rsid w:val="00087C09"/>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
    <w:name w:val="Unresolved Mention"/>
    <w:basedOn w:val="DefaultParagraphFont"/>
    <w:uiPriority w:val="99"/>
    <w:semiHidden/>
    <w:unhideWhenUsed/>
    <w:rsid w:val="007F1524"/>
    <w:rPr>
      <w:color w:val="808080"/>
      <w:shd w:val="clear" w:color="auto" w:fill="E6E6E6"/>
    </w:rPr>
  </w:style>
  <w:style w:type="table" w:customStyle="1" w:styleId="GridTable2Accent1">
    <w:name w:val="Grid Table 2 Accent 1"/>
    <w:basedOn w:val="TableNormal"/>
    <w:uiPriority w:val="47"/>
    <w:rsid w:val="005077A6"/>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027A4E"/>
    <w:pPr>
      <w:ind w:left="720"/>
      <w:contextualSpacing/>
    </w:pPr>
  </w:style>
  <w:style w:type="paragraph" w:styleId="NoSpacing">
    <w:name w:val="No Spacing"/>
    <w:link w:val="NoSpacingChar"/>
    <w:uiPriority w:val="1"/>
    <w:qFormat/>
    <w:rsid w:val="0070449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04495"/>
    <w:rPr>
      <w:rFonts w:asciiTheme="minorHAnsi" w:eastAsiaTheme="minorEastAsia" w:hAnsiTheme="minorHAnsi" w:cstheme="minorBidi"/>
      <w:sz w:val="22"/>
      <w:szCs w:val="22"/>
    </w:rPr>
  </w:style>
  <w:style w:type="paragraph" w:styleId="BalloonText">
    <w:name w:val="Balloon Text"/>
    <w:basedOn w:val="Normal"/>
    <w:link w:val="BalloonTextChar"/>
    <w:rsid w:val="00704495"/>
    <w:rPr>
      <w:rFonts w:ascii="Segoe UI" w:hAnsi="Segoe UI" w:cs="Segoe UI"/>
      <w:sz w:val="18"/>
      <w:szCs w:val="18"/>
    </w:rPr>
  </w:style>
  <w:style w:type="character" w:customStyle="1" w:styleId="BalloonTextChar">
    <w:name w:val="Balloon Text Char"/>
    <w:basedOn w:val="DefaultParagraphFont"/>
    <w:link w:val="BalloonText"/>
    <w:rsid w:val="00704495"/>
    <w:rPr>
      <w:rFonts w:ascii="Segoe UI" w:hAnsi="Segoe UI" w:cs="Segoe UI"/>
      <w:sz w:val="18"/>
      <w:szCs w:val="18"/>
    </w:rPr>
  </w:style>
  <w:style w:type="character" w:styleId="CommentReference">
    <w:name w:val="annotation reference"/>
    <w:basedOn w:val="DefaultParagraphFont"/>
    <w:rsid w:val="00E577A7"/>
    <w:rPr>
      <w:sz w:val="16"/>
      <w:szCs w:val="16"/>
    </w:rPr>
  </w:style>
  <w:style w:type="paragraph" w:styleId="CommentText">
    <w:name w:val="annotation text"/>
    <w:basedOn w:val="Normal"/>
    <w:link w:val="CommentTextChar"/>
    <w:rsid w:val="00E577A7"/>
    <w:rPr>
      <w:sz w:val="20"/>
      <w:szCs w:val="20"/>
    </w:rPr>
  </w:style>
  <w:style w:type="character" w:customStyle="1" w:styleId="CommentTextChar">
    <w:name w:val="Comment Text Char"/>
    <w:basedOn w:val="DefaultParagraphFont"/>
    <w:link w:val="CommentText"/>
    <w:rsid w:val="00E577A7"/>
  </w:style>
  <w:style w:type="paragraph" w:styleId="CommentSubject">
    <w:name w:val="annotation subject"/>
    <w:basedOn w:val="CommentText"/>
    <w:next w:val="CommentText"/>
    <w:link w:val="CommentSubjectChar"/>
    <w:rsid w:val="00E577A7"/>
    <w:rPr>
      <w:b/>
      <w:bCs/>
    </w:rPr>
  </w:style>
  <w:style w:type="character" w:customStyle="1" w:styleId="CommentSubjectChar">
    <w:name w:val="Comment Subject Char"/>
    <w:basedOn w:val="CommentTextChar"/>
    <w:link w:val="CommentSubject"/>
    <w:rsid w:val="00E577A7"/>
    <w:rPr>
      <w:b/>
      <w:bCs/>
    </w:rPr>
  </w:style>
  <w:style w:type="paragraph" w:styleId="FootnoteText">
    <w:name w:val="footnote text"/>
    <w:basedOn w:val="Normal"/>
    <w:link w:val="FootnoteTextChar"/>
    <w:rsid w:val="00D17E6A"/>
    <w:rPr>
      <w:sz w:val="20"/>
      <w:szCs w:val="20"/>
    </w:rPr>
  </w:style>
  <w:style w:type="character" w:customStyle="1" w:styleId="FootnoteTextChar">
    <w:name w:val="Footnote Text Char"/>
    <w:basedOn w:val="DefaultParagraphFont"/>
    <w:link w:val="FootnoteText"/>
    <w:rsid w:val="00D17E6A"/>
  </w:style>
  <w:style w:type="character" w:styleId="FootnoteReference">
    <w:name w:val="footnote reference"/>
    <w:basedOn w:val="DefaultParagraphFont"/>
    <w:rsid w:val="00D17E6A"/>
    <w:rPr>
      <w:vertAlign w:val="superscript"/>
    </w:rPr>
  </w:style>
  <w:style w:type="table" w:customStyle="1" w:styleId="TableGrid1">
    <w:name w:val="Table Grid1"/>
    <w:basedOn w:val="TableNormal"/>
    <w:next w:val="TableGrid"/>
    <w:uiPriority w:val="39"/>
    <w:rsid w:val="00C8678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2C6"/>
    <w:rPr>
      <w:sz w:val="28"/>
      <w:szCs w:val="24"/>
    </w:rPr>
  </w:style>
  <w:style w:type="paragraph" w:styleId="Heading1">
    <w:name w:val="heading 1"/>
    <w:basedOn w:val="Normal"/>
    <w:next w:val="Normal"/>
    <w:link w:val="Heading1Char"/>
    <w:uiPriority w:val="9"/>
    <w:qFormat/>
    <w:rsid w:val="008C160E"/>
    <w:pPr>
      <w:keepNext/>
      <w:keepLines/>
      <w:spacing w:after="60"/>
      <w:ind w:left="86"/>
      <w:outlineLvl w:val="0"/>
    </w:pPr>
    <w:rPr>
      <w:rFonts w:ascii="Arial" w:hAnsi="Arial"/>
      <w:b/>
      <w:bCs/>
      <w:color w:val="005595"/>
      <w:sz w:val="36"/>
      <w:szCs w:val="36"/>
    </w:rPr>
  </w:style>
  <w:style w:type="paragraph" w:styleId="Heading2">
    <w:name w:val="heading 2"/>
    <w:basedOn w:val="Normal"/>
    <w:next w:val="Normal"/>
    <w:link w:val="Heading2Char"/>
    <w:uiPriority w:val="9"/>
    <w:unhideWhenUsed/>
    <w:qFormat/>
    <w:rsid w:val="008C160E"/>
    <w:pPr>
      <w:keepNext/>
      <w:keepLines/>
      <w:spacing w:before="360" w:after="60"/>
      <w:ind w:left="86"/>
      <w:outlineLvl w:val="1"/>
    </w:pPr>
    <w:rPr>
      <w:rFonts w:ascii="Arial" w:hAnsi="Arial" w:cs="Arial"/>
      <w:b/>
      <w:bCs/>
      <w:w w:val="9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4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3943"/>
    <w:pPr>
      <w:tabs>
        <w:tab w:val="center" w:pos="4320"/>
        <w:tab w:val="right" w:pos="8640"/>
      </w:tabs>
    </w:pPr>
  </w:style>
  <w:style w:type="paragraph" w:styleId="Footer">
    <w:name w:val="footer"/>
    <w:basedOn w:val="Normal"/>
    <w:rsid w:val="00490DFA"/>
    <w:pPr>
      <w:pBdr>
        <w:top w:val="single" w:sz="4" w:space="1" w:color="365F91"/>
      </w:pBdr>
      <w:tabs>
        <w:tab w:val="center" w:pos="5400"/>
        <w:tab w:val="right" w:pos="10800"/>
      </w:tabs>
    </w:pPr>
    <w:rPr>
      <w:rFonts w:ascii="Arial" w:hAnsi="Arial" w:cs="Arial"/>
      <w:color w:val="005595"/>
      <w:sz w:val="22"/>
      <w:szCs w:val="22"/>
    </w:rPr>
  </w:style>
  <w:style w:type="character" w:customStyle="1" w:styleId="Heading1Char">
    <w:name w:val="Heading 1 Char"/>
    <w:link w:val="Heading1"/>
    <w:uiPriority w:val="9"/>
    <w:rsid w:val="008C160E"/>
    <w:rPr>
      <w:rFonts w:ascii="Arial" w:hAnsi="Arial"/>
      <w:b/>
      <w:bCs/>
      <w:color w:val="005595"/>
      <w:sz w:val="36"/>
      <w:szCs w:val="36"/>
    </w:rPr>
  </w:style>
  <w:style w:type="character" w:customStyle="1" w:styleId="Heading2Char">
    <w:name w:val="Heading 2 Char"/>
    <w:link w:val="Heading2"/>
    <w:uiPriority w:val="9"/>
    <w:rsid w:val="008C160E"/>
    <w:rPr>
      <w:rFonts w:ascii="Arial" w:hAnsi="Arial" w:cs="Arial"/>
      <w:b/>
      <w:bCs/>
      <w:w w:val="90"/>
      <w:sz w:val="28"/>
      <w:szCs w:val="28"/>
    </w:rPr>
  </w:style>
  <w:style w:type="character" w:styleId="Hyperlink">
    <w:name w:val="Hyperlink"/>
    <w:rsid w:val="00D33A0D"/>
    <w:rPr>
      <w:color w:val="0000FF"/>
      <w:u w:val="single"/>
    </w:rPr>
  </w:style>
  <w:style w:type="paragraph" w:customStyle="1" w:styleId="FactText1">
    <w:name w:val="Fact Text 1"/>
    <w:qFormat/>
    <w:rsid w:val="005A12B5"/>
    <w:pPr>
      <w:spacing w:after="40"/>
      <w:ind w:left="86"/>
    </w:pPr>
    <w:rPr>
      <w:rFonts w:ascii="Arial" w:hAnsi="Arial"/>
      <w:sz w:val="24"/>
      <w:szCs w:val="24"/>
    </w:rPr>
  </w:style>
  <w:style w:type="paragraph" w:customStyle="1" w:styleId="FactText2">
    <w:name w:val="Fact Text 2"/>
    <w:basedOn w:val="FactText1"/>
    <w:qFormat/>
    <w:rsid w:val="00BF0FA9"/>
    <w:pPr>
      <w:spacing w:before="240"/>
    </w:pPr>
  </w:style>
  <w:style w:type="table" w:customStyle="1" w:styleId="GridTable2Accent5">
    <w:name w:val="Grid Table 2 Accent 5"/>
    <w:basedOn w:val="TableNormal"/>
    <w:uiPriority w:val="47"/>
    <w:rsid w:val="00087C09"/>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
    <w:name w:val="Unresolved Mention"/>
    <w:basedOn w:val="DefaultParagraphFont"/>
    <w:uiPriority w:val="99"/>
    <w:semiHidden/>
    <w:unhideWhenUsed/>
    <w:rsid w:val="007F1524"/>
    <w:rPr>
      <w:color w:val="808080"/>
      <w:shd w:val="clear" w:color="auto" w:fill="E6E6E6"/>
    </w:rPr>
  </w:style>
  <w:style w:type="table" w:customStyle="1" w:styleId="GridTable2Accent1">
    <w:name w:val="Grid Table 2 Accent 1"/>
    <w:basedOn w:val="TableNormal"/>
    <w:uiPriority w:val="47"/>
    <w:rsid w:val="005077A6"/>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027A4E"/>
    <w:pPr>
      <w:ind w:left="720"/>
      <w:contextualSpacing/>
    </w:pPr>
  </w:style>
  <w:style w:type="paragraph" w:styleId="NoSpacing">
    <w:name w:val="No Spacing"/>
    <w:link w:val="NoSpacingChar"/>
    <w:uiPriority w:val="1"/>
    <w:qFormat/>
    <w:rsid w:val="0070449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04495"/>
    <w:rPr>
      <w:rFonts w:asciiTheme="minorHAnsi" w:eastAsiaTheme="minorEastAsia" w:hAnsiTheme="minorHAnsi" w:cstheme="minorBidi"/>
      <w:sz w:val="22"/>
      <w:szCs w:val="22"/>
    </w:rPr>
  </w:style>
  <w:style w:type="paragraph" w:styleId="BalloonText">
    <w:name w:val="Balloon Text"/>
    <w:basedOn w:val="Normal"/>
    <w:link w:val="BalloonTextChar"/>
    <w:rsid w:val="00704495"/>
    <w:rPr>
      <w:rFonts w:ascii="Segoe UI" w:hAnsi="Segoe UI" w:cs="Segoe UI"/>
      <w:sz w:val="18"/>
      <w:szCs w:val="18"/>
    </w:rPr>
  </w:style>
  <w:style w:type="character" w:customStyle="1" w:styleId="BalloonTextChar">
    <w:name w:val="Balloon Text Char"/>
    <w:basedOn w:val="DefaultParagraphFont"/>
    <w:link w:val="BalloonText"/>
    <w:rsid w:val="00704495"/>
    <w:rPr>
      <w:rFonts w:ascii="Segoe UI" w:hAnsi="Segoe UI" w:cs="Segoe UI"/>
      <w:sz w:val="18"/>
      <w:szCs w:val="18"/>
    </w:rPr>
  </w:style>
  <w:style w:type="character" w:styleId="CommentReference">
    <w:name w:val="annotation reference"/>
    <w:basedOn w:val="DefaultParagraphFont"/>
    <w:rsid w:val="00E577A7"/>
    <w:rPr>
      <w:sz w:val="16"/>
      <w:szCs w:val="16"/>
    </w:rPr>
  </w:style>
  <w:style w:type="paragraph" w:styleId="CommentText">
    <w:name w:val="annotation text"/>
    <w:basedOn w:val="Normal"/>
    <w:link w:val="CommentTextChar"/>
    <w:rsid w:val="00E577A7"/>
    <w:rPr>
      <w:sz w:val="20"/>
      <w:szCs w:val="20"/>
    </w:rPr>
  </w:style>
  <w:style w:type="character" w:customStyle="1" w:styleId="CommentTextChar">
    <w:name w:val="Comment Text Char"/>
    <w:basedOn w:val="DefaultParagraphFont"/>
    <w:link w:val="CommentText"/>
    <w:rsid w:val="00E577A7"/>
  </w:style>
  <w:style w:type="paragraph" w:styleId="CommentSubject">
    <w:name w:val="annotation subject"/>
    <w:basedOn w:val="CommentText"/>
    <w:next w:val="CommentText"/>
    <w:link w:val="CommentSubjectChar"/>
    <w:rsid w:val="00E577A7"/>
    <w:rPr>
      <w:b/>
      <w:bCs/>
    </w:rPr>
  </w:style>
  <w:style w:type="character" w:customStyle="1" w:styleId="CommentSubjectChar">
    <w:name w:val="Comment Subject Char"/>
    <w:basedOn w:val="CommentTextChar"/>
    <w:link w:val="CommentSubject"/>
    <w:rsid w:val="00E577A7"/>
    <w:rPr>
      <w:b/>
      <w:bCs/>
    </w:rPr>
  </w:style>
  <w:style w:type="paragraph" w:styleId="FootnoteText">
    <w:name w:val="footnote text"/>
    <w:basedOn w:val="Normal"/>
    <w:link w:val="FootnoteTextChar"/>
    <w:rsid w:val="00D17E6A"/>
    <w:rPr>
      <w:sz w:val="20"/>
      <w:szCs w:val="20"/>
    </w:rPr>
  </w:style>
  <w:style w:type="character" w:customStyle="1" w:styleId="FootnoteTextChar">
    <w:name w:val="Footnote Text Char"/>
    <w:basedOn w:val="DefaultParagraphFont"/>
    <w:link w:val="FootnoteText"/>
    <w:rsid w:val="00D17E6A"/>
  </w:style>
  <w:style w:type="character" w:styleId="FootnoteReference">
    <w:name w:val="footnote reference"/>
    <w:basedOn w:val="DefaultParagraphFont"/>
    <w:rsid w:val="00D17E6A"/>
    <w:rPr>
      <w:vertAlign w:val="superscript"/>
    </w:rPr>
  </w:style>
  <w:style w:type="table" w:customStyle="1" w:styleId="TableGrid1">
    <w:name w:val="Table Grid1"/>
    <w:basedOn w:val="TableNormal"/>
    <w:next w:val="TableGrid"/>
    <w:uiPriority w:val="39"/>
    <w:rsid w:val="00C8678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6696">
      <w:bodyDiv w:val="1"/>
      <w:marLeft w:val="0"/>
      <w:marRight w:val="0"/>
      <w:marTop w:val="0"/>
      <w:marBottom w:val="0"/>
      <w:divBdr>
        <w:top w:val="none" w:sz="0" w:space="0" w:color="auto"/>
        <w:left w:val="none" w:sz="0" w:space="0" w:color="auto"/>
        <w:bottom w:val="none" w:sz="0" w:space="0" w:color="auto"/>
        <w:right w:val="none" w:sz="0" w:space="0" w:color="auto"/>
      </w:divBdr>
      <w:divsChild>
        <w:div w:id="450630344">
          <w:marLeft w:val="0"/>
          <w:marRight w:val="0"/>
          <w:marTop w:val="0"/>
          <w:marBottom w:val="0"/>
          <w:divBdr>
            <w:top w:val="none" w:sz="0" w:space="0" w:color="auto"/>
            <w:left w:val="none" w:sz="0" w:space="0" w:color="auto"/>
            <w:bottom w:val="none" w:sz="0" w:space="0" w:color="auto"/>
            <w:right w:val="none" w:sz="0" w:space="0" w:color="auto"/>
          </w:divBdr>
          <w:divsChild>
            <w:div w:id="502554705">
              <w:marLeft w:val="0"/>
              <w:marRight w:val="0"/>
              <w:marTop w:val="0"/>
              <w:marBottom w:val="0"/>
              <w:divBdr>
                <w:top w:val="none" w:sz="0" w:space="0" w:color="auto"/>
                <w:left w:val="none" w:sz="0" w:space="0" w:color="auto"/>
                <w:bottom w:val="none" w:sz="0" w:space="0" w:color="auto"/>
                <w:right w:val="none" w:sz="0" w:space="0" w:color="auto"/>
              </w:divBdr>
              <w:divsChild>
                <w:div w:id="322272896">
                  <w:marLeft w:val="0"/>
                  <w:marRight w:val="0"/>
                  <w:marTop w:val="0"/>
                  <w:marBottom w:val="0"/>
                  <w:divBdr>
                    <w:top w:val="none" w:sz="0" w:space="0" w:color="auto"/>
                    <w:left w:val="none" w:sz="0" w:space="0" w:color="auto"/>
                    <w:bottom w:val="none" w:sz="0" w:space="0" w:color="auto"/>
                    <w:right w:val="none" w:sz="0" w:space="0" w:color="auto"/>
                  </w:divBdr>
                  <w:divsChild>
                    <w:div w:id="759302896">
                      <w:marLeft w:val="0"/>
                      <w:marRight w:val="0"/>
                      <w:marTop w:val="0"/>
                      <w:marBottom w:val="0"/>
                      <w:divBdr>
                        <w:top w:val="none" w:sz="0" w:space="0" w:color="auto"/>
                        <w:left w:val="none" w:sz="0" w:space="0" w:color="auto"/>
                        <w:bottom w:val="none" w:sz="0" w:space="0" w:color="auto"/>
                        <w:right w:val="none" w:sz="0" w:space="0" w:color="auto"/>
                      </w:divBdr>
                      <w:divsChild>
                        <w:div w:id="1260258015">
                          <w:marLeft w:val="0"/>
                          <w:marRight w:val="0"/>
                          <w:marTop w:val="0"/>
                          <w:marBottom w:val="0"/>
                          <w:divBdr>
                            <w:top w:val="none" w:sz="0" w:space="0" w:color="auto"/>
                            <w:left w:val="none" w:sz="0" w:space="0" w:color="auto"/>
                            <w:bottom w:val="none" w:sz="0" w:space="0" w:color="auto"/>
                            <w:right w:val="none" w:sz="0" w:space="0" w:color="auto"/>
                          </w:divBdr>
                          <w:divsChild>
                            <w:div w:id="139272726">
                              <w:marLeft w:val="0"/>
                              <w:marRight w:val="0"/>
                              <w:marTop w:val="0"/>
                              <w:marBottom w:val="0"/>
                              <w:divBdr>
                                <w:top w:val="none" w:sz="0" w:space="0" w:color="auto"/>
                                <w:left w:val="none" w:sz="0" w:space="0" w:color="auto"/>
                                <w:bottom w:val="none" w:sz="0" w:space="0" w:color="auto"/>
                                <w:right w:val="none" w:sz="0" w:space="0" w:color="auto"/>
                              </w:divBdr>
                              <w:divsChild>
                                <w:div w:id="793136791">
                                  <w:marLeft w:val="0"/>
                                  <w:marRight w:val="0"/>
                                  <w:marTop w:val="0"/>
                                  <w:marBottom w:val="0"/>
                                  <w:divBdr>
                                    <w:top w:val="none" w:sz="0" w:space="0" w:color="auto"/>
                                    <w:left w:val="none" w:sz="0" w:space="0" w:color="auto"/>
                                    <w:bottom w:val="none" w:sz="0" w:space="0" w:color="auto"/>
                                    <w:right w:val="none" w:sz="0" w:space="0" w:color="auto"/>
                                  </w:divBdr>
                                  <w:divsChild>
                                    <w:div w:id="1081872800">
                                      <w:marLeft w:val="0"/>
                                      <w:marRight w:val="0"/>
                                      <w:marTop w:val="0"/>
                                      <w:marBottom w:val="0"/>
                                      <w:divBdr>
                                        <w:top w:val="none" w:sz="0" w:space="0" w:color="auto"/>
                                        <w:left w:val="none" w:sz="0" w:space="0" w:color="auto"/>
                                        <w:bottom w:val="none" w:sz="0" w:space="0" w:color="auto"/>
                                        <w:right w:val="none" w:sz="0" w:space="0" w:color="auto"/>
                                      </w:divBdr>
                                      <w:divsChild>
                                        <w:div w:id="1386414262">
                                          <w:marLeft w:val="0"/>
                                          <w:marRight w:val="0"/>
                                          <w:marTop w:val="0"/>
                                          <w:marBottom w:val="0"/>
                                          <w:divBdr>
                                            <w:top w:val="none" w:sz="0" w:space="0" w:color="auto"/>
                                            <w:left w:val="none" w:sz="0" w:space="0" w:color="auto"/>
                                            <w:bottom w:val="none" w:sz="0" w:space="0" w:color="auto"/>
                                            <w:right w:val="none" w:sz="0" w:space="0" w:color="auto"/>
                                          </w:divBdr>
                                          <w:divsChild>
                                            <w:div w:id="1077750048">
                                              <w:marLeft w:val="0"/>
                                              <w:marRight w:val="0"/>
                                              <w:marTop w:val="0"/>
                                              <w:marBottom w:val="0"/>
                                              <w:divBdr>
                                                <w:top w:val="none" w:sz="0" w:space="0" w:color="auto"/>
                                                <w:left w:val="none" w:sz="0" w:space="0" w:color="auto"/>
                                                <w:bottom w:val="none" w:sz="0" w:space="0" w:color="auto"/>
                                                <w:right w:val="none" w:sz="0" w:space="0" w:color="auto"/>
                                              </w:divBdr>
                                              <w:divsChild>
                                                <w:div w:id="127093410">
                                                  <w:marLeft w:val="0"/>
                                                  <w:marRight w:val="0"/>
                                                  <w:marTop w:val="0"/>
                                                  <w:marBottom w:val="0"/>
                                                  <w:divBdr>
                                                    <w:top w:val="none" w:sz="0" w:space="0" w:color="auto"/>
                                                    <w:left w:val="none" w:sz="0" w:space="0" w:color="auto"/>
                                                    <w:bottom w:val="none" w:sz="0" w:space="0" w:color="auto"/>
                                                    <w:right w:val="none" w:sz="0" w:space="0" w:color="auto"/>
                                                  </w:divBdr>
                                                </w:div>
                                              </w:divsChild>
                                            </w:div>
                                            <w:div w:id="2036536053">
                                              <w:marLeft w:val="0"/>
                                              <w:marRight w:val="0"/>
                                              <w:marTop w:val="0"/>
                                              <w:marBottom w:val="0"/>
                                              <w:divBdr>
                                                <w:top w:val="none" w:sz="0" w:space="0" w:color="auto"/>
                                                <w:left w:val="none" w:sz="0" w:space="0" w:color="auto"/>
                                                <w:bottom w:val="none" w:sz="0" w:space="0" w:color="auto"/>
                                                <w:right w:val="none" w:sz="0" w:space="0" w:color="auto"/>
                                              </w:divBdr>
                                              <w:divsChild>
                                                <w:div w:id="11638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582809">
      <w:bodyDiv w:val="1"/>
      <w:marLeft w:val="0"/>
      <w:marRight w:val="0"/>
      <w:marTop w:val="0"/>
      <w:marBottom w:val="0"/>
      <w:divBdr>
        <w:top w:val="none" w:sz="0" w:space="0" w:color="auto"/>
        <w:left w:val="none" w:sz="0" w:space="0" w:color="auto"/>
        <w:bottom w:val="none" w:sz="0" w:space="0" w:color="auto"/>
        <w:right w:val="none" w:sz="0" w:space="0" w:color="auto"/>
      </w:divBdr>
    </w:div>
    <w:div w:id="812793897">
      <w:bodyDiv w:val="1"/>
      <w:marLeft w:val="0"/>
      <w:marRight w:val="0"/>
      <w:marTop w:val="0"/>
      <w:marBottom w:val="0"/>
      <w:divBdr>
        <w:top w:val="none" w:sz="0" w:space="0" w:color="auto"/>
        <w:left w:val="none" w:sz="0" w:space="0" w:color="auto"/>
        <w:bottom w:val="none" w:sz="0" w:space="0" w:color="auto"/>
        <w:right w:val="none" w:sz="0" w:space="0" w:color="auto"/>
      </w:divBdr>
      <w:divsChild>
        <w:div w:id="289750528">
          <w:marLeft w:val="0"/>
          <w:marRight w:val="0"/>
          <w:marTop w:val="0"/>
          <w:marBottom w:val="0"/>
          <w:divBdr>
            <w:top w:val="none" w:sz="0" w:space="0" w:color="auto"/>
            <w:left w:val="none" w:sz="0" w:space="0" w:color="auto"/>
            <w:bottom w:val="none" w:sz="0" w:space="0" w:color="auto"/>
            <w:right w:val="none" w:sz="0" w:space="0" w:color="auto"/>
          </w:divBdr>
          <w:divsChild>
            <w:div w:id="1364550496">
              <w:marLeft w:val="0"/>
              <w:marRight w:val="0"/>
              <w:marTop w:val="0"/>
              <w:marBottom w:val="0"/>
              <w:divBdr>
                <w:top w:val="none" w:sz="0" w:space="0" w:color="auto"/>
                <w:left w:val="none" w:sz="0" w:space="0" w:color="auto"/>
                <w:bottom w:val="none" w:sz="0" w:space="0" w:color="auto"/>
                <w:right w:val="none" w:sz="0" w:space="0" w:color="auto"/>
              </w:divBdr>
              <w:divsChild>
                <w:div w:id="2125878674">
                  <w:marLeft w:val="0"/>
                  <w:marRight w:val="0"/>
                  <w:marTop w:val="0"/>
                  <w:marBottom w:val="0"/>
                  <w:divBdr>
                    <w:top w:val="none" w:sz="0" w:space="0" w:color="auto"/>
                    <w:left w:val="none" w:sz="0" w:space="0" w:color="auto"/>
                    <w:bottom w:val="none" w:sz="0" w:space="0" w:color="auto"/>
                    <w:right w:val="none" w:sz="0" w:space="0" w:color="auto"/>
                  </w:divBdr>
                  <w:divsChild>
                    <w:div w:id="188372788">
                      <w:marLeft w:val="0"/>
                      <w:marRight w:val="0"/>
                      <w:marTop w:val="0"/>
                      <w:marBottom w:val="0"/>
                      <w:divBdr>
                        <w:top w:val="none" w:sz="0" w:space="0" w:color="auto"/>
                        <w:left w:val="none" w:sz="0" w:space="0" w:color="auto"/>
                        <w:bottom w:val="none" w:sz="0" w:space="0" w:color="auto"/>
                        <w:right w:val="none" w:sz="0" w:space="0" w:color="auto"/>
                      </w:divBdr>
                      <w:divsChild>
                        <w:div w:id="935678568">
                          <w:marLeft w:val="0"/>
                          <w:marRight w:val="0"/>
                          <w:marTop w:val="0"/>
                          <w:marBottom w:val="0"/>
                          <w:divBdr>
                            <w:top w:val="none" w:sz="0" w:space="0" w:color="auto"/>
                            <w:left w:val="none" w:sz="0" w:space="0" w:color="auto"/>
                            <w:bottom w:val="none" w:sz="0" w:space="0" w:color="auto"/>
                            <w:right w:val="none" w:sz="0" w:space="0" w:color="auto"/>
                          </w:divBdr>
                          <w:divsChild>
                            <w:div w:id="815729840">
                              <w:marLeft w:val="0"/>
                              <w:marRight w:val="0"/>
                              <w:marTop w:val="0"/>
                              <w:marBottom w:val="0"/>
                              <w:divBdr>
                                <w:top w:val="none" w:sz="0" w:space="0" w:color="auto"/>
                                <w:left w:val="none" w:sz="0" w:space="0" w:color="auto"/>
                                <w:bottom w:val="none" w:sz="0" w:space="0" w:color="auto"/>
                                <w:right w:val="none" w:sz="0" w:space="0" w:color="auto"/>
                              </w:divBdr>
                              <w:divsChild>
                                <w:div w:id="629241248">
                                  <w:marLeft w:val="0"/>
                                  <w:marRight w:val="0"/>
                                  <w:marTop w:val="0"/>
                                  <w:marBottom w:val="0"/>
                                  <w:divBdr>
                                    <w:top w:val="none" w:sz="0" w:space="0" w:color="auto"/>
                                    <w:left w:val="none" w:sz="0" w:space="0" w:color="auto"/>
                                    <w:bottom w:val="none" w:sz="0" w:space="0" w:color="auto"/>
                                    <w:right w:val="none" w:sz="0" w:space="0" w:color="auto"/>
                                  </w:divBdr>
                                  <w:divsChild>
                                    <w:div w:id="711421614">
                                      <w:marLeft w:val="0"/>
                                      <w:marRight w:val="0"/>
                                      <w:marTop w:val="0"/>
                                      <w:marBottom w:val="0"/>
                                      <w:divBdr>
                                        <w:top w:val="none" w:sz="0" w:space="0" w:color="auto"/>
                                        <w:left w:val="none" w:sz="0" w:space="0" w:color="auto"/>
                                        <w:bottom w:val="none" w:sz="0" w:space="0" w:color="auto"/>
                                        <w:right w:val="none" w:sz="0" w:space="0" w:color="auto"/>
                                      </w:divBdr>
                                      <w:divsChild>
                                        <w:div w:id="1208492252">
                                          <w:marLeft w:val="0"/>
                                          <w:marRight w:val="0"/>
                                          <w:marTop w:val="0"/>
                                          <w:marBottom w:val="0"/>
                                          <w:divBdr>
                                            <w:top w:val="none" w:sz="0" w:space="0" w:color="auto"/>
                                            <w:left w:val="none" w:sz="0" w:space="0" w:color="auto"/>
                                            <w:bottom w:val="none" w:sz="0" w:space="0" w:color="auto"/>
                                            <w:right w:val="none" w:sz="0" w:space="0" w:color="auto"/>
                                          </w:divBdr>
                                          <w:divsChild>
                                            <w:div w:id="1183669127">
                                              <w:marLeft w:val="0"/>
                                              <w:marRight w:val="0"/>
                                              <w:marTop w:val="0"/>
                                              <w:marBottom w:val="0"/>
                                              <w:divBdr>
                                                <w:top w:val="none" w:sz="0" w:space="0" w:color="auto"/>
                                                <w:left w:val="none" w:sz="0" w:space="0" w:color="auto"/>
                                                <w:bottom w:val="none" w:sz="0" w:space="0" w:color="auto"/>
                                                <w:right w:val="none" w:sz="0" w:space="0" w:color="auto"/>
                                              </w:divBdr>
                                              <w:divsChild>
                                                <w:div w:id="489174972">
                                                  <w:marLeft w:val="0"/>
                                                  <w:marRight w:val="0"/>
                                                  <w:marTop w:val="0"/>
                                                  <w:marBottom w:val="0"/>
                                                  <w:divBdr>
                                                    <w:top w:val="none" w:sz="0" w:space="0" w:color="auto"/>
                                                    <w:left w:val="none" w:sz="0" w:space="0" w:color="auto"/>
                                                    <w:bottom w:val="none" w:sz="0" w:space="0" w:color="auto"/>
                                                    <w:right w:val="none" w:sz="0" w:space="0" w:color="auto"/>
                                                  </w:divBdr>
                                                </w:div>
                                              </w:divsChild>
                                            </w:div>
                                            <w:div w:id="646469507">
                                              <w:marLeft w:val="0"/>
                                              <w:marRight w:val="0"/>
                                              <w:marTop w:val="0"/>
                                              <w:marBottom w:val="0"/>
                                              <w:divBdr>
                                                <w:top w:val="none" w:sz="0" w:space="0" w:color="auto"/>
                                                <w:left w:val="none" w:sz="0" w:space="0" w:color="auto"/>
                                                <w:bottom w:val="none" w:sz="0" w:space="0" w:color="auto"/>
                                                <w:right w:val="none" w:sz="0" w:space="0" w:color="auto"/>
                                              </w:divBdr>
                                            </w:div>
                                            <w:div w:id="1848472511">
                                              <w:marLeft w:val="0"/>
                                              <w:marRight w:val="0"/>
                                              <w:marTop w:val="0"/>
                                              <w:marBottom w:val="0"/>
                                              <w:divBdr>
                                                <w:top w:val="none" w:sz="0" w:space="0" w:color="auto"/>
                                                <w:left w:val="none" w:sz="0" w:space="0" w:color="auto"/>
                                                <w:bottom w:val="none" w:sz="0" w:space="0" w:color="auto"/>
                                                <w:right w:val="none" w:sz="0" w:space="0" w:color="auto"/>
                                              </w:divBdr>
                                            </w:div>
                                            <w:div w:id="793252376">
                                              <w:marLeft w:val="0"/>
                                              <w:marRight w:val="0"/>
                                              <w:marTop w:val="0"/>
                                              <w:marBottom w:val="0"/>
                                              <w:divBdr>
                                                <w:top w:val="none" w:sz="0" w:space="0" w:color="auto"/>
                                                <w:left w:val="none" w:sz="0" w:space="0" w:color="auto"/>
                                                <w:bottom w:val="none" w:sz="0" w:space="0" w:color="auto"/>
                                                <w:right w:val="none" w:sz="0" w:space="0" w:color="auto"/>
                                              </w:divBdr>
                                              <w:divsChild>
                                                <w:div w:id="320472689">
                                                  <w:marLeft w:val="0"/>
                                                  <w:marRight w:val="0"/>
                                                  <w:marTop w:val="0"/>
                                                  <w:marBottom w:val="0"/>
                                                  <w:divBdr>
                                                    <w:top w:val="none" w:sz="0" w:space="0" w:color="auto"/>
                                                    <w:left w:val="none" w:sz="0" w:space="0" w:color="auto"/>
                                                    <w:bottom w:val="none" w:sz="0" w:space="0" w:color="auto"/>
                                                    <w:right w:val="none" w:sz="0" w:space="0" w:color="auto"/>
                                                  </w:divBdr>
                                                </w:div>
                                              </w:divsChild>
                                            </w:div>
                                            <w:div w:id="1270551026">
                                              <w:marLeft w:val="0"/>
                                              <w:marRight w:val="0"/>
                                              <w:marTop w:val="0"/>
                                              <w:marBottom w:val="0"/>
                                              <w:divBdr>
                                                <w:top w:val="none" w:sz="0" w:space="0" w:color="auto"/>
                                                <w:left w:val="none" w:sz="0" w:space="0" w:color="auto"/>
                                                <w:bottom w:val="none" w:sz="0" w:space="0" w:color="auto"/>
                                                <w:right w:val="none" w:sz="0" w:space="0" w:color="auto"/>
                                              </w:divBdr>
                                            </w:div>
                                            <w:div w:id="1958634814">
                                              <w:marLeft w:val="0"/>
                                              <w:marRight w:val="0"/>
                                              <w:marTop w:val="0"/>
                                              <w:marBottom w:val="0"/>
                                              <w:divBdr>
                                                <w:top w:val="none" w:sz="0" w:space="0" w:color="auto"/>
                                                <w:left w:val="none" w:sz="0" w:space="0" w:color="auto"/>
                                                <w:bottom w:val="none" w:sz="0" w:space="0" w:color="auto"/>
                                                <w:right w:val="none" w:sz="0" w:space="0" w:color="auto"/>
                                              </w:divBdr>
                                            </w:div>
                                            <w:div w:id="538274388">
                                              <w:marLeft w:val="0"/>
                                              <w:marRight w:val="0"/>
                                              <w:marTop w:val="0"/>
                                              <w:marBottom w:val="0"/>
                                              <w:divBdr>
                                                <w:top w:val="none" w:sz="0" w:space="0" w:color="auto"/>
                                                <w:left w:val="none" w:sz="0" w:space="0" w:color="auto"/>
                                                <w:bottom w:val="none" w:sz="0" w:space="0" w:color="auto"/>
                                                <w:right w:val="none" w:sz="0" w:space="0" w:color="auto"/>
                                              </w:divBdr>
                                            </w:div>
                                            <w:div w:id="1094320800">
                                              <w:marLeft w:val="0"/>
                                              <w:marRight w:val="0"/>
                                              <w:marTop w:val="0"/>
                                              <w:marBottom w:val="0"/>
                                              <w:divBdr>
                                                <w:top w:val="none" w:sz="0" w:space="0" w:color="auto"/>
                                                <w:left w:val="none" w:sz="0" w:space="0" w:color="auto"/>
                                                <w:bottom w:val="none" w:sz="0" w:space="0" w:color="auto"/>
                                                <w:right w:val="none" w:sz="0" w:space="0" w:color="auto"/>
                                              </w:divBdr>
                                            </w:div>
                                            <w:div w:id="1109426028">
                                              <w:marLeft w:val="0"/>
                                              <w:marRight w:val="0"/>
                                              <w:marTop w:val="0"/>
                                              <w:marBottom w:val="0"/>
                                              <w:divBdr>
                                                <w:top w:val="none" w:sz="0" w:space="0" w:color="auto"/>
                                                <w:left w:val="none" w:sz="0" w:space="0" w:color="auto"/>
                                                <w:bottom w:val="none" w:sz="0" w:space="0" w:color="auto"/>
                                                <w:right w:val="none" w:sz="0" w:space="0" w:color="auto"/>
                                              </w:divBdr>
                                            </w:div>
                                            <w:div w:id="270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96487">
      <w:bodyDiv w:val="1"/>
      <w:marLeft w:val="0"/>
      <w:marRight w:val="0"/>
      <w:marTop w:val="0"/>
      <w:marBottom w:val="0"/>
      <w:divBdr>
        <w:top w:val="none" w:sz="0" w:space="0" w:color="auto"/>
        <w:left w:val="none" w:sz="0" w:space="0" w:color="auto"/>
        <w:bottom w:val="none" w:sz="0" w:space="0" w:color="auto"/>
        <w:right w:val="none" w:sz="0" w:space="0" w:color="auto"/>
      </w:divBdr>
    </w:div>
    <w:div w:id="14139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oregon.gov/oha/P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regon.gov/oha/PH/PROVIDERPARTNERRESOURCES/LOCALHEALTHDEPARTMENTRESOURCES/Pages/lhd-trt.aspx" TargetMode="External"/><Relationship Id="rId4" Type="http://schemas.openxmlformats.org/officeDocument/2006/relationships/hyperlink" Target="https://www.oregon.gov/oha/PH/PROVIDERPARTNERRESOURCES/LOCALHEALTHDEPARTMENTRESOURCES/Pages/lhd-trt.aspx" TargetMode="External"/><Relationship Id="rId1" Type="http://schemas.openxmlformats.org/officeDocument/2006/relationships/hyperlink" Target="https://www.oregon.gov/oha/PH/ABOUT/TASKFORCE/Documents/PHModernizationFullDetailedReport.pdf" TargetMode="External"/><Relationship Id="rId2" Type="http://schemas.openxmlformats.org/officeDocument/2006/relationships/hyperlink" Target="https://www.oregon.gov/oha/PH/ABOUT/TASKFORCE/Documents/statewidemoderniza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925B-5EF1-854B-B0B2-6660A96D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2702</Words>
  <Characters>15406</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Fact sheet title</vt:lpstr>
    </vt:vector>
  </TitlesOfParts>
  <Manager/>
  <Company>State of Oregon</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title</dc:title>
  <dc:subject>For example, "Oregon [Meeting or Program Name] Information"</dc:subject>
  <dc:creator>Kim Witbeck</dc:creator>
  <cp:keywords/>
  <dc:description/>
  <cp:lastModifiedBy>Morgan D. Cowling</cp:lastModifiedBy>
  <cp:revision>2</cp:revision>
  <cp:lastPrinted>2010-02-19T17:40:00Z</cp:lastPrinted>
  <dcterms:created xsi:type="dcterms:W3CDTF">2019-04-18T15:43:00Z</dcterms:created>
  <dcterms:modified xsi:type="dcterms:W3CDTF">2019-04-18T15:43:00Z</dcterms:modified>
</cp:coreProperties>
</file>