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3A7BF" w14:textId="77777777" w:rsidR="00DA0566" w:rsidRPr="008B44EC" w:rsidRDefault="00DA0566" w:rsidP="00DA0566">
      <w:pPr>
        <w:shd w:val="clear" w:color="auto" w:fill="FFFFFF"/>
        <w:rPr>
          <w:rFonts w:ascii="Verdana" w:eastAsia="Times New Roman" w:hAnsi="Verdana" w:cs="Times New Roman"/>
          <w:color w:val="222222"/>
        </w:rPr>
      </w:pPr>
      <w:r w:rsidRPr="008B44EC">
        <w:rPr>
          <w:rFonts w:ascii="Verdana" w:eastAsia="Times New Roman" w:hAnsi="Verdana" w:cs="Times New Roman"/>
          <w:color w:val="222222"/>
        </w:rPr>
        <w:t>July 13, 2018</w:t>
      </w:r>
    </w:p>
    <w:p w14:paraId="15C71FE2" w14:textId="77777777" w:rsidR="00DA0566" w:rsidRPr="008B44EC" w:rsidRDefault="00DA0566" w:rsidP="00DA0566">
      <w:pPr>
        <w:shd w:val="clear" w:color="auto" w:fill="FFFFFF"/>
        <w:rPr>
          <w:rFonts w:ascii="Verdana" w:eastAsia="Times New Roman" w:hAnsi="Verdana" w:cs="Times New Roman"/>
          <w:color w:val="222222"/>
        </w:rPr>
      </w:pPr>
    </w:p>
    <w:p w14:paraId="131EDE3F" w14:textId="77777777" w:rsidR="00DA0566" w:rsidRPr="008B44EC" w:rsidRDefault="00DA0566" w:rsidP="00DA0566">
      <w:pPr>
        <w:shd w:val="clear" w:color="auto" w:fill="FFFFFF"/>
        <w:rPr>
          <w:rFonts w:ascii="Verdana" w:eastAsia="Times New Roman" w:hAnsi="Verdana" w:cs="Times New Roman"/>
          <w:color w:val="222222"/>
        </w:rPr>
      </w:pPr>
      <w:proofErr w:type="spellStart"/>
      <w:r w:rsidRPr="008B44EC">
        <w:rPr>
          <w:rFonts w:ascii="Verdana" w:eastAsia="Times New Roman" w:hAnsi="Verdana" w:cs="Times New Roman"/>
          <w:color w:val="222222"/>
        </w:rPr>
        <w:t>To</w:t>
      </w:r>
      <w:proofErr w:type="gramStart"/>
      <w:r w:rsidRPr="008B44EC">
        <w:rPr>
          <w:rFonts w:ascii="Verdana" w:eastAsia="Times New Roman" w:hAnsi="Verdana" w:cs="Times New Roman"/>
          <w:color w:val="222222"/>
        </w:rPr>
        <w:t>:CLHO</w:t>
      </w:r>
      <w:proofErr w:type="spellEnd"/>
      <w:proofErr w:type="gramEnd"/>
      <w:r w:rsidRPr="008B44EC">
        <w:rPr>
          <w:rFonts w:ascii="Verdana" w:eastAsia="Times New Roman" w:hAnsi="Verdana" w:cs="Times New Roman"/>
          <w:color w:val="222222"/>
        </w:rPr>
        <w:t xml:space="preserve"> Board</w:t>
      </w:r>
    </w:p>
    <w:p w14:paraId="2240D2C2" w14:textId="77777777" w:rsidR="00DA0566" w:rsidRPr="008B44EC" w:rsidRDefault="00DA0566" w:rsidP="00DA0566">
      <w:pPr>
        <w:shd w:val="clear" w:color="auto" w:fill="FFFFFF"/>
        <w:rPr>
          <w:rFonts w:ascii="Verdana" w:eastAsia="Times New Roman" w:hAnsi="Verdana" w:cs="Times New Roman"/>
          <w:color w:val="222222"/>
        </w:rPr>
      </w:pPr>
      <w:proofErr w:type="spellStart"/>
      <w:r w:rsidRPr="008B44EC">
        <w:rPr>
          <w:rFonts w:ascii="Verdana" w:eastAsia="Times New Roman" w:hAnsi="Verdana" w:cs="Times New Roman"/>
          <w:color w:val="222222"/>
        </w:rPr>
        <w:t>Fr</w:t>
      </w:r>
      <w:proofErr w:type="spellEnd"/>
      <w:r w:rsidRPr="008B44EC">
        <w:rPr>
          <w:rFonts w:ascii="Verdana" w:eastAsia="Times New Roman" w:hAnsi="Verdana" w:cs="Times New Roman"/>
          <w:color w:val="222222"/>
        </w:rPr>
        <w:t>: Jae Douglas, Multnomah County Environmental Health Director</w:t>
      </w:r>
    </w:p>
    <w:p w14:paraId="2BE214F9" w14:textId="77777777" w:rsidR="00DA0566" w:rsidRPr="008B44EC" w:rsidRDefault="00DA0566" w:rsidP="00DA0566">
      <w:pPr>
        <w:shd w:val="clear" w:color="auto" w:fill="FFFFFF"/>
        <w:rPr>
          <w:rFonts w:ascii="Verdana" w:eastAsia="Times New Roman" w:hAnsi="Verdana" w:cs="Times New Roman"/>
          <w:color w:val="222222"/>
        </w:rPr>
      </w:pPr>
    </w:p>
    <w:p w14:paraId="1B4B6CA6" w14:textId="77777777" w:rsidR="00DA0566" w:rsidRPr="008B44EC" w:rsidRDefault="00DA0566" w:rsidP="00DA0566">
      <w:pPr>
        <w:shd w:val="clear" w:color="auto" w:fill="FFFFFF"/>
        <w:rPr>
          <w:rFonts w:ascii="Verdana" w:eastAsia="Times New Roman" w:hAnsi="Verdana" w:cs="Times New Roman"/>
          <w:color w:val="222222"/>
        </w:rPr>
      </w:pPr>
      <w:r w:rsidRPr="008B44EC">
        <w:rPr>
          <w:rFonts w:ascii="Verdana" w:eastAsia="Times New Roman" w:hAnsi="Verdana" w:cs="Times New Roman"/>
          <w:color w:val="222222"/>
        </w:rPr>
        <w:t>Re: Feedback requested on potential Oregon Administrative Rule change</w:t>
      </w:r>
    </w:p>
    <w:p w14:paraId="3793EE21" w14:textId="77777777" w:rsidR="00DA0566" w:rsidRPr="008B44EC" w:rsidRDefault="00DA0566" w:rsidP="00DA0566">
      <w:pPr>
        <w:shd w:val="clear" w:color="auto" w:fill="FFFFFF"/>
        <w:rPr>
          <w:rFonts w:ascii="Verdana" w:eastAsia="Times New Roman" w:hAnsi="Verdana" w:cs="Times New Roman"/>
          <w:color w:val="222222"/>
        </w:rPr>
      </w:pPr>
    </w:p>
    <w:p w14:paraId="412328F4" w14:textId="77777777" w:rsidR="00DA0566" w:rsidRPr="008B44EC" w:rsidRDefault="00DA0566" w:rsidP="00DA0566">
      <w:pPr>
        <w:shd w:val="clear" w:color="auto" w:fill="FFFFFF"/>
        <w:rPr>
          <w:rFonts w:ascii="Verdana" w:eastAsia="Times New Roman" w:hAnsi="Verdana" w:cs="Times New Roman"/>
          <w:color w:val="222222"/>
        </w:rPr>
      </w:pPr>
      <w:r w:rsidRPr="008B44EC">
        <w:rPr>
          <w:rFonts w:ascii="Verdana" w:eastAsia="Times New Roman" w:hAnsi="Verdana" w:cs="Times New Roman"/>
          <w:color w:val="222222"/>
        </w:rPr>
        <w:t>__________________________________________</w:t>
      </w:r>
    </w:p>
    <w:p w14:paraId="7CE6DE9F" w14:textId="77777777" w:rsidR="00DA0566" w:rsidRPr="008B44EC" w:rsidRDefault="00DA0566" w:rsidP="00DA0566">
      <w:pPr>
        <w:shd w:val="clear" w:color="auto" w:fill="FFFFFF"/>
        <w:rPr>
          <w:rFonts w:ascii="Verdana" w:eastAsia="Times New Roman" w:hAnsi="Verdana" w:cs="Times New Roman"/>
          <w:color w:val="222222"/>
        </w:rPr>
      </w:pPr>
      <w:bookmarkStart w:id="0" w:name="_GoBack"/>
      <w:bookmarkEnd w:id="0"/>
    </w:p>
    <w:p w14:paraId="3FF76CA1" w14:textId="77777777" w:rsidR="00DA0566" w:rsidRPr="008B44EC" w:rsidRDefault="00DA0566" w:rsidP="00DA0566">
      <w:pPr>
        <w:shd w:val="clear" w:color="auto" w:fill="FFFFFF"/>
        <w:rPr>
          <w:rFonts w:ascii="Verdana" w:eastAsia="Times New Roman" w:hAnsi="Verdana" w:cs="Times New Roman"/>
          <w:color w:val="222222"/>
        </w:rPr>
      </w:pPr>
    </w:p>
    <w:p w14:paraId="120F2180" w14:textId="77777777" w:rsidR="00DA0566" w:rsidRPr="00DA0566" w:rsidRDefault="00DA0566" w:rsidP="00DA0566">
      <w:pPr>
        <w:shd w:val="clear" w:color="auto" w:fill="FFFFFF"/>
        <w:rPr>
          <w:rFonts w:ascii="Verdana" w:eastAsia="Times New Roman" w:hAnsi="Verdana" w:cs="Times New Roman"/>
          <w:color w:val="222222"/>
        </w:rPr>
      </w:pPr>
      <w:r w:rsidRPr="00DA0566">
        <w:rPr>
          <w:rFonts w:ascii="Verdana" w:eastAsia="Times New Roman" w:hAnsi="Verdana" w:cs="Times New Roman"/>
          <w:color w:val="222222"/>
        </w:rPr>
        <w:t>LHD's are delegated the authority to license businesses which operate food service entities. Currently, Oregon law stipulates that</w:t>
      </w:r>
    </w:p>
    <w:p w14:paraId="6984EA23" w14:textId="77777777" w:rsidR="00DA0566" w:rsidRPr="00DA0566" w:rsidRDefault="00DA0566" w:rsidP="00DA0566">
      <w:pPr>
        <w:shd w:val="clear" w:color="auto" w:fill="FFFFFF"/>
        <w:rPr>
          <w:rFonts w:ascii="Verdana" w:eastAsia="Times New Roman" w:hAnsi="Verdana" w:cs="Times New Roman"/>
          <w:color w:val="222222"/>
        </w:rPr>
      </w:pPr>
    </w:p>
    <w:p w14:paraId="2B173B39" w14:textId="77777777" w:rsidR="00DA0566" w:rsidRPr="00DA0566" w:rsidRDefault="00DA0566" w:rsidP="00DA0566">
      <w:pPr>
        <w:shd w:val="clear" w:color="auto" w:fill="FFFFFF"/>
        <w:rPr>
          <w:rFonts w:ascii="Times" w:hAnsi="Times"/>
          <w:color w:val="000000"/>
        </w:rPr>
      </w:pPr>
      <w:r w:rsidRPr="00DA0566">
        <w:rPr>
          <w:rFonts w:ascii="Verdana" w:hAnsi="Verdana"/>
          <w:b/>
          <w:bCs/>
          <w:color w:val="000000"/>
          <w:shd w:val="clear" w:color="auto" w:fill="FFFFFF"/>
        </w:rPr>
        <w:t xml:space="preserve">624.020 License; rules; fee payment; denial, suspension and revocation of licenses; posting; </w:t>
      </w:r>
      <w:proofErr w:type="spellStart"/>
      <w:r w:rsidRPr="00DA0566">
        <w:rPr>
          <w:rFonts w:ascii="Verdana" w:hAnsi="Verdana"/>
          <w:b/>
          <w:bCs/>
          <w:color w:val="000000"/>
          <w:shd w:val="clear" w:color="auto" w:fill="FFFFFF"/>
        </w:rPr>
        <w:t>nontransferability</w:t>
      </w:r>
      <w:proofErr w:type="spellEnd"/>
      <w:r w:rsidRPr="00DA0566">
        <w:rPr>
          <w:rFonts w:ascii="Verdana" w:hAnsi="Verdana"/>
          <w:b/>
          <w:bCs/>
          <w:color w:val="000000"/>
          <w:shd w:val="clear" w:color="auto" w:fill="FFFFFF"/>
        </w:rPr>
        <w:t>.</w:t>
      </w:r>
      <w:r w:rsidRPr="00DA0566">
        <w:rPr>
          <w:rFonts w:ascii="Verdana" w:hAnsi="Verdana"/>
          <w:color w:val="000000"/>
          <w:shd w:val="clear" w:color="auto" w:fill="FFFFFF"/>
        </w:rPr>
        <w:t> (1) A person may not operate a restaurant or bed and breakfast facility without a license to do so from the Oregon Health Authority.</w:t>
      </w:r>
    </w:p>
    <w:p w14:paraId="3547D2DF" w14:textId="77777777" w:rsidR="00DA0566" w:rsidRPr="00DA0566" w:rsidRDefault="00DA0566" w:rsidP="00DA0566">
      <w:pPr>
        <w:shd w:val="clear" w:color="auto" w:fill="FFFFFF"/>
        <w:rPr>
          <w:rFonts w:ascii="Times" w:hAnsi="Times"/>
          <w:color w:val="222222"/>
        </w:rPr>
      </w:pPr>
      <w:r w:rsidRPr="00DA0566">
        <w:rPr>
          <w:rFonts w:ascii="Verdana" w:hAnsi="Verdana"/>
          <w:color w:val="000000"/>
          <w:shd w:val="clear" w:color="auto" w:fill="FFFFFF"/>
        </w:rPr>
        <w:t>      (2) Application for the license shall be in writing in the form prescribed by the authority and shall contain the name and address of the applicant and any other information that the authority may require. The fee for a license is as provided in ORS 624.490.</w:t>
      </w:r>
      <w:r w:rsidRPr="00DA0566">
        <w:rPr>
          <w:rFonts w:ascii="Verdana" w:hAnsi="Verdana"/>
          <w:color w:val="000000"/>
          <w:shd w:val="clear" w:color="auto" w:fill="FFFF00"/>
        </w:rPr>
        <w:t> A license expires annually on </w:t>
      </w:r>
      <w:r w:rsidRPr="008B44EC">
        <w:rPr>
          <w:rFonts w:ascii="Verdana" w:hAnsi="Verdana"/>
          <w:color w:val="000000"/>
          <w:shd w:val="clear" w:color="auto" w:fill="FFFF00"/>
        </w:rPr>
        <w:t>December 31</w:t>
      </w:r>
      <w:r w:rsidRPr="00DA0566">
        <w:rPr>
          <w:rFonts w:ascii="Verdana" w:hAnsi="Verdana"/>
          <w:color w:val="000000"/>
          <w:shd w:val="clear" w:color="auto" w:fill="FFFF00"/>
        </w:rPr>
        <w:t> or </w:t>
      </w:r>
      <w:r w:rsidRPr="00DA0566">
        <w:rPr>
          <w:rFonts w:ascii="Verdana" w:hAnsi="Verdana"/>
          <w:color w:val="000000"/>
          <w:u w:val="single"/>
          <w:shd w:val="clear" w:color="auto" w:fill="FFFF00"/>
        </w:rPr>
        <w:t>on such date as may be specified by authority rule.</w:t>
      </w:r>
    </w:p>
    <w:p w14:paraId="1F7194B3" w14:textId="77777777" w:rsidR="00DA0566" w:rsidRPr="00DA0566" w:rsidRDefault="00DA0566" w:rsidP="00DA0566">
      <w:pPr>
        <w:shd w:val="clear" w:color="auto" w:fill="FFFFFF"/>
        <w:rPr>
          <w:rFonts w:ascii="Calibri" w:hAnsi="Calibri"/>
          <w:color w:val="000000"/>
        </w:rPr>
      </w:pPr>
    </w:p>
    <w:p w14:paraId="636248C7" w14:textId="77777777" w:rsidR="00DA0566" w:rsidRPr="00DA0566" w:rsidRDefault="00DA0566" w:rsidP="00DA0566">
      <w:pPr>
        <w:shd w:val="clear" w:color="auto" w:fill="FFFFFF"/>
        <w:rPr>
          <w:rFonts w:ascii="Arial" w:eastAsia="Times New Roman" w:hAnsi="Arial"/>
          <w:color w:val="222222"/>
        </w:rPr>
      </w:pPr>
      <w:r w:rsidRPr="00DA0566">
        <w:rPr>
          <w:rFonts w:ascii="Arial" w:eastAsia="Times New Roman" w:hAnsi="Arial"/>
          <w:color w:val="222222"/>
        </w:rPr>
        <w:t xml:space="preserve">Multnomah </w:t>
      </w:r>
      <w:proofErr w:type="gramStart"/>
      <w:r w:rsidRPr="00DA0566">
        <w:rPr>
          <w:rFonts w:ascii="Arial" w:eastAsia="Times New Roman" w:hAnsi="Arial"/>
          <w:color w:val="222222"/>
        </w:rPr>
        <w:t>county</w:t>
      </w:r>
      <w:proofErr w:type="gramEnd"/>
      <w:r w:rsidRPr="00DA0566">
        <w:rPr>
          <w:rFonts w:ascii="Arial" w:eastAsia="Times New Roman" w:hAnsi="Arial"/>
          <w:color w:val="222222"/>
        </w:rPr>
        <w:t xml:space="preserve"> currently licenses an average of 6,000 facilities annually. Renewing such a large number of facilities each year on the same day creates significant business, staff and operational impacts that could be easily mitigated by staggering the renewal deadline across the year. Multnomah </w:t>
      </w:r>
      <w:proofErr w:type="gramStart"/>
      <w:r w:rsidRPr="00DA0566">
        <w:rPr>
          <w:rFonts w:ascii="Arial" w:eastAsia="Times New Roman" w:hAnsi="Arial"/>
          <w:color w:val="222222"/>
        </w:rPr>
        <w:t>county</w:t>
      </w:r>
      <w:proofErr w:type="gramEnd"/>
      <w:r w:rsidRPr="00DA0566">
        <w:rPr>
          <w:rFonts w:ascii="Arial" w:eastAsia="Times New Roman" w:hAnsi="Arial"/>
          <w:color w:val="222222"/>
        </w:rPr>
        <w:t xml:space="preserve"> has raised this concern with CHLO-EH, the Oregon Restaurant and Lodging Association and with OHA (Environmental Public Health). There have been no objections to date to the proposal to engage a rulemaking session to allow LHD's to set renewal dates locally. </w:t>
      </w:r>
    </w:p>
    <w:p w14:paraId="4C8EEB82" w14:textId="77777777" w:rsidR="00DA0566" w:rsidRPr="00DA0566" w:rsidRDefault="00DA0566" w:rsidP="00DA0566">
      <w:pPr>
        <w:rPr>
          <w:rFonts w:ascii="Times" w:eastAsia="Times New Roman" w:hAnsi="Times" w:cs="Times New Roman"/>
          <w:sz w:val="20"/>
          <w:szCs w:val="20"/>
        </w:rPr>
      </w:pPr>
    </w:p>
    <w:p w14:paraId="21EDC5AD" w14:textId="77777777" w:rsidR="005E0FF8" w:rsidRDefault="005E0FF8"/>
    <w:sectPr w:rsidR="005E0FF8"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66"/>
    <w:rsid w:val="005E0FF8"/>
    <w:rsid w:val="008B44EC"/>
    <w:rsid w:val="00D600C7"/>
    <w:rsid w:val="00DA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B9A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DA05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DA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32305">
      <w:bodyDiv w:val="1"/>
      <w:marLeft w:val="0"/>
      <w:marRight w:val="0"/>
      <w:marTop w:val="0"/>
      <w:marBottom w:val="0"/>
      <w:divBdr>
        <w:top w:val="none" w:sz="0" w:space="0" w:color="auto"/>
        <w:left w:val="none" w:sz="0" w:space="0" w:color="auto"/>
        <w:bottom w:val="none" w:sz="0" w:space="0" w:color="auto"/>
        <w:right w:val="none" w:sz="0" w:space="0" w:color="auto"/>
      </w:divBdr>
      <w:divsChild>
        <w:div w:id="582420713">
          <w:marLeft w:val="0"/>
          <w:marRight w:val="0"/>
          <w:marTop w:val="0"/>
          <w:marBottom w:val="0"/>
          <w:divBdr>
            <w:top w:val="none" w:sz="0" w:space="0" w:color="auto"/>
            <w:left w:val="none" w:sz="0" w:space="0" w:color="auto"/>
            <w:bottom w:val="none" w:sz="0" w:space="0" w:color="auto"/>
            <w:right w:val="none" w:sz="0" w:space="0" w:color="auto"/>
          </w:divBdr>
        </w:div>
        <w:div w:id="1833062788">
          <w:marLeft w:val="0"/>
          <w:marRight w:val="0"/>
          <w:marTop w:val="0"/>
          <w:marBottom w:val="0"/>
          <w:divBdr>
            <w:top w:val="none" w:sz="0" w:space="0" w:color="auto"/>
            <w:left w:val="none" w:sz="0" w:space="0" w:color="auto"/>
            <w:bottom w:val="none" w:sz="0" w:space="0" w:color="auto"/>
            <w:right w:val="none" w:sz="0" w:space="0" w:color="auto"/>
          </w:divBdr>
        </w:div>
        <w:div w:id="13987478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1292</Characters>
  <Application>Microsoft Macintosh Word</Application>
  <DocSecurity>0</DocSecurity>
  <Lines>10</Lines>
  <Paragraphs>3</Paragraphs>
  <ScaleCrop>false</ScaleCrop>
  <Company>Coalition of Local Health Officials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2018-07-13T16:53:00Z</dcterms:created>
  <dcterms:modified xsi:type="dcterms:W3CDTF">2018-07-13T16:54:00Z</dcterms:modified>
</cp:coreProperties>
</file>