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0A8D0" w14:textId="77777777" w:rsidR="00A51A5E" w:rsidRPr="002E1FA8" w:rsidRDefault="00A51A5E" w:rsidP="00A51A5E">
      <w:pPr>
        <w:pStyle w:val="Normal1"/>
        <w:spacing w:line="240" w:lineRule="auto"/>
        <w:contextualSpacing w:val="0"/>
        <w:jc w:val="center"/>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Policy Statement</w:t>
      </w:r>
    </w:p>
    <w:p w14:paraId="6D292BD2" w14:textId="77777777" w:rsidR="00A51A5E" w:rsidRPr="002E1FA8" w:rsidRDefault="00A51A5E" w:rsidP="00A51A5E">
      <w:pPr>
        <w:pStyle w:val="Normal1"/>
        <w:spacing w:line="240" w:lineRule="auto"/>
        <w:contextualSpacing w:val="0"/>
        <w:rPr>
          <w:rFonts w:ascii="Times New Roman" w:eastAsia="Century Gothic" w:hAnsi="Times New Roman" w:cs="Times New Roman"/>
          <w:sz w:val="24"/>
          <w:szCs w:val="24"/>
        </w:rPr>
      </w:pPr>
    </w:p>
    <w:p w14:paraId="5F8305A8" w14:textId="77777777" w:rsidR="00A51A5E" w:rsidRPr="002E1FA8" w:rsidRDefault="00A51A5E" w:rsidP="00A51A5E">
      <w:pPr>
        <w:pStyle w:val="Normal1"/>
        <w:spacing w:line="240" w:lineRule="auto"/>
        <w:contextualSpacing w:val="0"/>
        <w:rPr>
          <w:rFonts w:ascii="Times New Roman" w:eastAsia="Century Gothic" w:hAnsi="Times New Roman" w:cs="Times New Roman"/>
          <w:sz w:val="24"/>
          <w:szCs w:val="24"/>
        </w:rPr>
      </w:pPr>
      <w:bookmarkStart w:id="0" w:name="_gjdgxs" w:colFirst="0" w:colLast="0"/>
      <w:bookmarkEnd w:id="0"/>
      <w:r w:rsidRPr="002E1FA8">
        <w:rPr>
          <w:rFonts w:ascii="Times New Roman" w:eastAsia="Century Gothic" w:hAnsi="Times New Roman" w:cs="Times New Roman"/>
          <w:b/>
          <w:sz w:val="24"/>
          <w:szCs w:val="24"/>
        </w:rPr>
        <w:t>CLHO Committee:</w:t>
      </w:r>
      <w:r w:rsidRPr="002E1FA8">
        <w:rPr>
          <w:rFonts w:ascii="Times New Roman" w:eastAsia="Century Gothic" w:hAnsi="Times New Roman" w:cs="Times New Roman"/>
          <w:sz w:val="24"/>
          <w:szCs w:val="24"/>
        </w:rPr>
        <w:t xml:space="preserve"> Communicable Disease</w:t>
      </w:r>
    </w:p>
    <w:p w14:paraId="407CED4D" w14:textId="77777777" w:rsidR="00A51A5E" w:rsidRPr="002E1FA8" w:rsidRDefault="00A51A5E" w:rsidP="00A51A5E">
      <w:pPr>
        <w:pStyle w:val="Normal1"/>
        <w:spacing w:line="240" w:lineRule="auto"/>
        <w:contextualSpacing w:val="0"/>
        <w:rPr>
          <w:rFonts w:ascii="Times New Roman" w:eastAsia="Century Gothic" w:hAnsi="Times New Roman" w:cs="Times New Roman"/>
          <w:sz w:val="24"/>
          <w:szCs w:val="24"/>
        </w:rPr>
      </w:pPr>
    </w:p>
    <w:p w14:paraId="13A872B3" w14:textId="260E7CC7" w:rsidR="00A51A5E" w:rsidRPr="002E1FA8" w:rsidRDefault="00A51A5E" w:rsidP="00A51A5E">
      <w:pPr>
        <w:pStyle w:val="Normal1"/>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 xml:space="preserve">Policy Statement: </w:t>
      </w:r>
      <w:r w:rsidRPr="002E1FA8">
        <w:rPr>
          <w:rFonts w:ascii="Times New Roman" w:eastAsia="Century Gothic" w:hAnsi="Times New Roman" w:cs="Times New Roman"/>
          <w:sz w:val="24"/>
          <w:szCs w:val="24"/>
        </w:rPr>
        <w:t xml:space="preserve">The Coalition of Local Health Officials (CLHO) supports a robust Public Health Lab as a vital component of </w:t>
      </w:r>
      <w:r>
        <w:rPr>
          <w:rFonts w:ascii="Times New Roman" w:eastAsia="Century Gothic" w:hAnsi="Times New Roman" w:cs="Times New Roman"/>
          <w:sz w:val="24"/>
          <w:szCs w:val="24"/>
        </w:rPr>
        <w:t>the Oregon public health system</w:t>
      </w:r>
      <w:r w:rsidR="004377E2">
        <w:rPr>
          <w:rFonts w:ascii="Times New Roman" w:eastAsia="Century Gothic" w:hAnsi="Times New Roman" w:cs="Times New Roman"/>
          <w:sz w:val="24"/>
          <w:szCs w:val="24"/>
        </w:rPr>
        <w:t xml:space="preserve"> in rapidly detecting and protecting communities from public health threats</w:t>
      </w:r>
      <w:r w:rsidRPr="002E1FA8">
        <w:rPr>
          <w:rFonts w:ascii="Times New Roman" w:eastAsia="Century Gothic" w:hAnsi="Times New Roman" w:cs="Times New Roman"/>
          <w:sz w:val="24"/>
          <w:szCs w:val="24"/>
        </w:rPr>
        <w:t>.</w:t>
      </w:r>
    </w:p>
    <w:p w14:paraId="4044FAB2" w14:textId="77777777" w:rsidR="00A51A5E" w:rsidRDefault="00A51A5E" w:rsidP="00A51A5E">
      <w:pPr>
        <w:pStyle w:val="Normal1"/>
        <w:shd w:val="clear" w:color="auto" w:fill="FFFFFF"/>
        <w:spacing w:line="240" w:lineRule="auto"/>
        <w:contextualSpacing w:val="0"/>
        <w:rPr>
          <w:rFonts w:ascii="Times New Roman" w:eastAsia="Century Gothic" w:hAnsi="Times New Roman" w:cs="Times New Roman"/>
          <w:sz w:val="24"/>
          <w:szCs w:val="24"/>
        </w:rPr>
      </w:pPr>
    </w:p>
    <w:p w14:paraId="315244F3" w14:textId="77777777" w:rsidR="00A51A5E" w:rsidRPr="00563BC7" w:rsidRDefault="00A51A5E" w:rsidP="00A51A5E">
      <w:pPr>
        <w:pStyle w:val="Normal1"/>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b/>
          <w:sz w:val="24"/>
          <w:szCs w:val="24"/>
        </w:rPr>
        <w:t>Policy Positions:</w:t>
      </w:r>
      <w:r w:rsidRPr="00563BC7">
        <w:rPr>
          <w:rFonts w:ascii="Times New Roman" w:eastAsia="Century Gothic" w:hAnsi="Times New Roman" w:cs="Times New Roman"/>
          <w:sz w:val="24"/>
          <w:szCs w:val="24"/>
        </w:rPr>
        <w:t xml:space="preserve"> CLHO Supports Legislation that: </w:t>
      </w:r>
    </w:p>
    <w:p w14:paraId="3C2BE04A" w14:textId="77777777" w:rsidR="00A51A5E" w:rsidRPr="00563BC7" w:rsidRDefault="00A51A5E" w:rsidP="00A51A5E">
      <w:pPr>
        <w:pStyle w:val="Normal1"/>
        <w:numPr>
          <w:ilvl w:val="0"/>
          <w:numId w:val="2"/>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sz w:val="24"/>
          <w:szCs w:val="24"/>
        </w:rPr>
        <w:t>Provides sufficient funding for the Oregon State Public Health Laboratory (OSPHL) and increased capacity for ongoing improvements of the OSPHL</w:t>
      </w:r>
    </w:p>
    <w:p w14:paraId="7A4851B1" w14:textId="77777777" w:rsidR="00A51A5E" w:rsidRPr="00563BC7" w:rsidRDefault="00A51A5E" w:rsidP="00A51A5E">
      <w:pPr>
        <w:pStyle w:val="Normal1"/>
        <w:numPr>
          <w:ilvl w:val="0"/>
          <w:numId w:val="2"/>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sz w:val="24"/>
          <w:szCs w:val="24"/>
        </w:rPr>
        <w:t>Protects the vital role of the OSPHL within the public health system</w:t>
      </w:r>
    </w:p>
    <w:p w14:paraId="4372F933" w14:textId="77777777" w:rsidR="00A51A5E" w:rsidRPr="00563BC7" w:rsidRDefault="00A51A5E" w:rsidP="00A51A5E">
      <w:pPr>
        <w:pStyle w:val="Normal1"/>
        <w:numPr>
          <w:ilvl w:val="0"/>
          <w:numId w:val="2"/>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sz w:val="24"/>
          <w:szCs w:val="24"/>
        </w:rPr>
        <w:t>Sustains capacity for laboratory services necessary for public health surveillance and disease control</w:t>
      </w:r>
    </w:p>
    <w:p w14:paraId="2CCEE3C8" w14:textId="77777777" w:rsidR="00A51A5E" w:rsidRPr="00070EAA" w:rsidRDefault="00A51A5E" w:rsidP="00A51A5E">
      <w:pPr>
        <w:pStyle w:val="Normal1"/>
        <w:shd w:val="clear" w:color="auto" w:fill="FFFFFF"/>
        <w:spacing w:line="240" w:lineRule="auto"/>
        <w:contextualSpacing w:val="0"/>
        <w:rPr>
          <w:rFonts w:ascii="Times New Roman" w:eastAsia="Century Gothic" w:hAnsi="Times New Roman" w:cs="Times New Roman"/>
          <w:sz w:val="24"/>
          <w:szCs w:val="24"/>
          <w:highlight w:val="yellow"/>
        </w:rPr>
      </w:pPr>
    </w:p>
    <w:p w14:paraId="180549B9" w14:textId="77777777" w:rsidR="00A51A5E" w:rsidRPr="00563BC7" w:rsidRDefault="00A51A5E" w:rsidP="00A51A5E">
      <w:pPr>
        <w:pStyle w:val="Normal1"/>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b/>
          <w:sz w:val="24"/>
          <w:szCs w:val="24"/>
        </w:rPr>
        <w:t>Public Health Issue that Policy Statement is Addressing:</w:t>
      </w:r>
      <w:r w:rsidRPr="00563BC7">
        <w:rPr>
          <w:rFonts w:ascii="Times New Roman" w:eastAsia="Century Gothic" w:hAnsi="Times New Roman" w:cs="Times New Roman"/>
          <w:sz w:val="24"/>
          <w:szCs w:val="24"/>
        </w:rPr>
        <w:t xml:space="preserve"> </w:t>
      </w:r>
    </w:p>
    <w:p w14:paraId="1DE9FE6C" w14:textId="05F06FC0" w:rsidR="00A51A5E" w:rsidRPr="00563BC7" w:rsidRDefault="00A51A5E" w:rsidP="00A51A5E">
      <w:pPr>
        <w:pStyle w:val="Normal1"/>
        <w:numPr>
          <w:ilvl w:val="0"/>
          <w:numId w:val="1"/>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sz w:val="24"/>
          <w:szCs w:val="24"/>
        </w:rPr>
        <w:t>Infectious disease control</w:t>
      </w:r>
      <w:r w:rsidR="008C7B98" w:rsidRPr="00563BC7">
        <w:rPr>
          <w:rFonts w:ascii="Times New Roman" w:eastAsia="Century Gothic" w:hAnsi="Times New Roman" w:cs="Times New Roman"/>
          <w:sz w:val="24"/>
          <w:szCs w:val="24"/>
        </w:rPr>
        <w:t xml:space="preserve"> </w:t>
      </w:r>
      <w:r w:rsidR="002C7545" w:rsidRPr="00563BC7">
        <w:rPr>
          <w:rFonts w:ascii="Times New Roman" w:eastAsia="Century Gothic" w:hAnsi="Times New Roman" w:cs="Times New Roman"/>
          <w:sz w:val="24"/>
          <w:szCs w:val="24"/>
        </w:rPr>
        <w:t xml:space="preserve">and surveillance </w:t>
      </w:r>
    </w:p>
    <w:p w14:paraId="34D24243" w14:textId="41495A95" w:rsidR="00A51A5E" w:rsidRPr="00563BC7" w:rsidRDefault="00A51A5E" w:rsidP="00A51A5E">
      <w:pPr>
        <w:pStyle w:val="Normal1"/>
        <w:numPr>
          <w:ilvl w:val="0"/>
          <w:numId w:val="1"/>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eastAsia="Century Gothic" w:hAnsi="Times New Roman" w:cs="Times New Roman"/>
          <w:sz w:val="24"/>
          <w:szCs w:val="24"/>
        </w:rPr>
        <w:t>Clinical testing</w:t>
      </w:r>
    </w:p>
    <w:p w14:paraId="4F02AA63" w14:textId="77777777" w:rsidR="00563BC7" w:rsidRPr="00563BC7" w:rsidRDefault="00563BC7" w:rsidP="00A51A5E">
      <w:pPr>
        <w:pStyle w:val="Normal1"/>
        <w:numPr>
          <w:ilvl w:val="0"/>
          <w:numId w:val="1"/>
        </w:numPr>
        <w:shd w:val="clear" w:color="auto" w:fill="FFFFFF"/>
        <w:spacing w:line="240" w:lineRule="auto"/>
        <w:contextualSpacing w:val="0"/>
        <w:rPr>
          <w:rFonts w:ascii="Times New Roman" w:eastAsia="Century Gothic" w:hAnsi="Times New Roman" w:cs="Times New Roman"/>
          <w:sz w:val="24"/>
          <w:szCs w:val="24"/>
        </w:rPr>
      </w:pPr>
      <w:r w:rsidRPr="00563BC7">
        <w:rPr>
          <w:rFonts w:ascii="Times New Roman" w:hAnsi="Times New Roman" w:cs="Times New Roman"/>
          <w:sz w:val="24"/>
          <w:szCs w:val="24"/>
        </w:rPr>
        <w:t>Access to a full spectrum of laboratory services needed to support public health and address the needs of the Oregon population as a whole</w:t>
      </w:r>
      <w:r w:rsidRPr="00563BC7" w:rsidDel="00563BC7">
        <w:rPr>
          <w:rFonts w:ascii="Times New Roman" w:eastAsia="Century Gothic" w:hAnsi="Times New Roman" w:cs="Times New Roman"/>
          <w:sz w:val="24"/>
          <w:szCs w:val="24"/>
        </w:rPr>
        <w:t xml:space="preserve"> </w:t>
      </w:r>
    </w:p>
    <w:p w14:paraId="08BF0C4E" w14:textId="77777777" w:rsidR="00A51A5E" w:rsidRPr="002E1FA8" w:rsidRDefault="00A51A5E" w:rsidP="00A51A5E">
      <w:pPr>
        <w:pStyle w:val="Normal1"/>
        <w:shd w:val="clear" w:color="auto" w:fill="FFFFFF"/>
        <w:spacing w:line="240" w:lineRule="auto"/>
        <w:contextualSpacing w:val="0"/>
        <w:rPr>
          <w:rFonts w:ascii="Times New Roman" w:eastAsia="Century Gothic" w:hAnsi="Times New Roman" w:cs="Times New Roman"/>
          <w:b/>
          <w:sz w:val="24"/>
          <w:szCs w:val="24"/>
        </w:rPr>
      </w:pPr>
    </w:p>
    <w:p w14:paraId="2447B194" w14:textId="77777777" w:rsidR="00A51A5E" w:rsidRPr="002E1FA8" w:rsidRDefault="00A51A5E" w:rsidP="00A51A5E">
      <w:pPr>
        <w:pStyle w:val="Normal1"/>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Justification (data supporting the need to work on this issue): </w:t>
      </w:r>
    </w:p>
    <w:p w14:paraId="6D7438CE" w14:textId="250C826A" w:rsidR="00A51A5E" w:rsidRPr="004B7979" w:rsidRDefault="00A51A5E">
      <w:pPr>
        <w:rPr>
          <w:rFonts w:ascii="Times New Roman" w:hAnsi="Times New Roman" w:cs="Times New Roman"/>
          <w:sz w:val="24"/>
        </w:rPr>
      </w:pPr>
      <w:r w:rsidRPr="00A51A5E">
        <w:rPr>
          <w:rFonts w:ascii="Times New Roman" w:hAnsi="Times New Roman" w:cs="Times New Roman"/>
          <w:sz w:val="24"/>
        </w:rPr>
        <w:t xml:space="preserve">Communicable </w:t>
      </w:r>
      <w:r>
        <w:rPr>
          <w:rFonts w:ascii="Times New Roman" w:hAnsi="Times New Roman" w:cs="Times New Roman"/>
          <w:sz w:val="24"/>
        </w:rPr>
        <w:t xml:space="preserve">diseases are a serious public health issue that impact both individuals and communities throughout the state of Oregon. </w:t>
      </w:r>
      <w:r w:rsidR="002C7545">
        <w:rPr>
          <w:rFonts w:ascii="Times New Roman" w:hAnsi="Times New Roman" w:cs="Times New Roman"/>
          <w:sz w:val="24"/>
        </w:rPr>
        <w:t>In 2016</w:t>
      </w:r>
      <w:r w:rsidR="00DD6D29">
        <w:rPr>
          <w:rFonts w:ascii="Times New Roman" w:hAnsi="Times New Roman" w:cs="Times New Roman"/>
          <w:sz w:val="24"/>
        </w:rPr>
        <w:t xml:space="preserve">, there were over </w:t>
      </w:r>
      <w:r w:rsidR="002C7545">
        <w:rPr>
          <w:rFonts w:ascii="Times New Roman" w:hAnsi="Times New Roman" w:cs="Times New Roman"/>
          <w:sz w:val="24"/>
        </w:rPr>
        <w:t>32,000</w:t>
      </w:r>
      <w:r w:rsidR="00DD6D29">
        <w:rPr>
          <w:rFonts w:ascii="Times New Roman" w:hAnsi="Times New Roman" w:cs="Times New Roman"/>
          <w:sz w:val="24"/>
        </w:rPr>
        <w:t xml:space="preserve"> cases </w:t>
      </w:r>
      <w:r w:rsidR="002F6AAD">
        <w:rPr>
          <w:rFonts w:ascii="Times New Roman" w:hAnsi="Times New Roman" w:cs="Times New Roman"/>
          <w:sz w:val="24"/>
        </w:rPr>
        <w:t xml:space="preserve">reportable communicable disease </w:t>
      </w:r>
      <w:r w:rsidR="00DD6D29">
        <w:rPr>
          <w:rFonts w:ascii="Times New Roman" w:hAnsi="Times New Roman" w:cs="Times New Roman"/>
          <w:sz w:val="24"/>
        </w:rPr>
        <w:t xml:space="preserve">and over 300 outbreaks </w:t>
      </w:r>
      <w:r w:rsidR="002C7545">
        <w:rPr>
          <w:rFonts w:ascii="Times New Roman" w:hAnsi="Times New Roman" w:cs="Times New Roman"/>
          <w:sz w:val="24"/>
        </w:rPr>
        <w:t>in Oregon</w:t>
      </w:r>
      <w:r w:rsidR="00DD6D29">
        <w:rPr>
          <w:rFonts w:ascii="Times New Roman" w:hAnsi="Times New Roman" w:cs="Times New Roman"/>
          <w:sz w:val="24"/>
        </w:rPr>
        <w:t>.</w:t>
      </w:r>
      <w:r w:rsidR="00753253" w:rsidRPr="00753253">
        <w:rPr>
          <w:rFonts w:ascii="Times New Roman" w:hAnsi="Times New Roman" w:cs="Times New Roman"/>
          <w:sz w:val="24"/>
          <w:vertAlign w:val="superscript"/>
        </w:rPr>
        <w:t>2</w:t>
      </w:r>
      <w:r w:rsidR="00344C00">
        <w:rPr>
          <w:rFonts w:ascii="Times New Roman" w:hAnsi="Times New Roman" w:cs="Times New Roman"/>
          <w:sz w:val="24"/>
          <w:vertAlign w:val="superscript"/>
        </w:rPr>
        <w:t>-</w:t>
      </w:r>
      <w:r w:rsidR="002C7545">
        <w:rPr>
          <w:rFonts w:ascii="Times New Roman" w:hAnsi="Times New Roman" w:cs="Times New Roman"/>
          <w:sz w:val="24"/>
          <w:vertAlign w:val="superscript"/>
        </w:rPr>
        <w:t>4</w:t>
      </w:r>
      <w:r w:rsidR="00DD6D29">
        <w:rPr>
          <w:rFonts w:ascii="Times New Roman" w:hAnsi="Times New Roman" w:cs="Times New Roman"/>
          <w:sz w:val="24"/>
        </w:rPr>
        <w:t xml:space="preserve"> </w:t>
      </w:r>
      <w:r w:rsidR="0033403F">
        <w:rPr>
          <w:rFonts w:ascii="Times New Roman" w:hAnsi="Times New Roman" w:cs="Times New Roman"/>
          <w:sz w:val="24"/>
        </w:rPr>
        <w:t>The economic impact of foodborne illness alone, is estimated to cost Oregon $229 million per year in healthcare</w:t>
      </w:r>
      <w:r w:rsidR="00062FD0">
        <w:rPr>
          <w:rFonts w:ascii="Times New Roman" w:hAnsi="Times New Roman" w:cs="Times New Roman"/>
          <w:sz w:val="24"/>
        </w:rPr>
        <w:t xml:space="preserve"> costs</w:t>
      </w:r>
      <w:r w:rsidR="0033403F">
        <w:rPr>
          <w:rFonts w:ascii="Times New Roman" w:hAnsi="Times New Roman" w:cs="Times New Roman"/>
          <w:sz w:val="24"/>
        </w:rPr>
        <w:t>, lost productivity, and premature death.</w:t>
      </w:r>
      <w:r w:rsidR="002C7545" w:rsidRPr="002C7545">
        <w:rPr>
          <w:rFonts w:ascii="Times New Roman" w:hAnsi="Times New Roman" w:cs="Times New Roman"/>
          <w:sz w:val="24"/>
          <w:vertAlign w:val="superscript"/>
        </w:rPr>
        <w:t>5</w:t>
      </w:r>
      <w:r w:rsidR="0033403F">
        <w:rPr>
          <w:rFonts w:ascii="Times New Roman" w:hAnsi="Times New Roman" w:cs="Times New Roman"/>
          <w:sz w:val="24"/>
        </w:rPr>
        <w:t xml:space="preserve"> </w:t>
      </w:r>
      <w:r>
        <w:rPr>
          <w:rFonts w:ascii="Times New Roman" w:hAnsi="Times New Roman" w:cs="Times New Roman"/>
          <w:sz w:val="24"/>
        </w:rPr>
        <w:t xml:space="preserve">Protecting the population from </w:t>
      </w:r>
      <w:r w:rsidR="0033403F">
        <w:rPr>
          <w:rFonts w:ascii="Times New Roman" w:hAnsi="Times New Roman" w:cs="Times New Roman"/>
          <w:sz w:val="24"/>
        </w:rPr>
        <w:t xml:space="preserve">communicable disease is one of </w:t>
      </w:r>
      <w:r w:rsidR="00397DB1">
        <w:rPr>
          <w:rFonts w:ascii="Times New Roman" w:hAnsi="Times New Roman" w:cs="Times New Roman"/>
          <w:sz w:val="24"/>
        </w:rPr>
        <w:t xml:space="preserve">the </w:t>
      </w:r>
      <w:r w:rsidR="0033403F">
        <w:rPr>
          <w:rFonts w:ascii="Times New Roman" w:hAnsi="Times New Roman" w:cs="Times New Roman"/>
          <w:sz w:val="24"/>
        </w:rPr>
        <w:t>priority areas identified in Oregon’s 20</w:t>
      </w:r>
      <w:r w:rsidR="00350A34">
        <w:rPr>
          <w:rFonts w:ascii="Times New Roman" w:hAnsi="Times New Roman" w:cs="Times New Roman"/>
          <w:sz w:val="24"/>
        </w:rPr>
        <w:t>15-2019 State Health Improvement Plan</w:t>
      </w:r>
      <w:r w:rsidR="002C7545">
        <w:rPr>
          <w:rFonts w:ascii="Times New Roman" w:hAnsi="Times New Roman" w:cs="Times New Roman"/>
          <w:sz w:val="24"/>
          <w:vertAlign w:val="superscript"/>
        </w:rPr>
        <w:t>6</w:t>
      </w:r>
      <w:r w:rsidR="004B7979">
        <w:rPr>
          <w:rFonts w:ascii="Times New Roman" w:hAnsi="Times New Roman" w:cs="Times New Roman"/>
          <w:sz w:val="24"/>
        </w:rPr>
        <w:t xml:space="preserve"> and Communicable Disease is </w:t>
      </w:r>
      <w:r w:rsidR="003E17C7">
        <w:rPr>
          <w:rFonts w:ascii="Times New Roman" w:hAnsi="Times New Roman" w:cs="Times New Roman"/>
          <w:sz w:val="24"/>
        </w:rPr>
        <w:t xml:space="preserve">a </w:t>
      </w:r>
      <w:r w:rsidR="004B7979">
        <w:rPr>
          <w:rFonts w:ascii="Times New Roman" w:hAnsi="Times New Roman" w:cs="Times New Roman"/>
          <w:sz w:val="24"/>
        </w:rPr>
        <w:t>foundation</w:t>
      </w:r>
      <w:r w:rsidR="005627D4">
        <w:rPr>
          <w:rFonts w:ascii="Times New Roman" w:hAnsi="Times New Roman" w:cs="Times New Roman"/>
          <w:sz w:val="24"/>
        </w:rPr>
        <w:t>al</w:t>
      </w:r>
      <w:r w:rsidR="004B7979">
        <w:rPr>
          <w:rFonts w:ascii="Times New Roman" w:hAnsi="Times New Roman" w:cs="Times New Roman"/>
          <w:sz w:val="24"/>
        </w:rPr>
        <w:t xml:space="preserve"> program in Oregon’s Public Health Modernization framework.</w:t>
      </w:r>
    </w:p>
    <w:p w14:paraId="1EB41FF6" w14:textId="224743E6" w:rsidR="00B80629" w:rsidRDefault="00427FA1" w:rsidP="007A187D">
      <w:pPr>
        <w:rPr>
          <w:rFonts w:ascii="Times New Roman" w:eastAsia="Century Gothic" w:hAnsi="Times New Roman" w:cs="Times New Roman"/>
          <w:sz w:val="24"/>
          <w:szCs w:val="24"/>
        </w:rPr>
      </w:pPr>
      <w:r>
        <w:rPr>
          <w:rFonts w:ascii="Times New Roman" w:hAnsi="Times New Roman" w:cs="Times New Roman"/>
          <w:sz w:val="24"/>
        </w:rPr>
        <w:t xml:space="preserve">The </w:t>
      </w:r>
      <w:r w:rsidR="00062FD0">
        <w:rPr>
          <w:rFonts w:ascii="Times New Roman" w:hAnsi="Times New Roman" w:cs="Times New Roman"/>
          <w:sz w:val="24"/>
        </w:rPr>
        <w:t xml:space="preserve">Oregon State Public Health Laboratory (OSPHL) </w:t>
      </w:r>
      <w:r w:rsidR="00D823D9">
        <w:rPr>
          <w:rFonts w:ascii="Times New Roman" w:hAnsi="Times New Roman" w:cs="Times New Roman"/>
          <w:sz w:val="24"/>
        </w:rPr>
        <w:t>plays a key role in addressing communicable disease in Oregon, performing</w:t>
      </w:r>
      <w:r w:rsidR="002C7545">
        <w:rPr>
          <w:rFonts w:ascii="Times New Roman" w:hAnsi="Times New Roman" w:cs="Times New Roman"/>
          <w:sz w:val="24"/>
        </w:rPr>
        <w:t xml:space="preserve"> </w:t>
      </w:r>
      <w:r w:rsidR="00D823D9">
        <w:rPr>
          <w:rFonts w:ascii="Times New Roman" w:hAnsi="Times New Roman" w:cs="Times New Roman"/>
          <w:sz w:val="24"/>
        </w:rPr>
        <w:t>testing required for public health purposes</w:t>
      </w:r>
      <w:r w:rsidR="002C7545">
        <w:rPr>
          <w:rFonts w:ascii="Times New Roman" w:hAnsi="Times New Roman" w:cs="Times New Roman"/>
          <w:sz w:val="24"/>
        </w:rPr>
        <w:t xml:space="preserve"> that commercial laboratories do not perform.</w:t>
      </w:r>
      <w:r w:rsidR="00D823D9">
        <w:rPr>
          <w:rFonts w:ascii="Times New Roman" w:hAnsi="Times New Roman" w:cs="Times New Roman"/>
          <w:sz w:val="24"/>
        </w:rPr>
        <w:t xml:space="preserve"> </w:t>
      </w:r>
      <w:r w:rsidR="00B80629">
        <w:rPr>
          <w:rFonts w:ascii="Times New Roman" w:hAnsi="Times New Roman" w:cs="Times New Roman"/>
          <w:sz w:val="24"/>
        </w:rPr>
        <w:t xml:space="preserve">Unlike </w:t>
      </w:r>
      <w:r w:rsidR="002C7545">
        <w:rPr>
          <w:rFonts w:ascii="Times New Roman" w:hAnsi="Times New Roman" w:cs="Times New Roman"/>
          <w:sz w:val="24"/>
        </w:rPr>
        <w:t>commercial</w:t>
      </w:r>
      <w:r w:rsidR="00B80629">
        <w:rPr>
          <w:rFonts w:ascii="Times New Roman" w:hAnsi="Times New Roman" w:cs="Times New Roman"/>
          <w:sz w:val="24"/>
        </w:rPr>
        <w:t xml:space="preserve"> labs, the OSPHL serves the statewide community rather than individual patients. This uniquely shapes the </w:t>
      </w:r>
      <w:r w:rsidR="007A187D">
        <w:rPr>
          <w:rFonts w:ascii="Times New Roman" w:hAnsi="Times New Roman" w:cs="Times New Roman"/>
          <w:sz w:val="24"/>
        </w:rPr>
        <w:t>testing they provide</w:t>
      </w:r>
      <w:r w:rsidR="00B80629">
        <w:rPr>
          <w:rFonts w:ascii="Times New Roman" w:hAnsi="Times New Roman" w:cs="Times New Roman"/>
          <w:sz w:val="24"/>
        </w:rPr>
        <w:t xml:space="preserve"> to meet the public health</w:t>
      </w:r>
      <w:r w:rsidR="003E17C7">
        <w:rPr>
          <w:rFonts w:ascii="Times New Roman" w:hAnsi="Times New Roman" w:cs="Times New Roman"/>
          <w:sz w:val="24"/>
        </w:rPr>
        <w:t xml:space="preserve"> </w:t>
      </w:r>
      <w:r w:rsidR="00B80629">
        <w:rPr>
          <w:rFonts w:ascii="Times New Roman" w:hAnsi="Times New Roman" w:cs="Times New Roman"/>
          <w:sz w:val="24"/>
        </w:rPr>
        <w:t xml:space="preserve">system’s needs. </w:t>
      </w:r>
      <w:r w:rsidR="007A187D">
        <w:rPr>
          <w:rFonts w:ascii="Times New Roman" w:hAnsi="Times New Roman" w:cs="Times New Roman"/>
          <w:sz w:val="24"/>
        </w:rPr>
        <w:t>For example, m</w:t>
      </w:r>
      <w:r w:rsidR="00B80629">
        <w:rPr>
          <w:rFonts w:ascii="Times New Roman" w:hAnsi="Times New Roman" w:cs="Times New Roman"/>
          <w:sz w:val="24"/>
        </w:rPr>
        <w:t xml:space="preserve">any private clinical labs are moving to testing methods </w:t>
      </w:r>
      <w:r w:rsidR="00B4074C">
        <w:rPr>
          <w:rFonts w:ascii="Times New Roman" w:hAnsi="Times New Roman" w:cs="Times New Roman"/>
          <w:sz w:val="24"/>
        </w:rPr>
        <w:t>called</w:t>
      </w:r>
      <w:r w:rsidR="00B80629">
        <w:rPr>
          <w:rFonts w:ascii="Times New Roman" w:hAnsi="Times New Roman" w:cs="Times New Roman"/>
          <w:sz w:val="24"/>
        </w:rPr>
        <w:t xml:space="preserve"> culture-independent diagnostic tests for diagnosing gastrointestinal infections such as food poisoning. This move </w:t>
      </w:r>
      <w:r w:rsidR="00B4074C">
        <w:rPr>
          <w:rFonts w:ascii="Times New Roman" w:hAnsi="Times New Roman" w:cs="Times New Roman"/>
          <w:sz w:val="24"/>
        </w:rPr>
        <w:t>to new</w:t>
      </w:r>
      <w:r w:rsidR="00B80629">
        <w:rPr>
          <w:rFonts w:ascii="Times New Roman" w:hAnsi="Times New Roman" w:cs="Times New Roman"/>
          <w:sz w:val="24"/>
        </w:rPr>
        <w:t xml:space="preserve"> methods is due to considerations such as speed, cost, and ease of use which are important </w:t>
      </w:r>
      <w:r w:rsidR="007A187D">
        <w:rPr>
          <w:rFonts w:ascii="Times New Roman" w:hAnsi="Times New Roman" w:cs="Times New Roman"/>
          <w:sz w:val="24"/>
        </w:rPr>
        <w:t xml:space="preserve">in medical treatment of individuals but </w:t>
      </w:r>
      <w:r w:rsidR="002F6AAD">
        <w:rPr>
          <w:rFonts w:ascii="Times New Roman" w:hAnsi="Times New Roman" w:cs="Times New Roman"/>
          <w:sz w:val="24"/>
        </w:rPr>
        <w:t xml:space="preserve">often </w:t>
      </w:r>
      <w:r w:rsidR="007A187D">
        <w:rPr>
          <w:rFonts w:ascii="Times New Roman" w:hAnsi="Times New Roman" w:cs="Times New Roman"/>
          <w:sz w:val="24"/>
        </w:rPr>
        <w:t>ignore public health considerations.</w:t>
      </w:r>
      <w:r w:rsidR="00BC7ABF" w:rsidRPr="00BC7ABF">
        <w:rPr>
          <w:rFonts w:ascii="Times New Roman" w:hAnsi="Times New Roman" w:cs="Times New Roman"/>
          <w:sz w:val="24"/>
          <w:vertAlign w:val="superscript"/>
        </w:rPr>
        <w:t>5, 6</w:t>
      </w:r>
      <w:r w:rsidR="007A187D">
        <w:rPr>
          <w:rFonts w:ascii="Times New Roman" w:hAnsi="Times New Roman" w:cs="Times New Roman"/>
          <w:sz w:val="24"/>
        </w:rPr>
        <w:t xml:space="preserve"> </w:t>
      </w:r>
      <w:r w:rsidR="00B4074C">
        <w:rPr>
          <w:rFonts w:ascii="Times New Roman" w:hAnsi="Times New Roman" w:cs="Times New Roman"/>
          <w:sz w:val="24"/>
        </w:rPr>
        <w:t>The traditional method of b</w:t>
      </w:r>
      <w:r w:rsidR="007A187D">
        <w:rPr>
          <w:rFonts w:ascii="Times New Roman" w:hAnsi="Times New Roman" w:cs="Times New Roman"/>
          <w:sz w:val="24"/>
        </w:rPr>
        <w:t>acterial culture is needed to perform tests that can link cases of illness together to identify an outbreak.</w:t>
      </w:r>
      <w:r w:rsidR="002C7545">
        <w:rPr>
          <w:rFonts w:ascii="Times New Roman" w:hAnsi="Times New Roman" w:cs="Times New Roman"/>
          <w:sz w:val="24"/>
          <w:vertAlign w:val="superscript"/>
        </w:rPr>
        <w:t>7</w:t>
      </w:r>
      <w:r w:rsidR="00BC7ABF" w:rsidRPr="00BC7ABF">
        <w:rPr>
          <w:rFonts w:ascii="Times New Roman" w:hAnsi="Times New Roman" w:cs="Times New Roman"/>
          <w:sz w:val="24"/>
          <w:vertAlign w:val="superscript"/>
        </w:rPr>
        <w:t>,</w:t>
      </w:r>
      <w:r w:rsidR="002C7545">
        <w:rPr>
          <w:rFonts w:ascii="Times New Roman" w:hAnsi="Times New Roman" w:cs="Times New Roman"/>
          <w:sz w:val="24"/>
          <w:vertAlign w:val="superscript"/>
        </w:rPr>
        <w:t>8</w:t>
      </w:r>
      <w:r w:rsidR="007A187D">
        <w:rPr>
          <w:rFonts w:ascii="Times New Roman" w:hAnsi="Times New Roman" w:cs="Times New Roman"/>
          <w:sz w:val="24"/>
        </w:rPr>
        <w:t xml:space="preserve"> </w:t>
      </w:r>
      <w:r w:rsidR="0065581D">
        <w:rPr>
          <w:rFonts w:ascii="Times New Roman" w:hAnsi="Times New Roman" w:cs="Times New Roman"/>
          <w:sz w:val="24"/>
        </w:rPr>
        <w:t>OSPHL performs these tests</w:t>
      </w:r>
      <w:r w:rsidR="00BC7ABF">
        <w:rPr>
          <w:rFonts w:ascii="Times New Roman" w:hAnsi="Times New Roman" w:cs="Times New Roman"/>
          <w:sz w:val="24"/>
        </w:rPr>
        <w:t xml:space="preserve"> of public health importance</w:t>
      </w:r>
      <w:r w:rsidR="0065581D">
        <w:rPr>
          <w:rFonts w:ascii="Times New Roman" w:hAnsi="Times New Roman" w:cs="Times New Roman"/>
          <w:sz w:val="24"/>
        </w:rPr>
        <w:t xml:space="preserve"> which have been critical in </w:t>
      </w:r>
      <w:r w:rsidR="00BC7ABF">
        <w:rPr>
          <w:rFonts w:ascii="Times New Roman" w:hAnsi="Times New Roman" w:cs="Times New Roman"/>
          <w:sz w:val="24"/>
        </w:rPr>
        <w:t xml:space="preserve">leading to </w:t>
      </w:r>
      <w:r w:rsidR="002F6AAD">
        <w:rPr>
          <w:rFonts w:ascii="Times New Roman" w:hAnsi="Times New Roman" w:cs="Times New Roman"/>
          <w:sz w:val="24"/>
        </w:rPr>
        <w:t>disease control and prevention efforts</w:t>
      </w:r>
      <w:r w:rsidR="00BC7ABF">
        <w:rPr>
          <w:rFonts w:ascii="Times New Roman" w:hAnsi="Times New Roman" w:cs="Times New Roman"/>
          <w:sz w:val="24"/>
        </w:rPr>
        <w:t xml:space="preserve">, </w:t>
      </w:r>
      <w:r w:rsidR="003E17C7">
        <w:rPr>
          <w:rFonts w:ascii="Times New Roman" w:hAnsi="Times New Roman" w:cs="Times New Roman"/>
          <w:sz w:val="24"/>
        </w:rPr>
        <w:t>such as</w:t>
      </w:r>
      <w:r w:rsidR="00BC7ABF">
        <w:rPr>
          <w:rFonts w:ascii="Times New Roman" w:hAnsi="Times New Roman" w:cs="Times New Roman"/>
          <w:sz w:val="24"/>
        </w:rPr>
        <w:t xml:space="preserve"> recall</w:t>
      </w:r>
      <w:r w:rsidR="003E17C7">
        <w:rPr>
          <w:rFonts w:ascii="Times New Roman" w:hAnsi="Times New Roman" w:cs="Times New Roman"/>
          <w:sz w:val="24"/>
        </w:rPr>
        <w:t>ing</w:t>
      </w:r>
      <w:r w:rsidR="002F6AAD">
        <w:rPr>
          <w:rFonts w:ascii="Times New Roman" w:hAnsi="Times New Roman" w:cs="Times New Roman"/>
          <w:sz w:val="24"/>
        </w:rPr>
        <w:t xml:space="preserve"> contaminated food products. These actions </w:t>
      </w:r>
      <w:r w:rsidR="00BC7ABF">
        <w:rPr>
          <w:rFonts w:ascii="Times New Roman" w:hAnsi="Times New Roman" w:cs="Times New Roman"/>
          <w:sz w:val="24"/>
        </w:rPr>
        <w:t xml:space="preserve">prevent illness, hospitalizations, and deaths. </w:t>
      </w:r>
    </w:p>
    <w:p w14:paraId="7F3AF435" w14:textId="292E0AFB" w:rsidR="00062FD0" w:rsidRPr="002E1FA8" w:rsidRDefault="00753253" w:rsidP="00B4074C">
      <w:pPr>
        <w:spacing w:after="0"/>
        <w:rPr>
          <w:rFonts w:ascii="Times New Roman" w:eastAsia="Century Gothic" w:hAnsi="Times New Roman" w:cs="Times New Roman"/>
          <w:sz w:val="24"/>
          <w:szCs w:val="24"/>
        </w:rPr>
      </w:pPr>
      <w:r>
        <w:rPr>
          <w:rFonts w:ascii="Times New Roman" w:eastAsia="Century Gothic" w:hAnsi="Times New Roman" w:cs="Times New Roman"/>
          <w:sz w:val="24"/>
          <w:szCs w:val="24"/>
        </w:rPr>
        <w:lastRenderedPageBreak/>
        <w:t xml:space="preserve">The OSPHL </w:t>
      </w:r>
      <w:r w:rsidR="00062FD0" w:rsidRPr="002E1FA8">
        <w:rPr>
          <w:rFonts w:ascii="Times New Roman" w:eastAsia="Century Gothic" w:hAnsi="Times New Roman" w:cs="Times New Roman"/>
          <w:sz w:val="24"/>
          <w:szCs w:val="24"/>
        </w:rPr>
        <w:t>is</w:t>
      </w:r>
      <w:r>
        <w:rPr>
          <w:rFonts w:ascii="Times New Roman" w:eastAsia="Century Gothic" w:hAnsi="Times New Roman" w:cs="Times New Roman"/>
          <w:sz w:val="24"/>
          <w:szCs w:val="24"/>
        </w:rPr>
        <w:t xml:space="preserve"> an important part of the Oregon communicable disease control system</w:t>
      </w:r>
      <w:r w:rsidR="00062FD0" w:rsidRPr="002E1FA8">
        <w:rPr>
          <w:rFonts w:ascii="Times New Roman" w:eastAsia="Century Gothic" w:hAnsi="Times New Roman" w:cs="Times New Roman"/>
          <w:sz w:val="24"/>
          <w:szCs w:val="24"/>
        </w:rPr>
        <w:t xml:space="preserve"> for several reasons</w:t>
      </w:r>
      <w:r w:rsidR="002043C6">
        <w:rPr>
          <w:rFonts w:ascii="Times New Roman" w:eastAsia="Century Gothic" w:hAnsi="Times New Roman" w:cs="Times New Roman"/>
          <w:sz w:val="24"/>
          <w:szCs w:val="24"/>
        </w:rPr>
        <w:t>. It</w:t>
      </w:r>
      <w:r w:rsidR="00062FD0" w:rsidRPr="002E1FA8">
        <w:rPr>
          <w:rFonts w:ascii="Times New Roman" w:eastAsia="Century Gothic" w:hAnsi="Times New Roman" w:cs="Times New Roman"/>
          <w:sz w:val="24"/>
          <w:szCs w:val="24"/>
        </w:rPr>
        <w:t xml:space="preserve">: </w:t>
      </w:r>
    </w:p>
    <w:p w14:paraId="13B79F46" w14:textId="60DCCB0F" w:rsidR="0048194F" w:rsidRDefault="0027116E" w:rsidP="0048194F">
      <w:pPr>
        <w:pStyle w:val="Normal1"/>
        <w:numPr>
          <w:ilvl w:val="0"/>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Acts as a center of </w:t>
      </w:r>
      <w:r w:rsidR="0048194F">
        <w:rPr>
          <w:rFonts w:ascii="Times New Roman" w:eastAsia="Century Gothic" w:hAnsi="Times New Roman" w:cs="Times New Roman"/>
          <w:sz w:val="24"/>
          <w:szCs w:val="24"/>
        </w:rPr>
        <w:t xml:space="preserve">unique </w:t>
      </w:r>
      <w:r>
        <w:rPr>
          <w:rFonts w:ascii="Times New Roman" w:eastAsia="Century Gothic" w:hAnsi="Times New Roman" w:cs="Times New Roman"/>
          <w:sz w:val="24"/>
          <w:szCs w:val="24"/>
        </w:rPr>
        <w:t>expertise for identificatio</w:t>
      </w:r>
      <w:r w:rsidR="002F6AAD">
        <w:rPr>
          <w:rFonts w:ascii="Times New Roman" w:eastAsia="Century Gothic" w:hAnsi="Times New Roman" w:cs="Times New Roman"/>
          <w:sz w:val="24"/>
          <w:szCs w:val="24"/>
        </w:rPr>
        <w:t>n of infectious disease agents.</w:t>
      </w:r>
    </w:p>
    <w:p w14:paraId="49906211" w14:textId="54526151" w:rsidR="002F6AAD" w:rsidRDefault="002F6AAD" w:rsidP="002F6AAD">
      <w:pPr>
        <w:pStyle w:val="Normal1"/>
        <w:numPr>
          <w:ilvl w:val="1"/>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Often the first laboratory with capability to test for emerging pathogens, such as </w:t>
      </w:r>
      <w:r w:rsidR="00787171">
        <w:rPr>
          <w:rFonts w:ascii="Times New Roman" w:eastAsia="Century Gothic" w:hAnsi="Times New Roman" w:cs="Times New Roman"/>
          <w:sz w:val="24"/>
          <w:szCs w:val="24"/>
        </w:rPr>
        <w:t>Middle East Respiratory Syndrome (</w:t>
      </w:r>
      <w:r>
        <w:rPr>
          <w:rFonts w:ascii="Times New Roman" w:eastAsia="Century Gothic" w:hAnsi="Times New Roman" w:cs="Times New Roman"/>
          <w:sz w:val="24"/>
          <w:szCs w:val="24"/>
        </w:rPr>
        <w:t>MERS</w:t>
      </w:r>
      <w:r w:rsidR="00787171">
        <w:rPr>
          <w:rFonts w:ascii="Times New Roman" w:eastAsia="Century Gothic" w:hAnsi="Times New Roman" w:cs="Times New Roman"/>
          <w:sz w:val="24"/>
          <w:szCs w:val="24"/>
        </w:rPr>
        <w:t>)</w:t>
      </w:r>
      <w:r>
        <w:rPr>
          <w:rFonts w:ascii="Times New Roman" w:eastAsia="Century Gothic" w:hAnsi="Times New Roman" w:cs="Times New Roman"/>
          <w:sz w:val="24"/>
          <w:szCs w:val="24"/>
        </w:rPr>
        <w:t xml:space="preserve"> and Zika virus</w:t>
      </w:r>
    </w:p>
    <w:p w14:paraId="430F0FC0" w14:textId="25ED7278" w:rsidR="002F6AAD" w:rsidRPr="0048194F" w:rsidRDefault="002F6AAD" w:rsidP="002F6AAD">
      <w:pPr>
        <w:pStyle w:val="Normal1"/>
        <w:numPr>
          <w:ilvl w:val="1"/>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The only laboratory in Oregon that can confirm the presence of a suspect agent of bioterrorism, such as anthrax or plague</w:t>
      </w:r>
    </w:p>
    <w:p w14:paraId="06660A63" w14:textId="666804CA" w:rsidR="0027116E" w:rsidRPr="0027116E" w:rsidRDefault="0027116E" w:rsidP="00F71E12">
      <w:pPr>
        <w:pStyle w:val="Normal1"/>
        <w:numPr>
          <w:ilvl w:val="0"/>
          <w:numId w:val="4"/>
        </w:numPr>
        <w:shd w:val="clear" w:color="auto" w:fill="FFFFFF"/>
        <w:spacing w:line="240" w:lineRule="auto"/>
        <w:rPr>
          <w:rFonts w:ascii="Times New Roman" w:eastAsia="Century Gothic" w:hAnsi="Times New Roman" w:cs="Times New Roman"/>
          <w:sz w:val="24"/>
          <w:szCs w:val="24"/>
        </w:rPr>
      </w:pPr>
      <w:r w:rsidRPr="0027116E">
        <w:rPr>
          <w:rFonts w:ascii="Times New Roman" w:eastAsia="Century Gothic" w:hAnsi="Times New Roman" w:cs="Times New Roman"/>
          <w:sz w:val="24"/>
          <w:szCs w:val="24"/>
        </w:rPr>
        <w:t>Provides laboratory testing services not available in other clinical laboratories</w:t>
      </w:r>
      <w:r w:rsidR="00B4074C">
        <w:rPr>
          <w:rFonts w:ascii="Times New Roman" w:eastAsia="Century Gothic" w:hAnsi="Times New Roman" w:cs="Times New Roman"/>
          <w:sz w:val="24"/>
          <w:szCs w:val="24"/>
        </w:rPr>
        <w:t>, such as</w:t>
      </w:r>
      <w:r w:rsidR="002043C6">
        <w:rPr>
          <w:rFonts w:ascii="Times New Roman" w:eastAsia="Century Gothic" w:hAnsi="Times New Roman" w:cs="Times New Roman"/>
          <w:sz w:val="24"/>
          <w:szCs w:val="24"/>
        </w:rPr>
        <w:t>:</w:t>
      </w:r>
    </w:p>
    <w:p w14:paraId="13A93629" w14:textId="2DCEDC8A" w:rsidR="0027116E" w:rsidRDefault="00B4074C" w:rsidP="0048194F">
      <w:pPr>
        <w:pStyle w:val="Normal1"/>
        <w:numPr>
          <w:ilvl w:val="1"/>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Tests for rare and high-risk diseases</w:t>
      </w:r>
      <w:r w:rsidR="00186D30">
        <w:rPr>
          <w:rFonts w:ascii="Times New Roman" w:eastAsia="Century Gothic" w:hAnsi="Times New Roman" w:cs="Times New Roman"/>
          <w:sz w:val="24"/>
          <w:szCs w:val="24"/>
        </w:rPr>
        <w:t xml:space="preserve"> </w:t>
      </w:r>
      <w:r w:rsidR="002043C6">
        <w:rPr>
          <w:rFonts w:ascii="Times New Roman" w:eastAsia="Century Gothic" w:hAnsi="Times New Roman" w:cs="Times New Roman"/>
          <w:sz w:val="24"/>
          <w:szCs w:val="24"/>
        </w:rPr>
        <w:t xml:space="preserve">(i.e., </w:t>
      </w:r>
      <w:r>
        <w:rPr>
          <w:rFonts w:ascii="Times New Roman" w:eastAsia="Century Gothic" w:hAnsi="Times New Roman" w:cs="Times New Roman"/>
          <w:sz w:val="24"/>
          <w:szCs w:val="24"/>
        </w:rPr>
        <w:t>botulism and rabies</w:t>
      </w:r>
      <w:r w:rsidR="002043C6">
        <w:rPr>
          <w:rFonts w:ascii="Times New Roman" w:eastAsia="Century Gothic" w:hAnsi="Times New Roman" w:cs="Times New Roman"/>
          <w:sz w:val="24"/>
          <w:szCs w:val="24"/>
        </w:rPr>
        <w:t>)</w:t>
      </w:r>
    </w:p>
    <w:p w14:paraId="5D8F6D3A" w14:textId="73EF771E" w:rsidR="00B4074C" w:rsidRDefault="00B4074C" w:rsidP="0048194F">
      <w:pPr>
        <w:pStyle w:val="Normal1"/>
        <w:numPr>
          <w:ilvl w:val="1"/>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Molecular tests to subtype pathogens</w:t>
      </w:r>
      <w:r w:rsidR="00186D30">
        <w:rPr>
          <w:rFonts w:ascii="Times New Roman" w:eastAsia="Century Gothic" w:hAnsi="Times New Roman" w:cs="Times New Roman"/>
          <w:sz w:val="24"/>
          <w:szCs w:val="24"/>
        </w:rPr>
        <w:t xml:space="preserve"> </w:t>
      </w:r>
      <w:r w:rsidR="002043C6">
        <w:rPr>
          <w:rFonts w:ascii="Times New Roman" w:eastAsia="Century Gothic" w:hAnsi="Times New Roman" w:cs="Times New Roman"/>
          <w:sz w:val="24"/>
          <w:szCs w:val="24"/>
        </w:rPr>
        <w:t xml:space="preserve">(i.e., </w:t>
      </w:r>
      <w:r>
        <w:rPr>
          <w:rFonts w:ascii="Times New Roman" w:eastAsia="Century Gothic" w:hAnsi="Times New Roman" w:cs="Times New Roman"/>
          <w:sz w:val="24"/>
          <w:szCs w:val="24"/>
        </w:rPr>
        <w:t>influenza and foodborne pathogens</w:t>
      </w:r>
      <w:r w:rsidR="002043C6">
        <w:rPr>
          <w:rFonts w:ascii="Times New Roman" w:eastAsia="Century Gothic" w:hAnsi="Times New Roman" w:cs="Times New Roman"/>
          <w:sz w:val="24"/>
          <w:szCs w:val="24"/>
        </w:rPr>
        <w:t>)</w:t>
      </w:r>
      <w:r>
        <w:rPr>
          <w:rFonts w:ascii="Times New Roman" w:eastAsia="Century Gothic" w:hAnsi="Times New Roman" w:cs="Times New Roman"/>
          <w:sz w:val="24"/>
          <w:szCs w:val="24"/>
        </w:rPr>
        <w:t xml:space="preserve"> which allow for enhanced surveillance and identification of clusters and outbreaks</w:t>
      </w:r>
    </w:p>
    <w:p w14:paraId="625E3BF6" w14:textId="77777777" w:rsidR="00F71E12" w:rsidRDefault="00F71E12" w:rsidP="00F71E12">
      <w:pPr>
        <w:pStyle w:val="Normal1"/>
        <w:numPr>
          <w:ilvl w:val="0"/>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Provides access to affordable testing services for under-insured individuals </w:t>
      </w:r>
    </w:p>
    <w:p w14:paraId="214D1BC5" w14:textId="262F148F" w:rsidR="002F6AAD" w:rsidRDefault="002F6AAD" w:rsidP="002F6AAD">
      <w:pPr>
        <w:pStyle w:val="Normal1"/>
        <w:numPr>
          <w:ilvl w:val="1"/>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Collaborates with the State sexually transmitted disease (STD) program to provide STD testing for at-risk populations; testing funded by this program is only available through the OSPHL</w:t>
      </w:r>
    </w:p>
    <w:p w14:paraId="3DFE2090" w14:textId="1F8EE9ED" w:rsidR="002F6AAD" w:rsidRPr="002E1FA8" w:rsidRDefault="002F6AAD" w:rsidP="002F6AAD">
      <w:pPr>
        <w:pStyle w:val="Normal1"/>
        <w:numPr>
          <w:ilvl w:val="0"/>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Provides tuberculosis testing for initial diagnosis and case monitoring during treatment to support patient treatment and infection control efforts</w:t>
      </w:r>
    </w:p>
    <w:p w14:paraId="542F29CD" w14:textId="77777777" w:rsidR="00F71E12" w:rsidRDefault="00FF24A7" w:rsidP="00F71E12">
      <w:pPr>
        <w:pStyle w:val="Normal1"/>
        <w:numPr>
          <w:ilvl w:val="0"/>
          <w:numId w:val="4"/>
        </w:numPr>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Connects the state to national surveillance programs, which allows state and local public health agencies to identify local Oregon cases associated with national outbreaks</w:t>
      </w:r>
    </w:p>
    <w:p w14:paraId="30638AB8" w14:textId="77777777" w:rsidR="002E197E" w:rsidRDefault="002E197E" w:rsidP="002E197E">
      <w:pPr>
        <w:pStyle w:val="Normal1"/>
        <w:shd w:val="clear" w:color="auto" w:fill="FFFFFF"/>
        <w:spacing w:line="240" w:lineRule="auto"/>
        <w:rPr>
          <w:rFonts w:ascii="Times New Roman" w:eastAsia="Century Gothic" w:hAnsi="Times New Roman" w:cs="Times New Roman"/>
          <w:sz w:val="24"/>
          <w:szCs w:val="24"/>
        </w:rPr>
      </w:pPr>
    </w:p>
    <w:p w14:paraId="7FDD747D" w14:textId="77777777" w:rsidR="002F6AAD" w:rsidRDefault="002F6AAD" w:rsidP="005627D4">
      <w:pPr>
        <w:pStyle w:val="Normal1"/>
        <w:shd w:val="clear" w:color="auto" w:fill="FFFFFF"/>
        <w:spacing w:line="240" w:lineRule="auto"/>
        <w:contextualSpacing w:val="0"/>
        <w:rPr>
          <w:rFonts w:ascii="Times New Roman" w:eastAsia="Century Gothic" w:hAnsi="Times New Roman" w:cs="Times New Roman"/>
          <w:b/>
          <w:sz w:val="24"/>
          <w:szCs w:val="24"/>
        </w:rPr>
      </w:pPr>
    </w:p>
    <w:p w14:paraId="75CD883C" w14:textId="44B9A3B2" w:rsidR="005627D4" w:rsidRPr="002E1FA8" w:rsidRDefault="005627D4" w:rsidP="005627D4">
      <w:pPr>
        <w:pStyle w:val="Normal1"/>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Role of Local Public Health (promising practice/evidenced-based work) </w:t>
      </w:r>
    </w:p>
    <w:p w14:paraId="68F06C5E" w14:textId="10118A4B" w:rsidR="00FF24A7" w:rsidRDefault="005627D4" w:rsidP="002E197E">
      <w:pPr>
        <w:pStyle w:val="Normal1"/>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Local public health departments </w:t>
      </w:r>
      <w:r w:rsidR="0084590C">
        <w:rPr>
          <w:rFonts w:ascii="Times New Roman" w:eastAsia="Century Gothic" w:hAnsi="Times New Roman" w:cs="Times New Roman"/>
          <w:sz w:val="24"/>
          <w:szCs w:val="24"/>
        </w:rPr>
        <w:t xml:space="preserve">are at the forefront of protecting Oregonians from communicable disease. Oregon Administrative Rules identify over 60 reportable communicable diseases and conditions that are of public health interest in Oregon. When any health care provider or laboratory encounters a case of one of these diseases, they report it to local public health departments. Local public health departments then conduct investigations of these cases to identify potential sources </w:t>
      </w:r>
      <w:r w:rsidR="00D5650B">
        <w:rPr>
          <w:rFonts w:ascii="Times New Roman" w:eastAsia="Century Gothic" w:hAnsi="Times New Roman" w:cs="Times New Roman"/>
          <w:sz w:val="24"/>
          <w:szCs w:val="24"/>
        </w:rPr>
        <w:t>of the disease and</w:t>
      </w:r>
      <w:r w:rsidR="00D63327">
        <w:rPr>
          <w:rFonts w:ascii="Times New Roman" w:eastAsia="Century Gothic" w:hAnsi="Times New Roman" w:cs="Times New Roman"/>
          <w:sz w:val="24"/>
          <w:szCs w:val="24"/>
        </w:rPr>
        <w:t xml:space="preserve"> </w:t>
      </w:r>
      <w:r w:rsidR="005B7179">
        <w:rPr>
          <w:rFonts w:ascii="Times New Roman" w:eastAsia="Century Gothic" w:hAnsi="Times New Roman" w:cs="Times New Roman"/>
          <w:sz w:val="24"/>
          <w:szCs w:val="24"/>
        </w:rPr>
        <w:t>identify other persons who may be at risk.</w:t>
      </w:r>
      <w:r w:rsidR="00D5650B">
        <w:rPr>
          <w:rFonts w:ascii="Times New Roman" w:eastAsia="Century Gothic" w:hAnsi="Times New Roman" w:cs="Times New Roman"/>
          <w:sz w:val="24"/>
          <w:szCs w:val="24"/>
        </w:rPr>
        <w:t xml:space="preserve"> </w:t>
      </w:r>
      <w:r w:rsidR="00214C55">
        <w:rPr>
          <w:rFonts w:ascii="Times New Roman" w:eastAsia="Century Gothic" w:hAnsi="Times New Roman" w:cs="Times New Roman"/>
          <w:sz w:val="24"/>
          <w:szCs w:val="24"/>
        </w:rPr>
        <w:t>When investigations reveal actions that can contain and mitigate disease, local public health departments organize responses within their jurisdictions</w:t>
      </w:r>
      <w:r w:rsidR="00106E35">
        <w:rPr>
          <w:rFonts w:ascii="Times New Roman" w:eastAsia="Century Gothic" w:hAnsi="Times New Roman" w:cs="Times New Roman"/>
          <w:sz w:val="24"/>
          <w:szCs w:val="24"/>
        </w:rPr>
        <w:t xml:space="preserve"> to prevent further spread of disease.</w:t>
      </w:r>
    </w:p>
    <w:p w14:paraId="6A7A34AD" w14:textId="77777777" w:rsidR="00214C55" w:rsidRDefault="00214C55" w:rsidP="002E197E">
      <w:pPr>
        <w:pStyle w:val="Normal1"/>
        <w:shd w:val="clear" w:color="auto" w:fill="FFFFFF"/>
        <w:spacing w:line="240" w:lineRule="auto"/>
        <w:rPr>
          <w:rFonts w:ascii="Times New Roman" w:eastAsia="Century Gothic" w:hAnsi="Times New Roman" w:cs="Times New Roman"/>
          <w:sz w:val="24"/>
          <w:szCs w:val="24"/>
        </w:rPr>
      </w:pPr>
    </w:p>
    <w:p w14:paraId="6D43CB94" w14:textId="6BE3C804" w:rsidR="00214C55" w:rsidRPr="002E1FA8" w:rsidRDefault="00214C55" w:rsidP="00214C55">
      <w:pPr>
        <w:pStyle w:val="Normal1"/>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According to ORS 433.012,“The Oregon Health Authority shall provide the necessary laboratory examinations requested by local health departments for the diagnosis of communicable diseases identified by rule of the authority to be a reportable disease.” The accurate testing the OSPHL provides can rule out assumed connections, identify </w:t>
      </w:r>
      <w:r w:rsidR="002F6AAD">
        <w:rPr>
          <w:rFonts w:ascii="Times New Roman" w:eastAsia="Century Gothic" w:hAnsi="Times New Roman" w:cs="Times New Roman"/>
          <w:sz w:val="24"/>
          <w:szCs w:val="24"/>
        </w:rPr>
        <w:t xml:space="preserve">specific strains of </w:t>
      </w:r>
      <w:r w:rsidR="00106E35">
        <w:rPr>
          <w:rFonts w:ascii="Times New Roman" w:eastAsia="Century Gothic" w:hAnsi="Times New Roman" w:cs="Times New Roman"/>
          <w:sz w:val="24"/>
          <w:szCs w:val="24"/>
        </w:rPr>
        <w:t>bacteria</w:t>
      </w:r>
      <w:r w:rsidRPr="002E1FA8">
        <w:rPr>
          <w:rFonts w:ascii="Times New Roman" w:eastAsia="Century Gothic" w:hAnsi="Times New Roman" w:cs="Times New Roman"/>
          <w:sz w:val="24"/>
          <w:szCs w:val="24"/>
        </w:rPr>
        <w:t>, and</w:t>
      </w:r>
      <w:r w:rsidRPr="002E1FA8">
        <w:rPr>
          <w:rFonts w:ascii="Times New Roman" w:hAnsi="Times New Roman" w:cs="Times New Roman"/>
          <w:sz w:val="24"/>
          <w:szCs w:val="24"/>
        </w:rPr>
        <w:t xml:space="preserve"> identify other connections between cases that are not otherwise readily apparent (aka clusters). </w:t>
      </w:r>
      <w:r>
        <w:rPr>
          <w:rFonts w:ascii="Times New Roman" w:eastAsia="Century Gothic" w:hAnsi="Times New Roman" w:cs="Times New Roman"/>
          <w:sz w:val="24"/>
          <w:szCs w:val="24"/>
        </w:rPr>
        <w:t>These services ensure</w:t>
      </w:r>
      <w:r w:rsidRPr="002E1FA8">
        <w:rPr>
          <w:rFonts w:ascii="Times New Roman" w:eastAsia="Century Gothic" w:hAnsi="Times New Roman" w:cs="Times New Roman"/>
          <w:sz w:val="24"/>
          <w:szCs w:val="24"/>
        </w:rPr>
        <w:t xml:space="preserve"> that limited local public health staff capacity is </w:t>
      </w:r>
      <w:r w:rsidR="008C7B98">
        <w:rPr>
          <w:rFonts w:ascii="Times New Roman" w:eastAsia="Century Gothic" w:hAnsi="Times New Roman" w:cs="Times New Roman"/>
          <w:sz w:val="24"/>
          <w:szCs w:val="24"/>
        </w:rPr>
        <w:t>appropriately directed.</w:t>
      </w:r>
      <w:r w:rsidRPr="002E1FA8">
        <w:rPr>
          <w:rFonts w:ascii="Times New Roman" w:eastAsia="Century Gothic" w:hAnsi="Times New Roman" w:cs="Times New Roman"/>
          <w:sz w:val="24"/>
          <w:szCs w:val="24"/>
        </w:rPr>
        <w:t xml:space="preserve">  </w:t>
      </w:r>
      <w:r w:rsidR="003E2036">
        <w:rPr>
          <w:rFonts w:ascii="Times New Roman" w:eastAsia="Century Gothic" w:hAnsi="Times New Roman" w:cs="Times New Roman"/>
          <w:sz w:val="24"/>
          <w:szCs w:val="24"/>
        </w:rPr>
        <w:t xml:space="preserve">Conversely, </w:t>
      </w:r>
      <w:r w:rsidR="00704C70">
        <w:rPr>
          <w:rFonts w:ascii="Times New Roman" w:eastAsia="Century Gothic" w:hAnsi="Times New Roman" w:cs="Times New Roman"/>
          <w:sz w:val="24"/>
          <w:szCs w:val="24"/>
        </w:rPr>
        <w:t xml:space="preserve">gaps in the testing services </w:t>
      </w:r>
      <w:r w:rsidR="003E2036">
        <w:rPr>
          <w:rFonts w:ascii="Times New Roman" w:eastAsia="Century Gothic" w:hAnsi="Times New Roman" w:cs="Times New Roman"/>
          <w:sz w:val="24"/>
          <w:szCs w:val="24"/>
        </w:rPr>
        <w:t xml:space="preserve">available through OSPHL make local investigations less efficient. </w:t>
      </w:r>
      <w:r w:rsidR="00C22CA6">
        <w:rPr>
          <w:rFonts w:ascii="Times New Roman" w:eastAsia="Century Gothic" w:hAnsi="Times New Roman" w:cs="Times New Roman"/>
          <w:sz w:val="24"/>
          <w:szCs w:val="24"/>
        </w:rPr>
        <w:t xml:space="preserve">For instance, </w:t>
      </w:r>
      <w:r w:rsidR="00704C70">
        <w:rPr>
          <w:rFonts w:ascii="Times New Roman" w:eastAsia="Century Gothic" w:hAnsi="Times New Roman" w:cs="Times New Roman"/>
          <w:sz w:val="24"/>
          <w:szCs w:val="24"/>
        </w:rPr>
        <w:t xml:space="preserve">the inability </w:t>
      </w:r>
      <w:r w:rsidR="00C22CA6">
        <w:rPr>
          <w:rFonts w:ascii="Times New Roman" w:eastAsia="Century Gothic" w:hAnsi="Times New Roman" w:cs="Times New Roman"/>
          <w:sz w:val="24"/>
          <w:szCs w:val="24"/>
        </w:rPr>
        <w:t xml:space="preserve">to </w:t>
      </w:r>
      <w:r w:rsidR="00704C70">
        <w:rPr>
          <w:rFonts w:ascii="Times New Roman" w:eastAsia="Century Gothic" w:hAnsi="Times New Roman" w:cs="Times New Roman"/>
          <w:sz w:val="24"/>
          <w:szCs w:val="24"/>
        </w:rPr>
        <w:t xml:space="preserve">test </w:t>
      </w:r>
      <w:r w:rsidR="00344C00">
        <w:rPr>
          <w:rFonts w:ascii="Times New Roman" w:eastAsia="Century Gothic" w:hAnsi="Times New Roman" w:cs="Times New Roman"/>
          <w:sz w:val="24"/>
          <w:szCs w:val="24"/>
        </w:rPr>
        <w:t xml:space="preserve">food and </w:t>
      </w:r>
      <w:r w:rsidR="003E2036">
        <w:rPr>
          <w:rFonts w:ascii="Times New Roman" w:eastAsia="Century Gothic" w:hAnsi="Times New Roman" w:cs="Times New Roman"/>
          <w:sz w:val="24"/>
          <w:szCs w:val="24"/>
        </w:rPr>
        <w:t xml:space="preserve">environmental samples </w:t>
      </w:r>
      <w:r w:rsidR="00704C70">
        <w:rPr>
          <w:rFonts w:ascii="Times New Roman" w:eastAsia="Century Gothic" w:hAnsi="Times New Roman" w:cs="Times New Roman"/>
          <w:sz w:val="24"/>
          <w:szCs w:val="24"/>
        </w:rPr>
        <w:t xml:space="preserve">at OSPHL necessitates sending these samples </w:t>
      </w:r>
      <w:r w:rsidR="00C22CA6">
        <w:rPr>
          <w:rFonts w:ascii="Times New Roman" w:eastAsia="Century Gothic" w:hAnsi="Times New Roman" w:cs="Times New Roman"/>
          <w:sz w:val="24"/>
          <w:szCs w:val="24"/>
        </w:rPr>
        <w:t xml:space="preserve">to a different, out-of-state lab </w:t>
      </w:r>
      <w:r w:rsidR="003E2036">
        <w:rPr>
          <w:rFonts w:ascii="Times New Roman" w:eastAsia="Century Gothic" w:hAnsi="Times New Roman" w:cs="Times New Roman"/>
          <w:sz w:val="24"/>
          <w:szCs w:val="24"/>
        </w:rPr>
        <w:t xml:space="preserve">during an outbreak. </w:t>
      </w:r>
    </w:p>
    <w:p w14:paraId="5CE5DAD5" w14:textId="77777777" w:rsidR="00214C55" w:rsidRDefault="00214C55" w:rsidP="002E197E">
      <w:pPr>
        <w:pStyle w:val="Normal1"/>
        <w:shd w:val="clear" w:color="auto" w:fill="FFFFFF"/>
        <w:spacing w:line="240" w:lineRule="auto"/>
        <w:rPr>
          <w:rFonts w:ascii="Times New Roman" w:eastAsia="Century Gothic" w:hAnsi="Times New Roman" w:cs="Times New Roman"/>
          <w:sz w:val="24"/>
          <w:szCs w:val="24"/>
        </w:rPr>
      </w:pPr>
    </w:p>
    <w:p w14:paraId="79091722" w14:textId="7A6420B2" w:rsidR="00373FD6" w:rsidRDefault="00373FD6" w:rsidP="00C55B9B">
      <w:pPr>
        <w:pStyle w:val="Normal1"/>
        <w:shd w:val="clear" w:color="auto" w:fill="FFFFFF"/>
        <w:spacing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T</w:t>
      </w:r>
      <w:r w:rsidR="00427FA1">
        <w:rPr>
          <w:rFonts w:ascii="Times New Roman" w:eastAsia="Century Gothic" w:hAnsi="Times New Roman" w:cs="Times New Roman"/>
          <w:sz w:val="24"/>
          <w:szCs w:val="24"/>
        </w:rPr>
        <w:t>he</w:t>
      </w:r>
      <w:r w:rsidR="003E2036">
        <w:rPr>
          <w:rFonts w:ascii="Times New Roman" w:eastAsia="Century Gothic" w:hAnsi="Times New Roman" w:cs="Times New Roman"/>
          <w:sz w:val="24"/>
          <w:szCs w:val="24"/>
        </w:rPr>
        <w:t xml:space="preserve"> </w:t>
      </w:r>
      <w:r>
        <w:rPr>
          <w:rFonts w:ascii="Times New Roman" w:eastAsia="Century Gothic" w:hAnsi="Times New Roman" w:cs="Times New Roman"/>
          <w:sz w:val="24"/>
          <w:szCs w:val="24"/>
        </w:rPr>
        <w:t>connection</w:t>
      </w:r>
      <w:r w:rsidR="003E2036">
        <w:rPr>
          <w:rFonts w:ascii="Times New Roman" w:eastAsia="Century Gothic" w:hAnsi="Times New Roman" w:cs="Times New Roman"/>
          <w:sz w:val="24"/>
          <w:szCs w:val="24"/>
        </w:rPr>
        <w:t xml:space="preserve"> </w:t>
      </w:r>
      <w:r w:rsidR="00427FA1">
        <w:rPr>
          <w:rFonts w:ascii="Times New Roman" w:eastAsia="Century Gothic" w:hAnsi="Times New Roman" w:cs="Times New Roman"/>
          <w:sz w:val="24"/>
          <w:szCs w:val="24"/>
        </w:rPr>
        <w:t xml:space="preserve">between OSPHL and local public health </w:t>
      </w:r>
      <w:r w:rsidR="003E2036">
        <w:rPr>
          <w:rFonts w:ascii="Times New Roman" w:eastAsia="Century Gothic" w:hAnsi="Times New Roman" w:cs="Times New Roman"/>
          <w:sz w:val="24"/>
          <w:szCs w:val="24"/>
        </w:rPr>
        <w:t>has</w:t>
      </w:r>
      <w:r>
        <w:rPr>
          <w:rFonts w:ascii="Times New Roman" w:eastAsia="Century Gothic" w:hAnsi="Times New Roman" w:cs="Times New Roman"/>
          <w:sz w:val="24"/>
          <w:szCs w:val="24"/>
        </w:rPr>
        <w:t xml:space="preserve"> been essent</w:t>
      </w:r>
      <w:r w:rsidR="00427FA1">
        <w:rPr>
          <w:rFonts w:ascii="Times New Roman" w:eastAsia="Century Gothic" w:hAnsi="Times New Roman" w:cs="Times New Roman"/>
          <w:sz w:val="24"/>
          <w:szCs w:val="24"/>
        </w:rPr>
        <w:t>ial in</w:t>
      </w:r>
      <w:r>
        <w:rPr>
          <w:rFonts w:ascii="Times New Roman" w:eastAsia="Century Gothic" w:hAnsi="Times New Roman" w:cs="Times New Roman"/>
          <w:sz w:val="24"/>
          <w:szCs w:val="24"/>
        </w:rPr>
        <w:t xml:space="preserve"> high profile outbreaks where resources need to be deployed timel</w:t>
      </w:r>
      <w:r w:rsidR="00C22CA6">
        <w:rPr>
          <w:rFonts w:ascii="Times New Roman" w:eastAsia="Century Gothic" w:hAnsi="Times New Roman" w:cs="Times New Roman"/>
          <w:sz w:val="24"/>
          <w:szCs w:val="24"/>
        </w:rPr>
        <w:t>y and accurately.  I</w:t>
      </w:r>
      <w:r>
        <w:rPr>
          <w:rFonts w:ascii="Times New Roman" w:eastAsia="Century Gothic" w:hAnsi="Times New Roman" w:cs="Times New Roman"/>
          <w:sz w:val="24"/>
          <w:szCs w:val="24"/>
        </w:rPr>
        <w:t xml:space="preserve">n </w:t>
      </w:r>
      <w:r w:rsidR="00C22CA6">
        <w:rPr>
          <w:rFonts w:ascii="Times New Roman" w:eastAsia="Century Gothic" w:hAnsi="Times New Roman" w:cs="Times New Roman"/>
          <w:sz w:val="24"/>
          <w:szCs w:val="24"/>
        </w:rPr>
        <w:t xml:space="preserve">recent </w:t>
      </w:r>
      <w:r>
        <w:rPr>
          <w:rFonts w:ascii="Times New Roman" w:eastAsia="Century Gothic" w:hAnsi="Times New Roman" w:cs="Times New Roman"/>
          <w:sz w:val="24"/>
          <w:szCs w:val="24"/>
        </w:rPr>
        <w:t xml:space="preserve">meningococcal disease outbreaks on Oregon college campuses, </w:t>
      </w:r>
      <w:r w:rsidR="00C22CA6">
        <w:rPr>
          <w:rFonts w:ascii="Times New Roman" w:eastAsia="Century Gothic" w:hAnsi="Times New Roman" w:cs="Times New Roman"/>
          <w:sz w:val="24"/>
          <w:szCs w:val="24"/>
        </w:rPr>
        <w:t xml:space="preserve">for example, </w:t>
      </w:r>
      <w:r w:rsidR="003E2036">
        <w:rPr>
          <w:rFonts w:ascii="Times New Roman" w:eastAsia="Century Gothic" w:hAnsi="Times New Roman" w:cs="Times New Roman"/>
          <w:sz w:val="24"/>
          <w:szCs w:val="24"/>
        </w:rPr>
        <w:t xml:space="preserve">bacterial subtyping by OSPHL allowed local public health departments to connect cases </w:t>
      </w:r>
      <w:r w:rsidR="002F6AAD">
        <w:rPr>
          <w:rFonts w:ascii="Times New Roman" w:eastAsia="Century Gothic" w:hAnsi="Times New Roman" w:cs="Times New Roman"/>
          <w:sz w:val="24"/>
          <w:szCs w:val="24"/>
        </w:rPr>
        <w:t xml:space="preserve">of illness </w:t>
      </w:r>
      <w:r w:rsidR="003E2036">
        <w:rPr>
          <w:rFonts w:ascii="Times New Roman" w:eastAsia="Century Gothic" w:hAnsi="Times New Roman" w:cs="Times New Roman"/>
          <w:sz w:val="24"/>
          <w:szCs w:val="24"/>
        </w:rPr>
        <w:t>together</w:t>
      </w:r>
      <w:r w:rsidR="002F6AAD">
        <w:rPr>
          <w:rFonts w:ascii="Times New Roman" w:eastAsia="Century Gothic" w:hAnsi="Times New Roman" w:cs="Times New Roman"/>
          <w:sz w:val="24"/>
          <w:szCs w:val="24"/>
        </w:rPr>
        <w:t xml:space="preserve">. This allowed local </w:t>
      </w:r>
      <w:r w:rsidR="002F6AAD">
        <w:rPr>
          <w:rFonts w:ascii="Times New Roman" w:eastAsia="Century Gothic" w:hAnsi="Times New Roman" w:cs="Times New Roman"/>
          <w:sz w:val="24"/>
          <w:szCs w:val="24"/>
        </w:rPr>
        <w:lastRenderedPageBreak/>
        <w:t>public health</w:t>
      </w:r>
      <w:r w:rsidR="003E2036">
        <w:rPr>
          <w:rFonts w:ascii="Times New Roman" w:eastAsia="Century Gothic" w:hAnsi="Times New Roman" w:cs="Times New Roman"/>
          <w:sz w:val="24"/>
          <w:szCs w:val="24"/>
        </w:rPr>
        <w:t xml:space="preserve"> </w:t>
      </w:r>
      <w:r w:rsidR="00427FA1">
        <w:rPr>
          <w:rFonts w:ascii="Times New Roman" w:eastAsia="Century Gothic" w:hAnsi="Times New Roman" w:cs="Times New Roman"/>
          <w:sz w:val="24"/>
          <w:szCs w:val="24"/>
        </w:rPr>
        <w:t>to identify</w:t>
      </w:r>
      <w:r w:rsidR="002F6AAD">
        <w:rPr>
          <w:rFonts w:ascii="Times New Roman" w:eastAsia="Century Gothic" w:hAnsi="Times New Roman" w:cs="Times New Roman"/>
          <w:sz w:val="24"/>
          <w:szCs w:val="24"/>
        </w:rPr>
        <w:t xml:space="preserve"> and track</w:t>
      </w:r>
      <w:r w:rsidR="00427FA1">
        <w:rPr>
          <w:rFonts w:ascii="Times New Roman" w:eastAsia="Century Gothic" w:hAnsi="Times New Roman" w:cs="Times New Roman"/>
          <w:sz w:val="24"/>
          <w:szCs w:val="24"/>
        </w:rPr>
        <w:t xml:space="preserve"> the outbreak </w:t>
      </w:r>
      <w:r w:rsidR="003E2036">
        <w:rPr>
          <w:rFonts w:ascii="Times New Roman" w:eastAsia="Century Gothic" w:hAnsi="Times New Roman" w:cs="Times New Roman"/>
          <w:sz w:val="24"/>
          <w:szCs w:val="24"/>
        </w:rPr>
        <w:t>and to respond with vaccination campaigns specific to the outbreak</w:t>
      </w:r>
      <w:r w:rsidR="00427FA1">
        <w:rPr>
          <w:rFonts w:ascii="Times New Roman" w:eastAsia="Century Gothic" w:hAnsi="Times New Roman" w:cs="Times New Roman"/>
          <w:sz w:val="24"/>
          <w:szCs w:val="24"/>
        </w:rPr>
        <w:t xml:space="preserve"> strain</w:t>
      </w:r>
      <w:r w:rsidR="002F6AAD">
        <w:rPr>
          <w:rFonts w:ascii="Times New Roman" w:eastAsia="Century Gothic" w:hAnsi="Times New Roman" w:cs="Times New Roman"/>
          <w:sz w:val="24"/>
          <w:szCs w:val="24"/>
        </w:rPr>
        <w:t xml:space="preserve"> to prevent further illness</w:t>
      </w:r>
      <w:r w:rsidR="003E2036">
        <w:rPr>
          <w:rFonts w:ascii="Times New Roman" w:eastAsia="Century Gothic" w:hAnsi="Times New Roman" w:cs="Times New Roman"/>
          <w:sz w:val="24"/>
          <w:szCs w:val="24"/>
        </w:rPr>
        <w:t>.</w:t>
      </w:r>
      <w:r w:rsidR="00427FA1">
        <w:rPr>
          <w:rFonts w:ascii="Times New Roman" w:eastAsia="Century Gothic" w:hAnsi="Times New Roman" w:cs="Times New Roman"/>
          <w:sz w:val="24"/>
          <w:szCs w:val="24"/>
        </w:rPr>
        <w:t xml:space="preserve"> </w:t>
      </w:r>
    </w:p>
    <w:p w14:paraId="232EF224" w14:textId="77777777" w:rsidR="003F1FB6" w:rsidRDefault="003F1FB6" w:rsidP="00C55B9B">
      <w:pPr>
        <w:pStyle w:val="Normal1"/>
        <w:shd w:val="clear" w:color="auto" w:fill="FFFFFF"/>
        <w:spacing w:line="240" w:lineRule="auto"/>
        <w:rPr>
          <w:rFonts w:ascii="Times New Roman" w:eastAsia="Century Gothic" w:hAnsi="Times New Roman" w:cs="Times New Roman"/>
          <w:sz w:val="24"/>
          <w:szCs w:val="24"/>
        </w:rPr>
      </w:pPr>
    </w:p>
    <w:p w14:paraId="770A1069" w14:textId="77777777" w:rsidR="003F1FB6" w:rsidRDefault="003F1FB6" w:rsidP="003F1FB6">
      <w:pPr>
        <w:rPr>
          <w:rFonts w:ascii="Times New Roman" w:hAnsi="Times New Roman" w:cs="Times New Roman"/>
          <w:sz w:val="24"/>
        </w:rPr>
      </w:pPr>
      <w:r>
        <w:rPr>
          <w:rFonts w:ascii="Times New Roman" w:hAnsi="Times New Roman" w:cs="Times New Roman"/>
          <w:sz w:val="24"/>
        </w:rPr>
        <w:t>Though the focus of this statement is OSPHL’s communicable disease testing function as an example of its vital role within Oregon’s public health system, it is important to note that this is only one component of a broad scope of activities that includes clinical laboratory testing for newborn screening and accrediting clinical and environmental laboratories in Oregon.  All of these functions are important to protecting the health of Oregonians.</w:t>
      </w:r>
    </w:p>
    <w:p w14:paraId="14A34626" w14:textId="77777777" w:rsidR="002E197E" w:rsidRDefault="002E197E" w:rsidP="00F71E12">
      <w:pPr>
        <w:rPr>
          <w:rFonts w:ascii="Times New Roman" w:hAnsi="Times New Roman" w:cs="Times New Roman"/>
          <w:sz w:val="24"/>
        </w:rPr>
      </w:pPr>
    </w:p>
    <w:p w14:paraId="56C6EE7A"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b/>
          <w:sz w:val="24"/>
          <w:szCs w:val="24"/>
        </w:rPr>
      </w:pPr>
      <w:r w:rsidRPr="002E1FA8">
        <w:rPr>
          <w:rFonts w:ascii="Times New Roman" w:eastAsia="Century Gothic" w:hAnsi="Times New Roman" w:cs="Times New Roman"/>
          <w:b/>
          <w:sz w:val="24"/>
          <w:szCs w:val="24"/>
        </w:rPr>
        <w:t>Connection to Modernization Manual Foundational Programs/ Capabilities</w:t>
      </w:r>
    </w:p>
    <w:p w14:paraId="28B7B3E2"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p>
    <w:p w14:paraId="2A7CBEB8"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Foundational Programs: </w:t>
      </w:r>
    </w:p>
    <w:bookmarkStart w:id="1" w:name="kix.dfdbnshaytnj" w:colFirst="0" w:colLast="0"/>
    <w:bookmarkEnd w:id="1"/>
    <w:p w14:paraId="0EAD559D" w14:textId="77777777" w:rsidR="004128BF"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bookmarkStart w:id="2" w:name="Check5"/>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2"/>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Access to Clinical Preventative Services</w:t>
      </w:r>
      <w:bookmarkStart w:id="3" w:name="kix.d7ui81k01pcd" w:colFirst="0" w:colLast="0"/>
      <w:bookmarkEnd w:id="3"/>
    </w:p>
    <w:p w14:paraId="2ABA276D" w14:textId="77777777" w:rsidR="00FE4030" w:rsidRPr="002E1FA8" w:rsidRDefault="004128BF" w:rsidP="00FE4030">
      <w:pPr>
        <w:pStyle w:val="Normal1"/>
        <w:shd w:val="clear" w:color="auto" w:fill="FFFFFF"/>
        <w:spacing w:line="240" w:lineRule="auto"/>
        <w:contextualSpacing w:val="0"/>
        <w:rPr>
          <w:rFonts w:ascii="Times New Roman" w:eastAsia="Century Gothic" w:hAnsi="Times New Roman" w:cs="Times New Roman"/>
          <w:sz w:val="24"/>
          <w:szCs w:val="24"/>
        </w:rPr>
      </w:pPr>
      <w:r>
        <w:rPr>
          <w:rFonts w:ascii="Times New Roman" w:eastAsia="Times New Roman" w:hAnsi="Times New Roman" w:cs="Times New Roman"/>
          <w:color w:val="222222"/>
        </w:rPr>
        <w:fldChar w:fldCharType="begin">
          <w:ffData>
            <w:name w:val=""/>
            <w:enabled/>
            <w:calcOnExit w:val="0"/>
            <w:checkBox>
              <w:sizeAuto/>
              <w:default w:val="1"/>
            </w:checkBox>
          </w:ffData>
        </w:fldChar>
      </w:r>
      <w:r>
        <w:rPr>
          <w:rFonts w:ascii="Times New Roman" w:eastAsia="Times New Roman" w:hAnsi="Times New Roman" w:cs="Times New Roman"/>
          <w:color w:val="222222"/>
        </w:rPr>
        <w:instrText xml:space="preserve"> FORMCHECKBOX </w:instrText>
      </w:r>
      <w:r>
        <w:rPr>
          <w:rFonts w:ascii="Times New Roman" w:eastAsia="Times New Roman" w:hAnsi="Times New Roman" w:cs="Times New Roman"/>
          <w:color w:val="222222"/>
        </w:rPr>
      </w:r>
      <w:r>
        <w:rPr>
          <w:rFonts w:ascii="Times New Roman" w:eastAsia="Times New Roman" w:hAnsi="Times New Roman" w:cs="Times New Roman"/>
          <w:color w:val="222222"/>
        </w:rPr>
        <w:fldChar w:fldCharType="end"/>
      </w:r>
      <w:r w:rsidR="00FE4030" w:rsidRPr="002E1FA8">
        <w:rPr>
          <w:rFonts w:ascii="Times New Roman" w:eastAsia="Century Gothic" w:hAnsi="Times New Roman" w:cs="Times New Roman"/>
          <w:sz w:val="24"/>
          <w:szCs w:val="24"/>
        </w:rPr>
        <w:t>Communicable Disease</w:t>
      </w:r>
    </w:p>
    <w:bookmarkStart w:id="4" w:name="kix.n85w8zhnb78b" w:colFirst="0" w:colLast="0"/>
    <w:bookmarkEnd w:id="4"/>
    <w:p w14:paraId="42874DB3"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5"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5"/>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Environmental Health</w:t>
      </w:r>
    </w:p>
    <w:bookmarkStart w:id="6" w:name="kix.w2fpio97u7tw" w:colFirst="0" w:colLast="0"/>
    <w:bookmarkEnd w:id="6"/>
    <w:p w14:paraId="5BBCA258"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 xml:space="preserve">Health Promotion &amp; Prevention </w:t>
      </w:r>
    </w:p>
    <w:p w14:paraId="6EACED65"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p>
    <w:p w14:paraId="7B1C3D50"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E1FA8">
        <w:rPr>
          <w:rFonts w:ascii="Times New Roman" w:eastAsia="Century Gothic" w:hAnsi="Times New Roman" w:cs="Times New Roman"/>
          <w:sz w:val="24"/>
          <w:szCs w:val="24"/>
        </w:rPr>
        <w:t xml:space="preserve">Foundational Capabilities: </w:t>
      </w:r>
    </w:p>
    <w:bookmarkStart w:id="7" w:name="kix.les1qf22voth" w:colFirst="0" w:colLast="0"/>
    <w:bookmarkEnd w:id="7"/>
    <w:p w14:paraId="05692F8F"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E1FA8">
        <w:rPr>
          <w:rFonts w:ascii="Times New Roman" w:eastAsia="Century Gothic" w:hAnsi="Times New Roman" w:cs="Times New Roman"/>
          <w:sz w:val="24"/>
          <w:szCs w:val="24"/>
        </w:rPr>
        <w:t>Assessment &amp; Epidemiology</w:t>
      </w:r>
    </w:p>
    <w:bookmarkStart w:id="8" w:name="kix.dlhhirr82ifa" w:colFirst="0" w:colLast="0"/>
    <w:bookmarkEnd w:id="8"/>
    <w:p w14:paraId="2F52406A"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Policy &amp; Planning</w:t>
      </w:r>
    </w:p>
    <w:bookmarkStart w:id="9" w:name="kix.skwgl7h8rcuk" w:colFirst="0" w:colLast="0"/>
    <w:bookmarkEnd w:id="9"/>
    <w:p w14:paraId="017DF695"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Leadership &amp; Organizational</w:t>
      </w:r>
    </w:p>
    <w:bookmarkStart w:id="10" w:name="kix.ofnwxeqv1gr" w:colFirst="0" w:colLast="0"/>
    <w:bookmarkEnd w:id="10"/>
    <w:p w14:paraId="58695DF6"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 xml:space="preserve">Health Equity </w:t>
      </w:r>
    </w:p>
    <w:bookmarkStart w:id="11" w:name="kix.bvm9exv04rz3" w:colFirst="0" w:colLast="0"/>
    <w:bookmarkEnd w:id="11"/>
    <w:p w14:paraId="5D468A2C" w14:textId="77777777" w:rsidR="00FE4030" w:rsidRPr="002E1FA8" w:rsidRDefault="004128BF" w:rsidP="00FE4030">
      <w:pPr>
        <w:pStyle w:val="Normal1"/>
        <w:shd w:val="clear" w:color="auto" w:fill="FFFFFF"/>
        <w:spacing w:line="240" w:lineRule="auto"/>
        <w:contextualSpacing w:val="0"/>
        <w:rPr>
          <w:rFonts w:ascii="Times New Roman" w:eastAsia="Century Gothic" w:hAnsi="Times New Roman" w:cs="Times New Roman"/>
          <w:sz w:val="24"/>
          <w:szCs w:val="24"/>
        </w:rPr>
      </w:pPr>
      <w:r>
        <w:rPr>
          <w:rFonts w:ascii="Times New Roman" w:eastAsia="Times New Roman" w:hAnsi="Times New Roman" w:cs="Times New Roman"/>
          <w:color w:val="222222"/>
        </w:rPr>
        <w:fldChar w:fldCharType="begin">
          <w:ffData>
            <w:name w:val=""/>
            <w:enabled w:val="0"/>
            <w:calcOnExit w:val="0"/>
            <w:checkBox>
              <w:sizeAuto/>
              <w:default w:val="0"/>
            </w:checkBox>
          </w:ffData>
        </w:fldChar>
      </w:r>
      <w:r>
        <w:rPr>
          <w:rFonts w:ascii="Times New Roman" w:eastAsia="Times New Roman" w:hAnsi="Times New Roman" w:cs="Times New Roman"/>
          <w:color w:val="222222"/>
        </w:rPr>
        <w:instrText xml:space="preserve"> FORMCHECKBOX </w:instrText>
      </w:r>
      <w:r>
        <w:rPr>
          <w:rFonts w:ascii="Times New Roman" w:eastAsia="Times New Roman" w:hAnsi="Times New Roman" w:cs="Times New Roman"/>
          <w:color w:val="222222"/>
        </w:rPr>
      </w:r>
      <w:r>
        <w:rPr>
          <w:rFonts w:ascii="Times New Roman" w:eastAsia="Times New Roman" w:hAnsi="Times New Roman" w:cs="Times New Roman"/>
          <w:color w:val="222222"/>
        </w:rPr>
        <w:fldChar w:fldCharType="end"/>
      </w:r>
      <w:r w:rsidR="00FE4030" w:rsidRPr="00221052">
        <w:rPr>
          <w:rFonts w:ascii="Times New Roman" w:eastAsia="Times New Roman" w:hAnsi="Times New Roman" w:cs="Times New Roman"/>
          <w:color w:val="222222"/>
        </w:rPr>
        <w:t xml:space="preserve"> </w:t>
      </w:r>
      <w:r w:rsidR="00FE4030" w:rsidRPr="002E1FA8">
        <w:rPr>
          <w:rFonts w:ascii="Times New Roman" w:eastAsia="Century Gothic" w:hAnsi="Times New Roman" w:cs="Times New Roman"/>
          <w:sz w:val="24"/>
          <w:szCs w:val="24"/>
        </w:rPr>
        <w:t>Communications</w:t>
      </w:r>
    </w:p>
    <w:bookmarkStart w:id="12" w:name="kix.givia4tiyxns" w:colFirst="0" w:colLast="0"/>
    <w:bookmarkEnd w:id="12"/>
    <w:p w14:paraId="762F9D30" w14:textId="77777777" w:rsidR="00FE4030" w:rsidRPr="002E1FA8" w:rsidRDefault="00FE4030" w:rsidP="00FE4030">
      <w:pPr>
        <w:pStyle w:val="Normal1"/>
        <w:shd w:val="clear" w:color="auto" w:fill="FFFFFF"/>
        <w:spacing w:line="240" w:lineRule="auto"/>
        <w:contextualSpacing w:val="0"/>
        <w:rPr>
          <w:rFonts w:ascii="Times New Roman" w:eastAsia="Century Gothic"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 xml:space="preserve">Community Partnerships </w:t>
      </w:r>
    </w:p>
    <w:bookmarkStart w:id="13" w:name="kix.joksy1jdpfnb" w:colFirst="0" w:colLast="0"/>
    <w:bookmarkEnd w:id="13"/>
    <w:p w14:paraId="1BAE2729" w14:textId="77777777" w:rsidR="00522616" w:rsidRDefault="00FE4030" w:rsidP="00FE4030">
      <w:pPr>
        <w:rPr>
          <w:rFonts w:ascii="Times New Roman" w:hAnsi="Times New Roman" w:cs="Times New Roman"/>
          <w:sz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Pr="002E1FA8">
        <w:rPr>
          <w:rFonts w:ascii="Times New Roman" w:eastAsia="Century Gothic" w:hAnsi="Times New Roman" w:cs="Times New Roman"/>
          <w:sz w:val="24"/>
          <w:szCs w:val="24"/>
        </w:rPr>
        <w:t>Emergency Preparedness</w:t>
      </w:r>
    </w:p>
    <w:p w14:paraId="032118F4" w14:textId="77777777" w:rsidR="00522616" w:rsidRDefault="00522616" w:rsidP="00F71E12">
      <w:pPr>
        <w:rPr>
          <w:rFonts w:ascii="Times New Roman" w:hAnsi="Times New Roman" w:cs="Times New Roman"/>
          <w:sz w:val="24"/>
        </w:rPr>
      </w:pPr>
    </w:p>
    <w:p w14:paraId="27C6FFF1" w14:textId="77777777" w:rsidR="00522616" w:rsidRDefault="00522616" w:rsidP="00F71E12">
      <w:pPr>
        <w:rPr>
          <w:rFonts w:ascii="Times New Roman" w:hAnsi="Times New Roman" w:cs="Times New Roman"/>
          <w:sz w:val="24"/>
        </w:rPr>
      </w:pPr>
      <w:r>
        <w:rPr>
          <w:rFonts w:ascii="Times New Roman" w:hAnsi="Times New Roman" w:cs="Times New Roman"/>
          <w:sz w:val="24"/>
        </w:rPr>
        <w:t>References</w:t>
      </w:r>
      <w:r w:rsidR="00FE4030">
        <w:rPr>
          <w:rFonts w:ascii="Times New Roman" w:hAnsi="Times New Roman" w:cs="Times New Roman"/>
          <w:sz w:val="24"/>
        </w:rPr>
        <w:t xml:space="preserve"> used in developing this Policy Statement:</w:t>
      </w:r>
    </w:p>
    <w:p w14:paraId="219BD5DC" w14:textId="0390D96F" w:rsidR="00522616" w:rsidRPr="00D50588" w:rsidRDefault="00563BC7" w:rsidP="00522616">
      <w:pPr>
        <w:pStyle w:val="FootnoteText"/>
        <w:rPr>
          <w:rFonts w:ascii="Times New Roman" w:hAnsi="Times New Roman" w:cs="Times New Roman"/>
          <w:sz w:val="22"/>
          <w:szCs w:val="22"/>
        </w:rPr>
      </w:pPr>
      <w:proofErr w:type="gramStart"/>
      <w:r w:rsidRPr="00563BC7">
        <w:rPr>
          <w:rFonts w:ascii="Times New Roman" w:hAnsi="Times New Roman" w:cs="Times New Roman"/>
          <w:sz w:val="22"/>
          <w:szCs w:val="22"/>
          <w:vertAlign w:val="superscript"/>
        </w:rPr>
        <w:t>1</w:t>
      </w:r>
      <w:r w:rsidR="00522616" w:rsidRPr="00D50588">
        <w:rPr>
          <w:rFonts w:ascii="Times New Roman" w:hAnsi="Times New Roman" w:cs="Times New Roman"/>
          <w:sz w:val="22"/>
          <w:szCs w:val="22"/>
        </w:rPr>
        <w:t xml:space="preserve"> Oregon Health Authority.</w:t>
      </w:r>
      <w:proofErr w:type="gramEnd"/>
      <w:r w:rsidR="00522616" w:rsidRPr="00D50588">
        <w:rPr>
          <w:rFonts w:ascii="Times New Roman" w:hAnsi="Times New Roman" w:cs="Times New Roman"/>
          <w:sz w:val="22"/>
          <w:szCs w:val="22"/>
        </w:rPr>
        <w:t xml:space="preserve"> Selected Reportable Communicable Disease Summary 2016. Published Jan 2018. </w:t>
      </w:r>
      <w:hyperlink r:id="rId9" w:history="1">
        <w:r w:rsidR="00522616" w:rsidRPr="00D50588">
          <w:rPr>
            <w:rStyle w:val="Hyperlink"/>
            <w:rFonts w:ascii="Times New Roman" w:hAnsi="Times New Roman" w:cs="Times New Roman"/>
            <w:color w:val="auto"/>
            <w:sz w:val="22"/>
            <w:szCs w:val="22"/>
            <w:u w:val="none"/>
          </w:rPr>
          <w:t>https://apps.state.or.us/Forms/Served/le8645.pdf</w:t>
        </w:r>
      </w:hyperlink>
      <w:r w:rsidR="00522616" w:rsidRPr="00D50588">
        <w:rPr>
          <w:rFonts w:ascii="Times New Roman" w:hAnsi="Times New Roman" w:cs="Times New Roman"/>
          <w:sz w:val="22"/>
          <w:szCs w:val="22"/>
        </w:rPr>
        <w:t xml:space="preserve"> </w:t>
      </w:r>
    </w:p>
    <w:p w14:paraId="3DA4BBFA" w14:textId="6E101BF3" w:rsidR="002C7545" w:rsidRPr="00D50588" w:rsidRDefault="00563BC7" w:rsidP="00522616">
      <w:pPr>
        <w:pStyle w:val="FootnoteText"/>
        <w:rPr>
          <w:rFonts w:ascii="Times New Roman" w:hAnsi="Times New Roman" w:cs="Times New Roman"/>
          <w:sz w:val="22"/>
          <w:szCs w:val="22"/>
        </w:rPr>
      </w:pPr>
      <w:r w:rsidRPr="00563BC7">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002C7545" w:rsidRPr="00D50588">
        <w:rPr>
          <w:rFonts w:ascii="Times New Roman" w:hAnsi="Times New Roman" w:cs="Times New Roman"/>
          <w:sz w:val="22"/>
          <w:szCs w:val="22"/>
        </w:rPr>
        <w:t xml:space="preserve">Oregon Health </w:t>
      </w:r>
      <w:proofErr w:type="gramStart"/>
      <w:r w:rsidR="002C7545" w:rsidRPr="00D50588">
        <w:rPr>
          <w:rFonts w:ascii="Times New Roman" w:hAnsi="Times New Roman" w:cs="Times New Roman"/>
          <w:sz w:val="22"/>
          <w:szCs w:val="22"/>
        </w:rPr>
        <w:t>Authority</w:t>
      </w:r>
      <w:proofErr w:type="gramEnd"/>
      <w:r w:rsidR="00B814C3" w:rsidRPr="00D50588">
        <w:rPr>
          <w:rFonts w:ascii="Times New Roman" w:hAnsi="Times New Roman" w:cs="Times New Roman"/>
          <w:sz w:val="22"/>
          <w:szCs w:val="22"/>
        </w:rPr>
        <w:t xml:space="preserve">. Statewide STD Rates for Chlamydia, Gonorrhea and Syphilis 2007-2016. </w:t>
      </w:r>
      <w:hyperlink r:id="rId10" w:history="1">
        <w:r w:rsidR="00B814C3" w:rsidRPr="00D50588">
          <w:rPr>
            <w:rStyle w:val="Hyperlink"/>
            <w:rFonts w:ascii="Times New Roman" w:hAnsi="Times New Roman" w:cs="Times New Roman"/>
            <w:color w:val="auto"/>
            <w:sz w:val="22"/>
            <w:szCs w:val="22"/>
            <w:u w:val="none"/>
          </w:rPr>
          <w:t>https://www.oregon.gov/oha/PH/DISEASESCONDITIONS/COMMUNICABLEDISEASE/DISEASESURVEILLANCEDATA/STD/Documents/county/StatewideSTDrates.pdf</w:t>
        </w:r>
      </w:hyperlink>
      <w:r w:rsidR="00B814C3" w:rsidRPr="00D50588">
        <w:rPr>
          <w:rFonts w:ascii="Times New Roman" w:hAnsi="Times New Roman" w:cs="Times New Roman"/>
          <w:sz w:val="22"/>
          <w:szCs w:val="22"/>
        </w:rPr>
        <w:t xml:space="preserve"> </w:t>
      </w:r>
    </w:p>
    <w:p w14:paraId="0BE229D4" w14:textId="7B0D3521" w:rsidR="00B814C3" w:rsidRPr="00D50588" w:rsidRDefault="00563BC7" w:rsidP="00522616">
      <w:pPr>
        <w:pStyle w:val="FootnoteText"/>
        <w:rPr>
          <w:rFonts w:ascii="Times New Roman" w:hAnsi="Times New Roman" w:cs="Times New Roman"/>
          <w:sz w:val="22"/>
          <w:szCs w:val="22"/>
        </w:rPr>
      </w:pPr>
      <w:r>
        <w:rPr>
          <w:rFonts w:ascii="Times New Roman" w:hAnsi="Times New Roman" w:cs="Times New Roman"/>
          <w:sz w:val="22"/>
          <w:szCs w:val="22"/>
          <w:vertAlign w:val="superscript"/>
        </w:rPr>
        <w:t>3</w:t>
      </w:r>
      <w:r w:rsidR="00B814C3" w:rsidRPr="00D50588">
        <w:rPr>
          <w:rFonts w:ascii="Times New Roman" w:hAnsi="Times New Roman" w:cs="Times New Roman"/>
          <w:sz w:val="22"/>
          <w:szCs w:val="22"/>
        </w:rPr>
        <w:t xml:space="preserve"> Oregon Health </w:t>
      </w:r>
      <w:proofErr w:type="gramStart"/>
      <w:r w:rsidR="00B814C3" w:rsidRPr="00D50588">
        <w:rPr>
          <w:rFonts w:ascii="Times New Roman" w:hAnsi="Times New Roman" w:cs="Times New Roman"/>
          <w:sz w:val="22"/>
          <w:szCs w:val="22"/>
        </w:rPr>
        <w:t>Authority</w:t>
      </w:r>
      <w:proofErr w:type="gramEnd"/>
      <w:r w:rsidR="00B814C3" w:rsidRPr="00D50588">
        <w:rPr>
          <w:rFonts w:ascii="Times New Roman" w:hAnsi="Times New Roman" w:cs="Times New Roman"/>
          <w:sz w:val="22"/>
          <w:szCs w:val="22"/>
        </w:rPr>
        <w:t xml:space="preserve">. Statistics, Information and Data Regarding HIV in Oregon. </w:t>
      </w:r>
      <w:hyperlink r:id="rId11" w:history="1">
        <w:r w:rsidR="00B814C3" w:rsidRPr="00D50588">
          <w:rPr>
            <w:rStyle w:val="Hyperlink"/>
            <w:rFonts w:ascii="Times New Roman" w:hAnsi="Times New Roman" w:cs="Times New Roman"/>
            <w:color w:val="auto"/>
            <w:sz w:val="22"/>
            <w:szCs w:val="22"/>
            <w:u w:val="none"/>
          </w:rPr>
          <w:t>https://www.oregon.gov/oha/PH/DiseasesConditions/CommunicableDisease/DiseaseSurveillanceData/HIVData/Pages/index.aspx</w:t>
        </w:r>
      </w:hyperlink>
      <w:r w:rsidR="00B814C3" w:rsidRPr="00D50588">
        <w:rPr>
          <w:rFonts w:ascii="Times New Roman" w:hAnsi="Times New Roman" w:cs="Times New Roman"/>
          <w:sz w:val="22"/>
          <w:szCs w:val="22"/>
        </w:rPr>
        <w:t xml:space="preserve"> </w:t>
      </w:r>
    </w:p>
    <w:p w14:paraId="72680AD2" w14:textId="44BC3CEE" w:rsidR="00522616" w:rsidRPr="00D50588" w:rsidRDefault="00563BC7" w:rsidP="00522616">
      <w:pPr>
        <w:pStyle w:val="FootnoteText"/>
        <w:rPr>
          <w:rFonts w:ascii="Times New Roman" w:hAnsi="Times New Roman" w:cs="Times New Roman"/>
          <w:sz w:val="22"/>
          <w:szCs w:val="22"/>
        </w:rPr>
      </w:pPr>
      <w:r w:rsidRPr="00563BC7">
        <w:rPr>
          <w:rFonts w:ascii="Times New Roman" w:hAnsi="Times New Roman" w:cs="Times New Roman"/>
          <w:sz w:val="22"/>
          <w:szCs w:val="22"/>
          <w:vertAlign w:val="superscript"/>
        </w:rPr>
        <w:t>4</w:t>
      </w:r>
      <w:r w:rsidR="00522616" w:rsidRPr="00D50588">
        <w:rPr>
          <w:rFonts w:ascii="Times New Roman" w:hAnsi="Times New Roman" w:cs="Times New Roman"/>
          <w:sz w:val="22"/>
          <w:szCs w:val="22"/>
        </w:rPr>
        <w:t xml:space="preserve"> Oregon Health </w:t>
      </w:r>
      <w:proofErr w:type="gramStart"/>
      <w:r w:rsidR="00522616" w:rsidRPr="00D50588">
        <w:rPr>
          <w:rFonts w:ascii="Times New Roman" w:hAnsi="Times New Roman" w:cs="Times New Roman"/>
          <w:sz w:val="22"/>
          <w:szCs w:val="22"/>
        </w:rPr>
        <w:t>Authority</w:t>
      </w:r>
      <w:proofErr w:type="gramEnd"/>
      <w:r w:rsidR="00522616" w:rsidRPr="00D50588">
        <w:rPr>
          <w:rFonts w:ascii="Times New Roman" w:hAnsi="Times New Roman" w:cs="Times New Roman"/>
          <w:sz w:val="22"/>
          <w:szCs w:val="22"/>
        </w:rPr>
        <w:t xml:space="preserve">. The Health and Economic Benefits of Public Health Modernization in Oregon. Published Sept 2016. </w:t>
      </w:r>
      <w:hyperlink r:id="rId12" w:history="1">
        <w:r w:rsidR="00522616" w:rsidRPr="00D50588">
          <w:rPr>
            <w:rStyle w:val="Hyperlink"/>
            <w:rFonts w:ascii="Times New Roman" w:hAnsi="Times New Roman" w:cs="Times New Roman"/>
            <w:color w:val="auto"/>
            <w:sz w:val="22"/>
            <w:szCs w:val="22"/>
            <w:u w:val="none"/>
          </w:rPr>
          <w:t>https://apps.state.or.us/Forms/Served/le9959.pdf</w:t>
        </w:r>
      </w:hyperlink>
      <w:r w:rsidR="00522616" w:rsidRPr="00D50588">
        <w:rPr>
          <w:rFonts w:ascii="Times New Roman" w:hAnsi="Times New Roman" w:cs="Times New Roman"/>
          <w:sz w:val="22"/>
          <w:szCs w:val="22"/>
        </w:rPr>
        <w:t xml:space="preserve"> </w:t>
      </w:r>
    </w:p>
    <w:p w14:paraId="1C741972" w14:textId="047A5FBD" w:rsidR="00522616" w:rsidRPr="00D50588" w:rsidRDefault="00563BC7" w:rsidP="006A3305">
      <w:pPr>
        <w:spacing w:after="0"/>
        <w:rPr>
          <w:rStyle w:val="Hyperlink"/>
          <w:rFonts w:ascii="Times New Roman" w:hAnsi="Times New Roman" w:cs="Times New Roman"/>
          <w:color w:val="auto"/>
          <w:u w:val="none"/>
        </w:rPr>
      </w:pPr>
      <w:r w:rsidRPr="00563BC7">
        <w:rPr>
          <w:rFonts w:ascii="Times New Roman" w:hAnsi="Times New Roman" w:cs="Times New Roman"/>
          <w:vertAlign w:val="superscript"/>
        </w:rPr>
        <w:t>5</w:t>
      </w:r>
      <w:r w:rsidR="00522616" w:rsidRPr="00D50588">
        <w:rPr>
          <w:rFonts w:ascii="Times New Roman" w:hAnsi="Times New Roman" w:cs="Times New Roman"/>
        </w:rPr>
        <w:t xml:space="preserve"> </w:t>
      </w:r>
      <w:r w:rsidR="00FE4030" w:rsidRPr="00D50588">
        <w:rPr>
          <w:rFonts w:ascii="Times New Roman" w:hAnsi="Times New Roman" w:cs="Times New Roman"/>
        </w:rPr>
        <w:t xml:space="preserve">Oregon Health </w:t>
      </w:r>
      <w:proofErr w:type="gramStart"/>
      <w:r w:rsidR="00FE4030" w:rsidRPr="00D50588">
        <w:rPr>
          <w:rFonts w:ascii="Times New Roman" w:hAnsi="Times New Roman" w:cs="Times New Roman"/>
        </w:rPr>
        <w:t>Authority</w:t>
      </w:r>
      <w:proofErr w:type="gramEnd"/>
      <w:r w:rsidR="00FE4030" w:rsidRPr="00D50588">
        <w:rPr>
          <w:rFonts w:ascii="Times New Roman" w:hAnsi="Times New Roman" w:cs="Times New Roman"/>
        </w:rPr>
        <w:t xml:space="preserve">. State Health Improvement Plan, 2015 -2019. </w:t>
      </w:r>
      <w:hyperlink r:id="rId13" w:history="1">
        <w:r w:rsidR="00522616" w:rsidRPr="00D50588">
          <w:rPr>
            <w:rStyle w:val="Hyperlink"/>
            <w:rFonts w:ascii="Times New Roman" w:hAnsi="Times New Roman" w:cs="Times New Roman"/>
            <w:color w:val="auto"/>
            <w:u w:val="none"/>
          </w:rPr>
          <w:t>https://www.oregon.gov/oha/PH/ABOUT/Documents/ship/oregon-state-health-improvement-plan.pdf</w:t>
        </w:r>
      </w:hyperlink>
    </w:p>
    <w:p w14:paraId="2D00E755" w14:textId="65B79100" w:rsidR="00D63327" w:rsidRPr="00D50588" w:rsidRDefault="00563BC7" w:rsidP="006A3305">
      <w:pPr>
        <w:spacing w:after="0"/>
        <w:rPr>
          <w:rFonts w:ascii="Times New Roman" w:hAnsi="Times New Roman" w:cs="Times New Roman"/>
        </w:rPr>
      </w:pPr>
      <w:r>
        <w:rPr>
          <w:rFonts w:ascii="Times New Roman" w:hAnsi="Times New Roman" w:cs="Times New Roman"/>
          <w:vertAlign w:val="superscript"/>
        </w:rPr>
        <w:t>6</w:t>
      </w:r>
      <w:r w:rsidR="00427FA1" w:rsidRPr="00D50588">
        <w:rPr>
          <w:rFonts w:ascii="Times New Roman" w:hAnsi="Times New Roman" w:cs="Times New Roman"/>
          <w:sz w:val="24"/>
          <w:vertAlign w:val="superscript"/>
        </w:rPr>
        <w:t xml:space="preserve"> </w:t>
      </w:r>
      <w:r w:rsidR="006A3305" w:rsidRPr="00D50588">
        <w:rPr>
          <w:rFonts w:ascii="Times New Roman" w:hAnsi="Times New Roman" w:cs="Times New Roman"/>
        </w:rPr>
        <w:t xml:space="preserve">Langley, et al. 2015. Effect of Culture-Independent Diagnostic Tests on Future Emerging Infections Program Surveillance. </w:t>
      </w:r>
      <w:r w:rsidR="006A3305" w:rsidRPr="00D50588">
        <w:rPr>
          <w:rFonts w:ascii="Times New Roman" w:hAnsi="Times New Roman" w:cs="Times New Roman"/>
          <w:i/>
        </w:rPr>
        <w:t>Emerging Infectious Diseases</w:t>
      </w:r>
      <w:r w:rsidR="006A3305" w:rsidRPr="00D50588">
        <w:rPr>
          <w:rFonts w:ascii="Times New Roman" w:hAnsi="Times New Roman" w:cs="Times New Roman"/>
        </w:rPr>
        <w:t xml:space="preserve"> 21(9): 1582-1588. </w:t>
      </w:r>
      <w:hyperlink r:id="rId14" w:history="1">
        <w:r w:rsidR="006A3305" w:rsidRPr="00D50588">
          <w:rPr>
            <w:rStyle w:val="Hyperlink"/>
            <w:rFonts w:ascii="Times New Roman" w:hAnsi="Times New Roman" w:cs="Times New Roman"/>
            <w:color w:val="auto"/>
            <w:u w:val="none"/>
          </w:rPr>
          <w:t>http://dx.doi.org/10.3201/eid2109.150570</w:t>
        </w:r>
      </w:hyperlink>
      <w:r w:rsidR="006A3305" w:rsidRPr="00D50588">
        <w:rPr>
          <w:rFonts w:ascii="Times New Roman" w:hAnsi="Times New Roman" w:cs="Times New Roman"/>
        </w:rPr>
        <w:t xml:space="preserve"> </w:t>
      </w:r>
    </w:p>
    <w:p w14:paraId="322A33B4" w14:textId="4E42A7CF" w:rsidR="006A3305" w:rsidRPr="00D50588" w:rsidRDefault="00563BC7" w:rsidP="00522616">
      <w:pPr>
        <w:rPr>
          <w:rFonts w:ascii="Times New Roman" w:hAnsi="Times New Roman" w:cs="Times New Roman"/>
        </w:rPr>
      </w:pPr>
      <w:r>
        <w:rPr>
          <w:rFonts w:ascii="Times New Roman" w:hAnsi="Times New Roman" w:cs="Times New Roman"/>
          <w:vertAlign w:val="superscript"/>
        </w:rPr>
        <w:t>7</w:t>
      </w:r>
      <w:bookmarkStart w:id="14" w:name="_GoBack"/>
      <w:bookmarkEnd w:id="14"/>
      <w:r w:rsidR="006A3305" w:rsidRPr="00D50588">
        <w:rPr>
          <w:rFonts w:ascii="Times New Roman" w:hAnsi="Times New Roman" w:cs="Times New Roman"/>
          <w:vertAlign w:val="superscript"/>
        </w:rPr>
        <w:t xml:space="preserve"> </w:t>
      </w:r>
      <w:r w:rsidR="006A3305" w:rsidRPr="00D50588">
        <w:rPr>
          <w:rFonts w:ascii="Times New Roman" w:hAnsi="Times New Roman" w:cs="Times New Roman"/>
        </w:rPr>
        <w:t xml:space="preserve">Washington State Department of Health. 2016. Culture-Independent Diagnostic Tests. </w:t>
      </w:r>
      <w:r w:rsidR="006A3305" w:rsidRPr="00D50588">
        <w:rPr>
          <w:rFonts w:ascii="Times New Roman" w:hAnsi="Times New Roman" w:cs="Times New Roman"/>
          <w:i/>
        </w:rPr>
        <w:t>EpiTrends</w:t>
      </w:r>
      <w:r w:rsidR="006A3305" w:rsidRPr="00D50588">
        <w:rPr>
          <w:rFonts w:ascii="Times New Roman" w:hAnsi="Times New Roman" w:cs="Times New Roman"/>
        </w:rPr>
        <w:t xml:space="preserve"> 21(3). </w:t>
      </w:r>
      <w:hyperlink r:id="rId15" w:history="1">
        <w:r w:rsidR="006A3305" w:rsidRPr="00D50588">
          <w:rPr>
            <w:rStyle w:val="Hyperlink"/>
            <w:rFonts w:ascii="Times New Roman" w:hAnsi="Times New Roman" w:cs="Times New Roman"/>
            <w:color w:val="auto"/>
            <w:u w:val="none"/>
          </w:rPr>
          <w:t>https://www.doh.wa.gov/Portals/1/Documents/5100/420-002-epitrends2016-03.pdf</w:t>
        </w:r>
      </w:hyperlink>
      <w:r w:rsidR="006A3305" w:rsidRPr="00D50588">
        <w:rPr>
          <w:rFonts w:ascii="Times New Roman" w:hAnsi="Times New Roman" w:cs="Times New Roman"/>
        </w:rPr>
        <w:t xml:space="preserve"> </w:t>
      </w:r>
    </w:p>
    <w:p w14:paraId="3BDF4032" w14:textId="77777777" w:rsidR="006A3305" w:rsidRPr="006A3305" w:rsidRDefault="006A3305" w:rsidP="00522616">
      <w:pPr>
        <w:rPr>
          <w:rFonts w:ascii="Times New Roman" w:hAnsi="Times New Roman" w:cs="Times New Roman"/>
          <w:sz w:val="24"/>
        </w:rPr>
      </w:pPr>
    </w:p>
    <w:sectPr w:rsidR="006A3305" w:rsidRPr="006A330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D591E" w15:done="0"/>
  <w15:commentEx w15:paraId="6C0963F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1863F" w14:textId="77777777" w:rsidR="00A87B34" w:rsidRDefault="00A87B34" w:rsidP="00A51A5E">
      <w:pPr>
        <w:spacing w:after="0" w:line="240" w:lineRule="auto"/>
      </w:pPr>
      <w:r>
        <w:separator/>
      </w:r>
    </w:p>
  </w:endnote>
  <w:endnote w:type="continuationSeparator" w:id="0">
    <w:p w14:paraId="76401607" w14:textId="77777777" w:rsidR="00A87B34" w:rsidRDefault="00A87B34" w:rsidP="00A5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316E" w14:textId="77777777" w:rsidR="00A87B34" w:rsidRDefault="00A87B34" w:rsidP="00A51A5E">
      <w:pPr>
        <w:spacing w:after="0" w:line="240" w:lineRule="auto"/>
      </w:pPr>
      <w:r>
        <w:separator/>
      </w:r>
    </w:p>
  </w:footnote>
  <w:footnote w:type="continuationSeparator" w:id="0">
    <w:p w14:paraId="1A80EB64" w14:textId="77777777" w:rsidR="00A87B34" w:rsidRDefault="00A87B34" w:rsidP="00A51A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427D4"/>
    <w:multiLevelType w:val="hybridMultilevel"/>
    <w:tmpl w:val="8478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233FC"/>
    <w:multiLevelType w:val="hybridMultilevel"/>
    <w:tmpl w:val="ED6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C32ED1"/>
    <w:multiLevelType w:val="hybridMultilevel"/>
    <w:tmpl w:val="85C4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641551"/>
    <w:multiLevelType w:val="hybridMultilevel"/>
    <w:tmpl w:val="D87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Krause">
    <w15:presenceInfo w15:providerId="AD" w15:userId="S-1-5-21-3451057674-2693170720-1305275285-16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5E"/>
    <w:rsid w:val="000128FE"/>
    <w:rsid w:val="000170EB"/>
    <w:rsid w:val="000311B3"/>
    <w:rsid w:val="00031DAD"/>
    <w:rsid w:val="000426A5"/>
    <w:rsid w:val="00054882"/>
    <w:rsid w:val="000560A5"/>
    <w:rsid w:val="00062FD0"/>
    <w:rsid w:val="000641F8"/>
    <w:rsid w:val="0006449A"/>
    <w:rsid w:val="00067049"/>
    <w:rsid w:val="00071F76"/>
    <w:rsid w:val="00074239"/>
    <w:rsid w:val="00077A25"/>
    <w:rsid w:val="00095771"/>
    <w:rsid w:val="000B146B"/>
    <w:rsid w:val="000B4C9B"/>
    <w:rsid w:val="000C2870"/>
    <w:rsid w:val="000C529B"/>
    <w:rsid w:val="000D3B69"/>
    <w:rsid w:val="000D69C5"/>
    <w:rsid w:val="000E0BAA"/>
    <w:rsid w:val="000E0FEB"/>
    <w:rsid w:val="000E1A1C"/>
    <w:rsid w:val="000E4108"/>
    <w:rsid w:val="000E4317"/>
    <w:rsid w:val="000F0901"/>
    <w:rsid w:val="000F437D"/>
    <w:rsid w:val="000F77EF"/>
    <w:rsid w:val="00104279"/>
    <w:rsid w:val="00106E35"/>
    <w:rsid w:val="00111EB4"/>
    <w:rsid w:val="001128E0"/>
    <w:rsid w:val="001175ED"/>
    <w:rsid w:val="00137CEC"/>
    <w:rsid w:val="00140A90"/>
    <w:rsid w:val="001561AE"/>
    <w:rsid w:val="00161A78"/>
    <w:rsid w:val="00172754"/>
    <w:rsid w:val="00175054"/>
    <w:rsid w:val="001813C1"/>
    <w:rsid w:val="00184897"/>
    <w:rsid w:val="00186D30"/>
    <w:rsid w:val="00192CDC"/>
    <w:rsid w:val="0019392C"/>
    <w:rsid w:val="001A3CC6"/>
    <w:rsid w:val="001A4AC0"/>
    <w:rsid w:val="001A5B07"/>
    <w:rsid w:val="001A6C40"/>
    <w:rsid w:val="001B1CC4"/>
    <w:rsid w:val="001B38D5"/>
    <w:rsid w:val="001B6383"/>
    <w:rsid w:val="001C2B1A"/>
    <w:rsid w:val="001C2EB8"/>
    <w:rsid w:val="001C57F2"/>
    <w:rsid w:val="001C6917"/>
    <w:rsid w:val="001D75EF"/>
    <w:rsid w:val="001E3985"/>
    <w:rsid w:val="001E65AA"/>
    <w:rsid w:val="001F0739"/>
    <w:rsid w:val="001F503A"/>
    <w:rsid w:val="001F611A"/>
    <w:rsid w:val="001F666E"/>
    <w:rsid w:val="002043C6"/>
    <w:rsid w:val="00207FEB"/>
    <w:rsid w:val="002115A9"/>
    <w:rsid w:val="00213555"/>
    <w:rsid w:val="00214C55"/>
    <w:rsid w:val="00215F48"/>
    <w:rsid w:val="00223EE5"/>
    <w:rsid w:val="00224E28"/>
    <w:rsid w:val="002258B8"/>
    <w:rsid w:val="00231F80"/>
    <w:rsid w:val="002344D6"/>
    <w:rsid w:val="0023678A"/>
    <w:rsid w:val="002413CD"/>
    <w:rsid w:val="00243AEA"/>
    <w:rsid w:val="00246F3D"/>
    <w:rsid w:val="002476AC"/>
    <w:rsid w:val="00253BD1"/>
    <w:rsid w:val="00264D92"/>
    <w:rsid w:val="002667CA"/>
    <w:rsid w:val="00270823"/>
    <w:rsid w:val="002709D0"/>
    <w:rsid w:val="0027116E"/>
    <w:rsid w:val="00273068"/>
    <w:rsid w:val="00281A4B"/>
    <w:rsid w:val="002832E1"/>
    <w:rsid w:val="00291EFC"/>
    <w:rsid w:val="002A253F"/>
    <w:rsid w:val="002A27A6"/>
    <w:rsid w:val="002A6C35"/>
    <w:rsid w:val="002B01C1"/>
    <w:rsid w:val="002B032D"/>
    <w:rsid w:val="002B44BD"/>
    <w:rsid w:val="002B5798"/>
    <w:rsid w:val="002B65B4"/>
    <w:rsid w:val="002B7CAA"/>
    <w:rsid w:val="002C7545"/>
    <w:rsid w:val="002D2723"/>
    <w:rsid w:val="002D582D"/>
    <w:rsid w:val="002E197E"/>
    <w:rsid w:val="002E20C5"/>
    <w:rsid w:val="002F35FC"/>
    <w:rsid w:val="002F4C27"/>
    <w:rsid w:val="002F6AAD"/>
    <w:rsid w:val="00310206"/>
    <w:rsid w:val="003121E0"/>
    <w:rsid w:val="003133AA"/>
    <w:rsid w:val="00313E04"/>
    <w:rsid w:val="0031411C"/>
    <w:rsid w:val="003166BE"/>
    <w:rsid w:val="0032032A"/>
    <w:rsid w:val="00330962"/>
    <w:rsid w:val="00331809"/>
    <w:rsid w:val="0033403F"/>
    <w:rsid w:val="0033424D"/>
    <w:rsid w:val="00334CF9"/>
    <w:rsid w:val="0034006C"/>
    <w:rsid w:val="00340602"/>
    <w:rsid w:val="00340F3C"/>
    <w:rsid w:val="00344C00"/>
    <w:rsid w:val="00350A34"/>
    <w:rsid w:val="003559C2"/>
    <w:rsid w:val="00373FD6"/>
    <w:rsid w:val="00376ADE"/>
    <w:rsid w:val="00380FFE"/>
    <w:rsid w:val="003901B2"/>
    <w:rsid w:val="0039335C"/>
    <w:rsid w:val="00397DB1"/>
    <w:rsid w:val="003B4B32"/>
    <w:rsid w:val="003E17C7"/>
    <w:rsid w:val="003E2036"/>
    <w:rsid w:val="003E5233"/>
    <w:rsid w:val="003F1FB6"/>
    <w:rsid w:val="003F7791"/>
    <w:rsid w:val="003F7F4B"/>
    <w:rsid w:val="004128BF"/>
    <w:rsid w:val="0041363E"/>
    <w:rsid w:val="00417B0B"/>
    <w:rsid w:val="004202DB"/>
    <w:rsid w:val="0042471E"/>
    <w:rsid w:val="004261BA"/>
    <w:rsid w:val="00427FA1"/>
    <w:rsid w:val="00430483"/>
    <w:rsid w:val="00430DDA"/>
    <w:rsid w:val="00431B00"/>
    <w:rsid w:val="004377E2"/>
    <w:rsid w:val="00450550"/>
    <w:rsid w:val="00455C3F"/>
    <w:rsid w:val="00460AE9"/>
    <w:rsid w:val="00461890"/>
    <w:rsid w:val="0046367D"/>
    <w:rsid w:val="004759C9"/>
    <w:rsid w:val="0048194F"/>
    <w:rsid w:val="00481F6A"/>
    <w:rsid w:val="00482624"/>
    <w:rsid w:val="00487CF8"/>
    <w:rsid w:val="00487E3C"/>
    <w:rsid w:val="00494E81"/>
    <w:rsid w:val="00496E07"/>
    <w:rsid w:val="004A6FDC"/>
    <w:rsid w:val="004B0277"/>
    <w:rsid w:val="004B7979"/>
    <w:rsid w:val="004C3A9C"/>
    <w:rsid w:val="004C5F24"/>
    <w:rsid w:val="004D027C"/>
    <w:rsid w:val="004D37FF"/>
    <w:rsid w:val="004D5D31"/>
    <w:rsid w:val="004E091A"/>
    <w:rsid w:val="004F0192"/>
    <w:rsid w:val="004F4966"/>
    <w:rsid w:val="004F7A09"/>
    <w:rsid w:val="0050330C"/>
    <w:rsid w:val="0050599F"/>
    <w:rsid w:val="00514A12"/>
    <w:rsid w:val="00522616"/>
    <w:rsid w:val="005241BA"/>
    <w:rsid w:val="00525DD8"/>
    <w:rsid w:val="0053230D"/>
    <w:rsid w:val="00533C46"/>
    <w:rsid w:val="00537D04"/>
    <w:rsid w:val="00537F21"/>
    <w:rsid w:val="005419B3"/>
    <w:rsid w:val="00543E36"/>
    <w:rsid w:val="00551BB7"/>
    <w:rsid w:val="005553EC"/>
    <w:rsid w:val="005554C8"/>
    <w:rsid w:val="005627D4"/>
    <w:rsid w:val="00563BC7"/>
    <w:rsid w:val="00565FD2"/>
    <w:rsid w:val="00572309"/>
    <w:rsid w:val="00582F76"/>
    <w:rsid w:val="0058758C"/>
    <w:rsid w:val="00595DCB"/>
    <w:rsid w:val="005A63EE"/>
    <w:rsid w:val="005B0EEA"/>
    <w:rsid w:val="005B2EA4"/>
    <w:rsid w:val="005B384C"/>
    <w:rsid w:val="005B7179"/>
    <w:rsid w:val="005C062B"/>
    <w:rsid w:val="005D04E2"/>
    <w:rsid w:val="005D159E"/>
    <w:rsid w:val="005D2104"/>
    <w:rsid w:val="00610B30"/>
    <w:rsid w:val="0061623E"/>
    <w:rsid w:val="00622894"/>
    <w:rsid w:val="00625921"/>
    <w:rsid w:val="00630482"/>
    <w:rsid w:val="00630657"/>
    <w:rsid w:val="0063375F"/>
    <w:rsid w:val="00641C95"/>
    <w:rsid w:val="00642156"/>
    <w:rsid w:val="00647F10"/>
    <w:rsid w:val="00652E7F"/>
    <w:rsid w:val="0065581D"/>
    <w:rsid w:val="00663AA4"/>
    <w:rsid w:val="00663ED6"/>
    <w:rsid w:val="00667245"/>
    <w:rsid w:val="00670F38"/>
    <w:rsid w:val="0067538B"/>
    <w:rsid w:val="0068032D"/>
    <w:rsid w:val="00681358"/>
    <w:rsid w:val="00681CF9"/>
    <w:rsid w:val="006835B6"/>
    <w:rsid w:val="006942C4"/>
    <w:rsid w:val="006A3305"/>
    <w:rsid w:val="006A36A9"/>
    <w:rsid w:val="006B064F"/>
    <w:rsid w:val="006B7D3D"/>
    <w:rsid w:val="006C2F0B"/>
    <w:rsid w:val="006D1DDB"/>
    <w:rsid w:val="006D3F04"/>
    <w:rsid w:val="00701191"/>
    <w:rsid w:val="00701AD6"/>
    <w:rsid w:val="00701B2E"/>
    <w:rsid w:val="007047E9"/>
    <w:rsid w:val="00704C70"/>
    <w:rsid w:val="00707F4D"/>
    <w:rsid w:val="00711C6A"/>
    <w:rsid w:val="00714302"/>
    <w:rsid w:val="007172E2"/>
    <w:rsid w:val="00724568"/>
    <w:rsid w:val="0073434C"/>
    <w:rsid w:val="007416C3"/>
    <w:rsid w:val="00741C05"/>
    <w:rsid w:val="007518B6"/>
    <w:rsid w:val="00753253"/>
    <w:rsid w:val="00760BF5"/>
    <w:rsid w:val="00772BDF"/>
    <w:rsid w:val="00774A5E"/>
    <w:rsid w:val="007777F8"/>
    <w:rsid w:val="00780267"/>
    <w:rsid w:val="00786FEE"/>
    <w:rsid w:val="00787171"/>
    <w:rsid w:val="00787354"/>
    <w:rsid w:val="00787553"/>
    <w:rsid w:val="007A176F"/>
    <w:rsid w:val="007A187D"/>
    <w:rsid w:val="007A1EF5"/>
    <w:rsid w:val="007A2D62"/>
    <w:rsid w:val="007A5ED6"/>
    <w:rsid w:val="007A5F17"/>
    <w:rsid w:val="007B3B5F"/>
    <w:rsid w:val="007C483F"/>
    <w:rsid w:val="007D2A07"/>
    <w:rsid w:val="007D565B"/>
    <w:rsid w:val="007D5986"/>
    <w:rsid w:val="007D7A94"/>
    <w:rsid w:val="007E0234"/>
    <w:rsid w:val="007E030E"/>
    <w:rsid w:val="007E18A3"/>
    <w:rsid w:val="007F0FA6"/>
    <w:rsid w:val="0084101F"/>
    <w:rsid w:val="0084590C"/>
    <w:rsid w:val="008464A7"/>
    <w:rsid w:val="00850BF2"/>
    <w:rsid w:val="00861D3B"/>
    <w:rsid w:val="00864579"/>
    <w:rsid w:val="008663D7"/>
    <w:rsid w:val="00866450"/>
    <w:rsid w:val="0086680A"/>
    <w:rsid w:val="00866E1F"/>
    <w:rsid w:val="00882C47"/>
    <w:rsid w:val="0088518B"/>
    <w:rsid w:val="008901E0"/>
    <w:rsid w:val="00892A2A"/>
    <w:rsid w:val="00897BDF"/>
    <w:rsid w:val="008A33B5"/>
    <w:rsid w:val="008A7E54"/>
    <w:rsid w:val="008B4F7D"/>
    <w:rsid w:val="008B56E2"/>
    <w:rsid w:val="008B68F0"/>
    <w:rsid w:val="008B7800"/>
    <w:rsid w:val="008C0336"/>
    <w:rsid w:val="008C677C"/>
    <w:rsid w:val="008C7B98"/>
    <w:rsid w:val="008E545B"/>
    <w:rsid w:val="008E5896"/>
    <w:rsid w:val="008E6D18"/>
    <w:rsid w:val="008E7E1F"/>
    <w:rsid w:val="008F002D"/>
    <w:rsid w:val="008F2ED3"/>
    <w:rsid w:val="008F598D"/>
    <w:rsid w:val="008F7919"/>
    <w:rsid w:val="00900DA1"/>
    <w:rsid w:val="00902E00"/>
    <w:rsid w:val="009070F8"/>
    <w:rsid w:val="009074A4"/>
    <w:rsid w:val="00910112"/>
    <w:rsid w:val="009113AE"/>
    <w:rsid w:val="0091301F"/>
    <w:rsid w:val="00920DD1"/>
    <w:rsid w:val="00922D7F"/>
    <w:rsid w:val="00924CFA"/>
    <w:rsid w:val="00925EBD"/>
    <w:rsid w:val="009265AF"/>
    <w:rsid w:val="00934CD0"/>
    <w:rsid w:val="00937915"/>
    <w:rsid w:val="0094249E"/>
    <w:rsid w:val="009433DA"/>
    <w:rsid w:val="00950F59"/>
    <w:rsid w:val="00957ABC"/>
    <w:rsid w:val="00974035"/>
    <w:rsid w:val="00980A6B"/>
    <w:rsid w:val="00982755"/>
    <w:rsid w:val="00983757"/>
    <w:rsid w:val="00987A8B"/>
    <w:rsid w:val="009B3DCA"/>
    <w:rsid w:val="009B60FE"/>
    <w:rsid w:val="009B7AC5"/>
    <w:rsid w:val="009C420C"/>
    <w:rsid w:val="009C5D3B"/>
    <w:rsid w:val="009C5D80"/>
    <w:rsid w:val="009C61CF"/>
    <w:rsid w:val="009C6451"/>
    <w:rsid w:val="009D4BA9"/>
    <w:rsid w:val="009D6479"/>
    <w:rsid w:val="009E2084"/>
    <w:rsid w:val="009E2E56"/>
    <w:rsid w:val="009F38D2"/>
    <w:rsid w:val="009F7331"/>
    <w:rsid w:val="00A13B56"/>
    <w:rsid w:val="00A15BD4"/>
    <w:rsid w:val="00A22B3F"/>
    <w:rsid w:val="00A26D36"/>
    <w:rsid w:val="00A32156"/>
    <w:rsid w:val="00A3381B"/>
    <w:rsid w:val="00A35371"/>
    <w:rsid w:val="00A405D8"/>
    <w:rsid w:val="00A4195F"/>
    <w:rsid w:val="00A43B45"/>
    <w:rsid w:val="00A459DA"/>
    <w:rsid w:val="00A51A5E"/>
    <w:rsid w:val="00A55C84"/>
    <w:rsid w:val="00A64C76"/>
    <w:rsid w:val="00A701DD"/>
    <w:rsid w:val="00A72E97"/>
    <w:rsid w:val="00A835E0"/>
    <w:rsid w:val="00A85ADA"/>
    <w:rsid w:val="00A87586"/>
    <w:rsid w:val="00A87B34"/>
    <w:rsid w:val="00A90E74"/>
    <w:rsid w:val="00AA0F08"/>
    <w:rsid w:val="00AB0F5B"/>
    <w:rsid w:val="00AB10E4"/>
    <w:rsid w:val="00AB3ED6"/>
    <w:rsid w:val="00AB7121"/>
    <w:rsid w:val="00AD5138"/>
    <w:rsid w:val="00AE5B40"/>
    <w:rsid w:val="00AF3FEE"/>
    <w:rsid w:val="00AF4D60"/>
    <w:rsid w:val="00B142B3"/>
    <w:rsid w:val="00B15550"/>
    <w:rsid w:val="00B21B49"/>
    <w:rsid w:val="00B26100"/>
    <w:rsid w:val="00B2614F"/>
    <w:rsid w:val="00B3128A"/>
    <w:rsid w:val="00B34D9B"/>
    <w:rsid w:val="00B4074C"/>
    <w:rsid w:val="00B66115"/>
    <w:rsid w:val="00B714A2"/>
    <w:rsid w:val="00B738D6"/>
    <w:rsid w:val="00B80629"/>
    <w:rsid w:val="00B814C3"/>
    <w:rsid w:val="00B81505"/>
    <w:rsid w:val="00B83792"/>
    <w:rsid w:val="00B85257"/>
    <w:rsid w:val="00B861BB"/>
    <w:rsid w:val="00B8762D"/>
    <w:rsid w:val="00B90F18"/>
    <w:rsid w:val="00B920BA"/>
    <w:rsid w:val="00B93378"/>
    <w:rsid w:val="00BA1047"/>
    <w:rsid w:val="00BA55E4"/>
    <w:rsid w:val="00BC35AB"/>
    <w:rsid w:val="00BC6900"/>
    <w:rsid w:val="00BC7ABF"/>
    <w:rsid w:val="00BD7D2B"/>
    <w:rsid w:val="00BF2276"/>
    <w:rsid w:val="00C02965"/>
    <w:rsid w:val="00C05E3B"/>
    <w:rsid w:val="00C0695A"/>
    <w:rsid w:val="00C07346"/>
    <w:rsid w:val="00C156CB"/>
    <w:rsid w:val="00C20B95"/>
    <w:rsid w:val="00C22CA6"/>
    <w:rsid w:val="00C22EBE"/>
    <w:rsid w:val="00C23600"/>
    <w:rsid w:val="00C4501A"/>
    <w:rsid w:val="00C52975"/>
    <w:rsid w:val="00C550EC"/>
    <w:rsid w:val="00C55B9B"/>
    <w:rsid w:val="00C71012"/>
    <w:rsid w:val="00C71BB0"/>
    <w:rsid w:val="00C852F1"/>
    <w:rsid w:val="00C9173D"/>
    <w:rsid w:val="00C94A31"/>
    <w:rsid w:val="00CA5A36"/>
    <w:rsid w:val="00CC09B4"/>
    <w:rsid w:val="00CD1057"/>
    <w:rsid w:val="00CE52C4"/>
    <w:rsid w:val="00CF361F"/>
    <w:rsid w:val="00CF377C"/>
    <w:rsid w:val="00D06461"/>
    <w:rsid w:val="00D20CBE"/>
    <w:rsid w:val="00D31394"/>
    <w:rsid w:val="00D338AA"/>
    <w:rsid w:val="00D34D7C"/>
    <w:rsid w:val="00D50588"/>
    <w:rsid w:val="00D548A3"/>
    <w:rsid w:val="00D5650B"/>
    <w:rsid w:val="00D615E2"/>
    <w:rsid w:val="00D63327"/>
    <w:rsid w:val="00D725CA"/>
    <w:rsid w:val="00D81AC5"/>
    <w:rsid w:val="00D82230"/>
    <w:rsid w:val="00D823D9"/>
    <w:rsid w:val="00D83681"/>
    <w:rsid w:val="00D85244"/>
    <w:rsid w:val="00D87A35"/>
    <w:rsid w:val="00D974D2"/>
    <w:rsid w:val="00DA1FDD"/>
    <w:rsid w:val="00DA3ECD"/>
    <w:rsid w:val="00DA5FFC"/>
    <w:rsid w:val="00DB271C"/>
    <w:rsid w:val="00DB4FAA"/>
    <w:rsid w:val="00DB5EB2"/>
    <w:rsid w:val="00DB751A"/>
    <w:rsid w:val="00DC0B75"/>
    <w:rsid w:val="00DC26E9"/>
    <w:rsid w:val="00DC6C98"/>
    <w:rsid w:val="00DC7046"/>
    <w:rsid w:val="00DD32DC"/>
    <w:rsid w:val="00DD6ACF"/>
    <w:rsid w:val="00DD6D29"/>
    <w:rsid w:val="00DD7E38"/>
    <w:rsid w:val="00DE39E0"/>
    <w:rsid w:val="00DE5A66"/>
    <w:rsid w:val="00DE5D27"/>
    <w:rsid w:val="00DF199B"/>
    <w:rsid w:val="00DF39C5"/>
    <w:rsid w:val="00DF5204"/>
    <w:rsid w:val="00DF7933"/>
    <w:rsid w:val="00E02DD9"/>
    <w:rsid w:val="00E144CF"/>
    <w:rsid w:val="00E23FFD"/>
    <w:rsid w:val="00E35AFA"/>
    <w:rsid w:val="00E35C9B"/>
    <w:rsid w:val="00E5243C"/>
    <w:rsid w:val="00E5303C"/>
    <w:rsid w:val="00E557AA"/>
    <w:rsid w:val="00E627F9"/>
    <w:rsid w:val="00E67FA8"/>
    <w:rsid w:val="00E7580A"/>
    <w:rsid w:val="00E8304D"/>
    <w:rsid w:val="00E84D68"/>
    <w:rsid w:val="00E85776"/>
    <w:rsid w:val="00E96DF3"/>
    <w:rsid w:val="00E97032"/>
    <w:rsid w:val="00E9797B"/>
    <w:rsid w:val="00EA018D"/>
    <w:rsid w:val="00EA0A99"/>
    <w:rsid w:val="00EA58BB"/>
    <w:rsid w:val="00EA61F3"/>
    <w:rsid w:val="00EB2979"/>
    <w:rsid w:val="00EB5547"/>
    <w:rsid w:val="00EC2918"/>
    <w:rsid w:val="00EC45BB"/>
    <w:rsid w:val="00ED7B8C"/>
    <w:rsid w:val="00EF76DE"/>
    <w:rsid w:val="00EF7D88"/>
    <w:rsid w:val="00F02742"/>
    <w:rsid w:val="00F02AA7"/>
    <w:rsid w:val="00F12EC9"/>
    <w:rsid w:val="00F1529A"/>
    <w:rsid w:val="00F22A66"/>
    <w:rsid w:val="00F25CE1"/>
    <w:rsid w:val="00F2610B"/>
    <w:rsid w:val="00F3281D"/>
    <w:rsid w:val="00F4082E"/>
    <w:rsid w:val="00F46B74"/>
    <w:rsid w:val="00F5416A"/>
    <w:rsid w:val="00F60C8A"/>
    <w:rsid w:val="00F60EFE"/>
    <w:rsid w:val="00F6125B"/>
    <w:rsid w:val="00F61953"/>
    <w:rsid w:val="00F62884"/>
    <w:rsid w:val="00F71589"/>
    <w:rsid w:val="00F71E12"/>
    <w:rsid w:val="00F74BFE"/>
    <w:rsid w:val="00F7506F"/>
    <w:rsid w:val="00F774F5"/>
    <w:rsid w:val="00F916EE"/>
    <w:rsid w:val="00F93B3E"/>
    <w:rsid w:val="00FB64A5"/>
    <w:rsid w:val="00FC0382"/>
    <w:rsid w:val="00FC07DC"/>
    <w:rsid w:val="00FC2F3C"/>
    <w:rsid w:val="00FC426E"/>
    <w:rsid w:val="00FD2A58"/>
    <w:rsid w:val="00FD3E68"/>
    <w:rsid w:val="00FD4DDD"/>
    <w:rsid w:val="00FE142C"/>
    <w:rsid w:val="00FE2F3D"/>
    <w:rsid w:val="00FE3090"/>
    <w:rsid w:val="00FE4030"/>
    <w:rsid w:val="00FF0696"/>
    <w:rsid w:val="00FF0AC4"/>
    <w:rsid w:val="00FF2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F6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51A5E"/>
    <w:pPr>
      <w:spacing w:after="0" w:line="276" w:lineRule="auto"/>
      <w:contextualSpacing/>
    </w:pPr>
    <w:rPr>
      <w:rFonts w:ascii="Arial" w:eastAsia="Arial" w:hAnsi="Arial" w:cs="Arial"/>
      <w:lang w:val="en"/>
    </w:rPr>
  </w:style>
  <w:style w:type="paragraph" w:styleId="FootnoteText">
    <w:name w:val="footnote text"/>
    <w:basedOn w:val="Normal"/>
    <w:link w:val="FootnoteTextChar"/>
    <w:uiPriority w:val="99"/>
    <w:semiHidden/>
    <w:unhideWhenUsed/>
    <w:rsid w:val="00DD6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D29"/>
    <w:rPr>
      <w:sz w:val="20"/>
      <w:szCs w:val="20"/>
    </w:rPr>
  </w:style>
  <w:style w:type="character" w:styleId="FootnoteReference">
    <w:name w:val="footnote reference"/>
    <w:basedOn w:val="DefaultParagraphFont"/>
    <w:uiPriority w:val="99"/>
    <w:semiHidden/>
    <w:unhideWhenUsed/>
    <w:rsid w:val="00DD6D29"/>
    <w:rPr>
      <w:vertAlign w:val="superscript"/>
    </w:rPr>
  </w:style>
  <w:style w:type="paragraph" w:styleId="EndnoteText">
    <w:name w:val="endnote text"/>
    <w:basedOn w:val="Normal"/>
    <w:link w:val="EndnoteTextChar"/>
    <w:uiPriority w:val="99"/>
    <w:unhideWhenUsed/>
    <w:rsid w:val="00DD6D29"/>
    <w:pPr>
      <w:spacing w:after="0" w:line="240" w:lineRule="auto"/>
    </w:pPr>
    <w:rPr>
      <w:sz w:val="20"/>
      <w:szCs w:val="20"/>
    </w:rPr>
  </w:style>
  <w:style w:type="character" w:customStyle="1" w:styleId="EndnoteTextChar">
    <w:name w:val="Endnote Text Char"/>
    <w:basedOn w:val="DefaultParagraphFont"/>
    <w:link w:val="EndnoteText"/>
    <w:uiPriority w:val="99"/>
    <w:rsid w:val="00DD6D29"/>
    <w:rPr>
      <w:sz w:val="20"/>
      <w:szCs w:val="20"/>
    </w:rPr>
  </w:style>
  <w:style w:type="character" w:styleId="EndnoteReference">
    <w:name w:val="endnote reference"/>
    <w:basedOn w:val="DefaultParagraphFont"/>
    <w:uiPriority w:val="99"/>
    <w:unhideWhenUsed/>
    <w:rsid w:val="00DD6D29"/>
    <w:rPr>
      <w:vertAlign w:val="superscript"/>
    </w:rPr>
  </w:style>
  <w:style w:type="character" w:styleId="Hyperlink">
    <w:name w:val="Hyperlink"/>
    <w:basedOn w:val="DefaultParagraphFont"/>
    <w:uiPriority w:val="99"/>
    <w:unhideWhenUsed/>
    <w:rsid w:val="0033403F"/>
    <w:rPr>
      <w:color w:val="0563C1" w:themeColor="hyperlink"/>
      <w:u w:val="single"/>
    </w:rPr>
  </w:style>
  <w:style w:type="paragraph" w:styleId="ListParagraph">
    <w:name w:val="List Paragraph"/>
    <w:basedOn w:val="Normal"/>
    <w:uiPriority w:val="34"/>
    <w:qFormat/>
    <w:rsid w:val="00753253"/>
    <w:pPr>
      <w:ind w:left="720"/>
      <w:contextualSpacing/>
    </w:pPr>
  </w:style>
  <w:style w:type="character" w:styleId="CommentReference">
    <w:name w:val="annotation reference"/>
    <w:basedOn w:val="DefaultParagraphFont"/>
    <w:uiPriority w:val="99"/>
    <w:semiHidden/>
    <w:unhideWhenUsed/>
    <w:rsid w:val="008C7B98"/>
    <w:rPr>
      <w:sz w:val="16"/>
      <w:szCs w:val="16"/>
    </w:rPr>
  </w:style>
  <w:style w:type="paragraph" w:styleId="CommentText">
    <w:name w:val="annotation text"/>
    <w:basedOn w:val="Normal"/>
    <w:link w:val="CommentTextChar"/>
    <w:uiPriority w:val="99"/>
    <w:semiHidden/>
    <w:unhideWhenUsed/>
    <w:rsid w:val="008C7B98"/>
    <w:pPr>
      <w:spacing w:line="240" w:lineRule="auto"/>
    </w:pPr>
    <w:rPr>
      <w:sz w:val="20"/>
      <w:szCs w:val="20"/>
    </w:rPr>
  </w:style>
  <w:style w:type="character" w:customStyle="1" w:styleId="CommentTextChar">
    <w:name w:val="Comment Text Char"/>
    <w:basedOn w:val="DefaultParagraphFont"/>
    <w:link w:val="CommentText"/>
    <w:uiPriority w:val="99"/>
    <w:semiHidden/>
    <w:rsid w:val="008C7B98"/>
    <w:rPr>
      <w:sz w:val="20"/>
      <w:szCs w:val="20"/>
    </w:rPr>
  </w:style>
  <w:style w:type="paragraph" w:styleId="CommentSubject">
    <w:name w:val="annotation subject"/>
    <w:basedOn w:val="CommentText"/>
    <w:next w:val="CommentText"/>
    <w:link w:val="CommentSubjectChar"/>
    <w:uiPriority w:val="99"/>
    <w:semiHidden/>
    <w:unhideWhenUsed/>
    <w:rsid w:val="008C7B98"/>
    <w:rPr>
      <w:b/>
      <w:bCs/>
    </w:rPr>
  </w:style>
  <w:style w:type="character" w:customStyle="1" w:styleId="CommentSubjectChar">
    <w:name w:val="Comment Subject Char"/>
    <w:basedOn w:val="CommentTextChar"/>
    <w:link w:val="CommentSubject"/>
    <w:uiPriority w:val="99"/>
    <w:semiHidden/>
    <w:rsid w:val="008C7B98"/>
    <w:rPr>
      <w:b/>
      <w:bCs/>
      <w:sz w:val="20"/>
      <w:szCs w:val="20"/>
    </w:rPr>
  </w:style>
  <w:style w:type="paragraph" w:styleId="BalloonText">
    <w:name w:val="Balloon Text"/>
    <w:basedOn w:val="Normal"/>
    <w:link w:val="BalloonTextChar"/>
    <w:uiPriority w:val="99"/>
    <w:semiHidden/>
    <w:unhideWhenUsed/>
    <w:rsid w:val="008C7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B98"/>
    <w:rPr>
      <w:rFonts w:ascii="Segoe UI" w:hAnsi="Segoe UI" w:cs="Segoe UI"/>
      <w:sz w:val="18"/>
      <w:szCs w:val="18"/>
    </w:rPr>
  </w:style>
  <w:style w:type="character" w:styleId="FollowedHyperlink">
    <w:name w:val="FollowedHyperlink"/>
    <w:basedOn w:val="DefaultParagraphFont"/>
    <w:uiPriority w:val="99"/>
    <w:semiHidden/>
    <w:unhideWhenUsed/>
    <w:rsid w:val="006A3305"/>
    <w:rPr>
      <w:color w:val="954F72" w:themeColor="followedHyperlink"/>
      <w:u w:val="single"/>
    </w:rPr>
  </w:style>
  <w:style w:type="paragraph" w:styleId="Revision">
    <w:name w:val="Revision"/>
    <w:hidden/>
    <w:uiPriority w:val="99"/>
    <w:semiHidden/>
    <w:rsid w:val="000C529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51A5E"/>
    <w:pPr>
      <w:spacing w:after="0" w:line="276" w:lineRule="auto"/>
      <w:contextualSpacing/>
    </w:pPr>
    <w:rPr>
      <w:rFonts w:ascii="Arial" w:eastAsia="Arial" w:hAnsi="Arial" w:cs="Arial"/>
      <w:lang w:val="en"/>
    </w:rPr>
  </w:style>
  <w:style w:type="paragraph" w:styleId="FootnoteText">
    <w:name w:val="footnote text"/>
    <w:basedOn w:val="Normal"/>
    <w:link w:val="FootnoteTextChar"/>
    <w:uiPriority w:val="99"/>
    <w:semiHidden/>
    <w:unhideWhenUsed/>
    <w:rsid w:val="00DD6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D29"/>
    <w:rPr>
      <w:sz w:val="20"/>
      <w:szCs w:val="20"/>
    </w:rPr>
  </w:style>
  <w:style w:type="character" w:styleId="FootnoteReference">
    <w:name w:val="footnote reference"/>
    <w:basedOn w:val="DefaultParagraphFont"/>
    <w:uiPriority w:val="99"/>
    <w:semiHidden/>
    <w:unhideWhenUsed/>
    <w:rsid w:val="00DD6D29"/>
    <w:rPr>
      <w:vertAlign w:val="superscript"/>
    </w:rPr>
  </w:style>
  <w:style w:type="paragraph" w:styleId="EndnoteText">
    <w:name w:val="endnote text"/>
    <w:basedOn w:val="Normal"/>
    <w:link w:val="EndnoteTextChar"/>
    <w:uiPriority w:val="99"/>
    <w:unhideWhenUsed/>
    <w:rsid w:val="00DD6D29"/>
    <w:pPr>
      <w:spacing w:after="0" w:line="240" w:lineRule="auto"/>
    </w:pPr>
    <w:rPr>
      <w:sz w:val="20"/>
      <w:szCs w:val="20"/>
    </w:rPr>
  </w:style>
  <w:style w:type="character" w:customStyle="1" w:styleId="EndnoteTextChar">
    <w:name w:val="Endnote Text Char"/>
    <w:basedOn w:val="DefaultParagraphFont"/>
    <w:link w:val="EndnoteText"/>
    <w:uiPriority w:val="99"/>
    <w:rsid w:val="00DD6D29"/>
    <w:rPr>
      <w:sz w:val="20"/>
      <w:szCs w:val="20"/>
    </w:rPr>
  </w:style>
  <w:style w:type="character" w:styleId="EndnoteReference">
    <w:name w:val="endnote reference"/>
    <w:basedOn w:val="DefaultParagraphFont"/>
    <w:uiPriority w:val="99"/>
    <w:unhideWhenUsed/>
    <w:rsid w:val="00DD6D29"/>
    <w:rPr>
      <w:vertAlign w:val="superscript"/>
    </w:rPr>
  </w:style>
  <w:style w:type="character" w:styleId="Hyperlink">
    <w:name w:val="Hyperlink"/>
    <w:basedOn w:val="DefaultParagraphFont"/>
    <w:uiPriority w:val="99"/>
    <w:unhideWhenUsed/>
    <w:rsid w:val="0033403F"/>
    <w:rPr>
      <w:color w:val="0563C1" w:themeColor="hyperlink"/>
      <w:u w:val="single"/>
    </w:rPr>
  </w:style>
  <w:style w:type="paragraph" w:styleId="ListParagraph">
    <w:name w:val="List Paragraph"/>
    <w:basedOn w:val="Normal"/>
    <w:uiPriority w:val="34"/>
    <w:qFormat/>
    <w:rsid w:val="00753253"/>
    <w:pPr>
      <w:ind w:left="720"/>
      <w:contextualSpacing/>
    </w:pPr>
  </w:style>
  <w:style w:type="character" w:styleId="CommentReference">
    <w:name w:val="annotation reference"/>
    <w:basedOn w:val="DefaultParagraphFont"/>
    <w:uiPriority w:val="99"/>
    <w:semiHidden/>
    <w:unhideWhenUsed/>
    <w:rsid w:val="008C7B98"/>
    <w:rPr>
      <w:sz w:val="16"/>
      <w:szCs w:val="16"/>
    </w:rPr>
  </w:style>
  <w:style w:type="paragraph" w:styleId="CommentText">
    <w:name w:val="annotation text"/>
    <w:basedOn w:val="Normal"/>
    <w:link w:val="CommentTextChar"/>
    <w:uiPriority w:val="99"/>
    <w:semiHidden/>
    <w:unhideWhenUsed/>
    <w:rsid w:val="008C7B98"/>
    <w:pPr>
      <w:spacing w:line="240" w:lineRule="auto"/>
    </w:pPr>
    <w:rPr>
      <w:sz w:val="20"/>
      <w:szCs w:val="20"/>
    </w:rPr>
  </w:style>
  <w:style w:type="character" w:customStyle="1" w:styleId="CommentTextChar">
    <w:name w:val="Comment Text Char"/>
    <w:basedOn w:val="DefaultParagraphFont"/>
    <w:link w:val="CommentText"/>
    <w:uiPriority w:val="99"/>
    <w:semiHidden/>
    <w:rsid w:val="008C7B98"/>
    <w:rPr>
      <w:sz w:val="20"/>
      <w:szCs w:val="20"/>
    </w:rPr>
  </w:style>
  <w:style w:type="paragraph" w:styleId="CommentSubject">
    <w:name w:val="annotation subject"/>
    <w:basedOn w:val="CommentText"/>
    <w:next w:val="CommentText"/>
    <w:link w:val="CommentSubjectChar"/>
    <w:uiPriority w:val="99"/>
    <w:semiHidden/>
    <w:unhideWhenUsed/>
    <w:rsid w:val="008C7B98"/>
    <w:rPr>
      <w:b/>
      <w:bCs/>
    </w:rPr>
  </w:style>
  <w:style w:type="character" w:customStyle="1" w:styleId="CommentSubjectChar">
    <w:name w:val="Comment Subject Char"/>
    <w:basedOn w:val="CommentTextChar"/>
    <w:link w:val="CommentSubject"/>
    <w:uiPriority w:val="99"/>
    <w:semiHidden/>
    <w:rsid w:val="008C7B98"/>
    <w:rPr>
      <w:b/>
      <w:bCs/>
      <w:sz w:val="20"/>
      <w:szCs w:val="20"/>
    </w:rPr>
  </w:style>
  <w:style w:type="paragraph" w:styleId="BalloonText">
    <w:name w:val="Balloon Text"/>
    <w:basedOn w:val="Normal"/>
    <w:link w:val="BalloonTextChar"/>
    <w:uiPriority w:val="99"/>
    <w:semiHidden/>
    <w:unhideWhenUsed/>
    <w:rsid w:val="008C7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B98"/>
    <w:rPr>
      <w:rFonts w:ascii="Segoe UI" w:hAnsi="Segoe UI" w:cs="Segoe UI"/>
      <w:sz w:val="18"/>
      <w:szCs w:val="18"/>
    </w:rPr>
  </w:style>
  <w:style w:type="character" w:styleId="FollowedHyperlink">
    <w:name w:val="FollowedHyperlink"/>
    <w:basedOn w:val="DefaultParagraphFont"/>
    <w:uiPriority w:val="99"/>
    <w:semiHidden/>
    <w:unhideWhenUsed/>
    <w:rsid w:val="006A3305"/>
    <w:rPr>
      <w:color w:val="954F72" w:themeColor="followedHyperlink"/>
      <w:u w:val="single"/>
    </w:rPr>
  </w:style>
  <w:style w:type="paragraph" w:styleId="Revision">
    <w:name w:val="Revision"/>
    <w:hidden/>
    <w:uiPriority w:val="99"/>
    <w:semiHidden/>
    <w:rsid w:val="000C5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oregon.gov/oha/PH/DiseasesConditions/CommunicableDisease/DiseaseSurveillanceData/HIVData/Pages/index.aspx" TargetMode="External"/><Relationship Id="rId12" Type="http://schemas.openxmlformats.org/officeDocument/2006/relationships/hyperlink" Target="https://apps.state.or.us/Forms/Served/le9959.pdf" TargetMode="External"/><Relationship Id="rId13" Type="http://schemas.openxmlformats.org/officeDocument/2006/relationships/hyperlink" Target="https://www.oregon.gov/oha/PH/ABOUT/Documents/ship/oregon-state-health-improvement-plan.pdf" TargetMode="External"/><Relationship Id="rId14" Type="http://schemas.openxmlformats.org/officeDocument/2006/relationships/hyperlink" Target="http://dx.doi.org/10.3201/eid2109.150570" TargetMode="External"/><Relationship Id="rId15" Type="http://schemas.openxmlformats.org/officeDocument/2006/relationships/hyperlink" Target="https://www.doh.wa.gov/Portals/1/Documents/5100/420-002-epitrends2016-03.pdf" TargetMode="Externa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apps.state.or.us/Forms/Served/le8645.pdf" TargetMode="External"/><Relationship Id="rId10" Type="http://schemas.openxmlformats.org/officeDocument/2006/relationships/hyperlink" Target="https://www.oregon.gov/oha/PH/DISEASESCONDITIONS/COMMUNICABLEDISEASE/DISEASESURVEILLANCEDATA/STD/Documents/county/StatewideSTD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D452-91B7-D443-8FF7-C241C6BA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1401</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Krause</dc:creator>
  <cp:lastModifiedBy>Morgan D. Cowling</cp:lastModifiedBy>
  <cp:revision>2</cp:revision>
  <dcterms:created xsi:type="dcterms:W3CDTF">2018-11-12T18:47:00Z</dcterms:created>
  <dcterms:modified xsi:type="dcterms:W3CDTF">2018-11-12T18:47:00Z</dcterms:modified>
</cp:coreProperties>
</file>