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D86C67" w14:textId="77777777" w:rsidR="008A6002" w:rsidRDefault="008A6002" w:rsidP="008A6002">
      <w:pPr>
        <w:pStyle w:val="Title"/>
        <w:rPr>
          <w:rFonts w:ascii="Century Gothic" w:hAnsi="Century Gothic"/>
        </w:rPr>
      </w:pPr>
    </w:p>
    <w:p w14:paraId="3AC38FBF" w14:textId="77777777" w:rsidR="008A6002" w:rsidRDefault="008A6002" w:rsidP="008A6002">
      <w:pPr>
        <w:pStyle w:val="Title"/>
        <w:rPr>
          <w:rFonts w:ascii="Century Gothic" w:hAnsi="Century Gothic"/>
        </w:rPr>
      </w:pPr>
    </w:p>
    <w:p w14:paraId="7B6E748A" w14:textId="77777777" w:rsidR="008A6002" w:rsidRDefault="008A6002" w:rsidP="008A6002">
      <w:pPr>
        <w:pStyle w:val="Title"/>
        <w:rPr>
          <w:rFonts w:ascii="Century Gothic" w:hAnsi="Century Gothic"/>
        </w:rPr>
      </w:pPr>
    </w:p>
    <w:p w14:paraId="0FF4B03F" w14:textId="0648397E" w:rsidR="00FF6E4C" w:rsidRPr="008A6002" w:rsidRDefault="00FF6E4C" w:rsidP="008A6002">
      <w:pPr>
        <w:pStyle w:val="Title"/>
        <w:rPr>
          <w:rFonts w:ascii="Century Gothic" w:hAnsi="Century Gothic"/>
        </w:rPr>
      </w:pPr>
      <w:r w:rsidRPr="008A6002">
        <w:rPr>
          <w:rFonts w:ascii="Century Gothic" w:hAnsi="Century Gothic"/>
        </w:rPr>
        <w:t>CONFERENCE OF LOCAL HEALTH OFFICIALS</w:t>
      </w:r>
    </w:p>
    <w:p w14:paraId="391A0CF2" w14:textId="3287EA8F" w:rsidR="00FF6E4C" w:rsidRPr="008A6002" w:rsidRDefault="00671EDC" w:rsidP="008A6002">
      <w:pPr>
        <w:jc w:val="center"/>
        <w:rPr>
          <w:rFonts w:eastAsia="Times New Roman" w:cs="Times New Roman"/>
          <w:b/>
        </w:rPr>
      </w:pPr>
      <w:r>
        <w:rPr>
          <w:rFonts w:eastAsia="Times New Roman" w:cs="Times New Roman"/>
          <w:b/>
        </w:rPr>
        <w:t>March</w:t>
      </w:r>
      <w:r w:rsidR="008A6002" w:rsidRPr="008A6002">
        <w:rPr>
          <w:rFonts w:eastAsia="Times New Roman" w:cs="Times New Roman"/>
          <w:b/>
        </w:rPr>
        <w:t xml:space="preserve"> 15, 2018</w:t>
      </w:r>
    </w:p>
    <w:p w14:paraId="376F7243" w14:textId="601F4A6F" w:rsidR="00FF6E4C" w:rsidRPr="008A6002" w:rsidRDefault="00C6463E" w:rsidP="008A6002">
      <w:pPr>
        <w:pStyle w:val="BodyText2"/>
        <w:ind w:left="3600"/>
        <w:jc w:val="left"/>
        <w:rPr>
          <w:rFonts w:ascii="Century Gothic" w:hAnsi="Century Gothic"/>
        </w:rPr>
      </w:pPr>
      <w:r>
        <w:rPr>
          <w:rFonts w:ascii="Century Gothic" w:hAnsi="Century Gothic"/>
        </w:rPr>
        <w:t>9:30 – 11:3</w:t>
      </w:r>
      <w:r w:rsidR="005467FE" w:rsidRPr="008A6002">
        <w:rPr>
          <w:rFonts w:ascii="Century Gothic" w:hAnsi="Century Gothic"/>
        </w:rPr>
        <w:t>5</w:t>
      </w:r>
      <w:r w:rsidR="00FF6E4C" w:rsidRPr="008A6002">
        <w:rPr>
          <w:rFonts w:ascii="Century Gothic" w:hAnsi="Century Gothic"/>
        </w:rPr>
        <w:t xml:space="preserve"> am</w:t>
      </w:r>
    </w:p>
    <w:p w14:paraId="497F3FB8" w14:textId="5729DE38" w:rsidR="00FF6E4C" w:rsidRPr="008A6002" w:rsidRDefault="00671EDC" w:rsidP="008A6002">
      <w:pPr>
        <w:jc w:val="center"/>
        <w:rPr>
          <w:rFonts w:eastAsia="Times New Roman" w:cs="Times New Roman"/>
          <w:b/>
        </w:rPr>
      </w:pPr>
      <w:r>
        <w:rPr>
          <w:rFonts w:eastAsia="Times New Roman" w:cs="Times New Roman"/>
          <w:b/>
        </w:rPr>
        <w:t>PSOB</w:t>
      </w:r>
      <w:r w:rsidR="00275AD1">
        <w:rPr>
          <w:rFonts w:eastAsia="Times New Roman" w:cs="Times New Roman"/>
          <w:b/>
        </w:rPr>
        <w:t xml:space="preserve"> – 1E</w:t>
      </w:r>
      <w:r>
        <w:rPr>
          <w:rFonts w:eastAsia="Times New Roman" w:cs="Times New Roman"/>
          <w:b/>
        </w:rPr>
        <w:t xml:space="preserve"> – 800 NE Oregon St., Portland, OR 97232</w:t>
      </w:r>
    </w:p>
    <w:p w14:paraId="40DDF0F7" w14:textId="7E022424" w:rsidR="00F1467B" w:rsidRPr="008A6002" w:rsidRDefault="00F1467B" w:rsidP="00727D82">
      <w:pPr>
        <w:jc w:val="center"/>
        <w:rPr>
          <w:rFonts w:ascii="Times" w:eastAsia="Times New Roman" w:hAnsi="Times" w:cs="Times New Roman"/>
          <w:sz w:val="20"/>
          <w:szCs w:val="20"/>
        </w:rPr>
      </w:pPr>
      <w:r>
        <w:rPr>
          <w:rFonts w:ascii="Times" w:eastAsia="Times New Roman" w:hAnsi="Times" w:cs="Times New Roman"/>
          <w:noProof/>
          <w:sz w:val="20"/>
          <w:szCs w:val="20"/>
        </w:rPr>
        <mc:AlternateContent>
          <mc:Choice Requires="wps">
            <w:drawing>
              <wp:anchor distT="0" distB="0" distL="114300" distR="114300" simplePos="0" relativeHeight="251661312" behindDoc="0" locked="0" layoutInCell="1" allowOverlap="1" wp14:anchorId="04D3B8B3" wp14:editId="79DE3F72">
                <wp:simplePos x="0" y="0"/>
                <wp:positionH relativeFrom="column">
                  <wp:posOffset>-457200</wp:posOffset>
                </wp:positionH>
                <wp:positionV relativeFrom="paragraph">
                  <wp:posOffset>292100</wp:posOffset>
                </wp:positionV>
                <wp:extent cx="6286500" cy="1714500"/>
                <wp:effectExtent l="0" t="0" r="0" b="12700"/>
                <wp:wrapSquare wrapText="bothSides"/>
                <wp:docPr id="5" name="Text Box 5"/>
                <wp:cNvGraphicFramePr/>
                <a:graphic xmlns:a="http://schemas.openxmlformats.org/drawingml/2006/main">
                  <a:graphicData uri="http://schemas.microsoft.com/office/word/2010/wordprocessingShape">
                    <wps:wsp>
                      <wps:cNvSpPr txBox="1"/>
                      <wps:spPr>
                        <a:xfrm>
                          <a:off x="0" y="0"/>
                          <a:ext cx="6286500" cy="17145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F6B0085" w14:textId="0BBBF0B6" w:rsidR="00445E3A" w:rsidRDefault="00445E3A" w:rsidP="003222D0">
                            <w:pPr>
                              <w:rPr>
                                <w:sz w:val="20"/>
                                <w:szCs w:val="20"/>
                              </w:rPr>
                            </w:pPr>
                            <w:r w:rsidRPr="00DD0545">
                              <w:rPr>
                                <w:b/>
                                <w:sz w:val="20"/>
                                <w:szCs w:val="20"/>
                              </w:rPr>
                              <w:t>In attendance</w:t>
                            </w:r>
                            <w:r>
                              <w:rPr>
                                <w:sz w:val="20"/>
                                <w:szCs w:val="20"/>
                              </w:rPr>
                              <w:t>:</w:t>
                            </w:r>
                            <w:r w:rsidRPr="00DD0545">
                              <w:rPr>
                                <w:sz w:val="20"/>
                                <w:szCs w:val="20"/>
                              </w:rPr>
                              <w:t xml:space="preserve"> </w:t>
                            </w:r>
                            <w:r>
                              <w:rPr>
                                <w:sz w:val="20"/>
                                <w:szCs w:val="20"/>
                              </w:rPr>
                              <w:t xml:space="preserve">Tricia </w:t>
                            </w:r>
                            <w:proofErr w:type="spellStart"/>
                            <w:r>
                              <w:rPr>
                                <w:sz w:val="20"/>
                                <w:szCs w:val="20"/>
                              </w:rPr>
                              <w:t>Mortell</w:t>
                            </w:r>
                            <w:proofErr w:type="spellEnd"/>
                            <w:r>
                              <w:rPr>
                                <w:sz w:val="20"/>
                                <w:szCs w:val="20"/>
                              </w:rPr>
                              <w:t xml:space="preserve">, CLHO Chair, Washington; Carrie </w:t>
                            </w:r>
                            <w:proofErr w:type="spellStart"/>
                            <w:r>
                              <w:rPr>
                                <w:sz w:val="20"/>
                                <w:szCs w:val="20"/>
                              </w:rPr>
                              <w:t>Brogoitti</w:t>
                            </w:r>
                            <w:proofErr w:type="spellEnd"/>
                            <w:r>
                              <w:rPr>
                                <w:sz w:val="20"/>
                                <w:szCs w:val="20"/>
                              </w:rPr>
                              <w:t xml:space="preserve">, CLHO Vice-Chair, Union; Nancy Staten, Baker; Dawn </w:t>
                            </w:r>
                            <w:proofErr w:type="spellStart"/>
                            <w:r>
                              <w:rPr>
                                <w:sz w:val="20"/>
                                <w:szCs w:val="20"/>
                              </w:rPr>
                              <w:t>Emerick</w:t>
                            </w:r>
                            <w:proofErr w:type="spellEnd"/>
                            <w:r>
                              <w:rPr>
                                <w:sz w:val="20"/>
                                <w:szCs w:val="20"/>
                              </w:rPr>
                              <w:t xml:space="preserve">, Clackamas; Sherrie Ford &amp; Michael Paul, </w:t>
                            </w:r>
                            <w:r w:rsidRPr="00DD0545">
                              <w:rPr>
                                <w:sz w:val="20"/>
                                <w:szCs w:val="20"/>
                              </w:rPr>
                              <w:t xml:space="preserve">Columbia; Muriel </w:t>
                            </w:r>
                            <w:proofErr w:type="spellStart"/>
                            <w:r w:rsidRPr="00DD0545">
                              <w:rPr>
                                <w:sz w:val="20"/>
                                <w:szCs w:val="20"/>
                              </w:rPr>
                              <w:t>DeLaVergne</w:t>
                            </w:r>
                            <w:proofErr w:type="spellEnd"/>
                            <w:r w:rsidRPr="00DD0545">
                              <w:rPr>
                                <w:sz w:val="20"/>
                                <w:szCs w:val="20"/>
                              </w:rPr>
                              <w:t xml:space="preserve"> </w:t>
                            </w:r>
                            <w:r>
                              <w:rPr>
                                <w:sz w:val="20"/>
                                <w:szCs w:val="20"/>
                              </w:rPr>
                              <w:t xml:space="preserve">Brown, Crook; </w:t>
                            </w:r>
                            <w:r w:rsidRPr="00DD0545">
                              <w:rPr>
                                <w:sz w:val="20"/>
                                <w:szCs w:val="20"/>
                              </w:rPr>
                              <w:t xml:space="preserve">Bob </w:t>
                            </w:r>
                            <w:proofErr w:type="spellStart"/>
                            <w:r w:rsidRPr="00DD0545">
                              <w:rPr>
                                <w:sz w:val="20"/>
                                <w:szCs w:val="20"/>
                              </w:rPr>
                              <w:t>Dannenhoffer</w:t>
                            </w:r>
                            <w:proofErr w:type="spellEnd"/>
                            <w:r w:rsidRPr="00DD0545">
                              <w:rPr>
                                <w:sz w:val="20"/>
                                <w:szCs w:val="20"/>
                              </w:rPr>
                              <w:t xml:space="preserve">, Douglas; </w:t>
                            </w:r>
                            <w:r>
                              <w:rPr>
                                <w:sz w:val="20"/>
                                <w:szCs w:val="20"/>
                              </w:rPr>
                              <w:t xml:space="preserve">Teri </w:t>
                            </w:r>
                            <w:proofErr w:type="spellStart"/>
                            <w:r w:rsidRPr="00DD0545">
                              <w:rPr>
                                <w:sz w:val="20"/>
                                <w:szCs w:val="20"/>
                              </w:rPr>
                              <w:t>Thalhofer</w:t>
                            </w:r>
                            <w:proofErr w:type="spellEnd"/>
                            <w:r w:rsidRPr="00DD0545">
                              <w:rPr>
                                <w:sz w:val="20"/>
                                <w:szCs w:val="20"/>
                              </w:rPr>
                              <w:t xml:space="preserve">, North Central; Ellen Larsen, Hood River; Jackson </w:t>
                            </w:r>
                            <w:proofErr w:type="spellStart"/>
                            <w:r w:rsidRPr="00DD0545">
                              <w:rPr>
                                <w:sz w:val="20"/>
                                <w:szCs w:val="20"/>
                              </w:rPr>
                              <w:t>Baures</w:t>
                            </w:r>
                            <w:proofErr w:type="spellEnd"/>
                            <w:r w:rsidRPr="00DD0545">
                              <w:rPr>
                                <w:sz w:val="20"/>
                                <w:szCs w:val="20"/>
                              </w:rPr>
                              <w:t>, Jackso</w:t>
                            </w:r>
                            <w:r>
                              <w:rPr>
                                <w:sz w:val="20"/>
                                <w:szCs w:val="20"/>
                              </w:rPr>
                              <w:t xml:space="preserve">n; Courtney </w:t>
                            </w:r>
                            <w:proofErr w:type="spellStart"/>
                            <w:r>
                              <w:rPr>
                                <w:sz w:val="20"/>
                                <w:szCs w:val="20"/>
                              </w:rPr>
                              <w:t>Vanb</w:t>
                            </w:r>
                            <w:r w:rsidRPr="00DD0545">
                              <w:rPr>
                                <w:sz w:val="20"/>
                                <w:szCs w:val="20"/>
                              </w:rPr>
                              <w:t>ragt</w:t>
                            </w:r>
                            <w:proofErr w:type="spellEnd"/>
                            <w:r w:rsidRPr="00DD0545">
                              <w:rPr>
                                <w:sz w:val="20"/>
                                <w:szCs w:val="20"/>
                              </w:rPr>
                              <w:t xml:space="preserve">, Klamath; Rebecca Austen, Lincoln; Glenna Hughes, Linn; </w:t>
                            </w:r>
                            <w:r>
                              <w:rPr>
                                <w:sz w:val="20"/>
                                <w:szCs w:val="20"/>
                              </w:rPr>
                              <w:t xml:space="preserve">Angie </w:t>
                            </w:r>
                            <w:proofErr w:type="spellStart"/>
                            <w:r>
                              <w:rPr>
                                <w:sz w:val="20"/>
                                <w:szCs w:val="20"/>
                              </w:rPr>
                              <w:t>Gerrard</w:t>
                            </w:r>
                            <w:proofErr w:type="spellEnd"/>
                            <w:r>
                              <w:rPr>
                                <w:sz w:val="20"/>
                                <w:szCs w:val="20"/>
                              </w:rPr>
                              <w:t xml:space="preserve">, Malheur; Pam Hutchinson, Marion; </w:t>
                            </w:r>
                            <w:r w:rsidRPr="00DD0545">
                              <w:rPr>
                                <w:sz w:val="20"/>
                                <w:szCs w:val="20"/>
                              </w:rPr>
                              <w:t>Rach</w:t>
                            </w:r>
                            <w:r>
                              <w:rPr>
                                <w:sz w:val="20"/>
                                <w:szCs w:val="20"/>
                              </w:rPr>
                              <w:t>a</w:t>
                            </w:r>
                            <w:r w:rsidRPr="00DD0545">
                              <w:rPr>
                                <w:sz w:val="20"/>
                                <w:szCs w:val="20"/>
                              </w:rPr>
                              <w:t xml:space="preserve">el Banks, Multnomah; </w:t>
                            </w:r>
                            <w:r>
                              <w:rPr>
                                <w:sz w:val="20"/>
                                <w:szCs w:val="20"/>
                              </w:rPr>
                              <w:t xml:space="preserve">Katrina </w:t>
                            </w:r>
                            <w:proofErr w:type="spellStart"/>
                            <w:r>
                              <w:rPr>
                                <w:sz w:val="20"/>
                                <w:szCs w:val="20"/>
                              </w:rPr>
                              <w:t>Rothenberger</w:t>
                            </w:r>
                            <w:proofErr w:type="spellEnd"/>
                            <w:r>
                              <w:rPr>
                                <w:sz w:val="20"/>
                                <w:szCs w:val="20"/>
                              </w:rPr>
                              <w:t xml:space="preserve">, Polk; Lindsey </w:t>
                            </w:r>
                            <w:proofErr w:type="spellStart"/>
                            <w:r>
                              <w:rPr>
                                <w:sz w:val="20"/>
                                <w:szCs w:val="20"/>
                              </w:rPr>
                              <w:t>Manfrin</w:t>
                            </w:r>
                            <w:proofErr w:type="spellEnd"/>
                            <w:r>
                              <w:rPr>
                                <w:sz w:val="20"/>
                                <w:szCs w:val="20"/>
                              </w:rPr>
                              <w:t>, Yamhill</w:t>
                            </w:r>
                          </w:p>
                          <w:p w14:paraId="16FFB799" w14:textId="5AAD7D49" w:rsidR="00445E3A" w:rsidRPr="00DD0545" w:rsidRDefault="00445E3A" w:rsidP="003222D0">
                            <w:pPr>
                              <w:rPr>
                                <w:sz w:val="20"/>
                                <w:szCs w:val="20"/>
                              </w:rPr>
                            </w:pPr>
                            <w:r w:rsidRPr="00DD0545">
                              <w:rPr>
                                <w:b/>
                                <w:sz w:val="20"/>
                                <w:szCs w:val="20"/>
                              </w:rPr>
                              <w:t>Public Health Division:</w:t>
                            </w:r>
                            <w:r w:rsidRPr="00DD0545">
                              <w:rPr>
                                <w:sz w:val="20"/>
                                <w:szCs w:val="20"/>
                              </w:rPr>
                              <w:t xml:space="preserve"> </w:t>
                            </w:r>
                            <w:r>
                              <w:rPr>
                                <w:sz w:val="20"/>
                                <w:szCs w:val="20"/>
                              </w:rPr>
                              <w:t xml:space="preserve">Cara </w:t>
                            </w:r>
                            <w:proofErr w:type="spellStart"/>
                            <w:r>
                              <w:rPr>
                                <w:sz w:val="20"/>
                                <w:szCs w:val="20"/>
                              </w:rPr>
                              <w:t>Biddlecom</w:t>
                            </w:r>
                            <w:proofErr w:type="spellEnd"/>
                            <w:r>
                              <w:rPr>
                                <w:sz w:val="20"/>
                                <w:szCs w:val="20"/>
                              </w:rPr>
                              <w:t xml:space="preserve">; Danna Drum; Aaron Dunn; </w:t>
                            </w:r>
                            <w:proofErr w:type="spellStart"/>
                            <w:r>
                              <w:rPr>
                                <w:sz w:val="20"/>
                                <w:szCs w:val="20"/>
                              </w:rPr>
                              <w:t>Ruuth</w:t>
                            </w:r>
                            <w:proofErr w:type="spellEnd"/>
                            <w:r>
                              <w:rPr>
                                <w:sz w:val="20"/>
                                <w:szCs w:val="20"/>
                              </w:rPr>
                              <w:t xml:space="preserve"> Hensley; Dewayne Hatcher; Amanda Timmons; Helene </w:t>
                            </w:r>
                            <w:proofErr w:type="spellStart"/>
                            <w:r>
                              <w:rPr>
                                <w:sz w:val="20"/>
                                <w:szCs w:val="20"/>
                              </w:rPr>
                              <w:t>Rimburg</w:t>
                            </w:r>
                            <w:proofErr w:type="spellEnd"/>
                            <w:r>
                              <w:rPr>
                                <w:sz w:val="20"/>
                                <w:szCs w:val="20"/>
                              </w:rPr>
                              <w:t xml:space="preserve">; </w:t>
                            </w:r>
                          </w:p>
                          <w:p w14:paraId="6B3334C8" w14:textId="36352894" w:rsidR="00445E3A" w:rsidRDefault="00445E3A" w:rsidP="003222D0">
                            <w:pPr>
                              <w:rPr>
                                <w:sz w:val="20"/>
                                <w:szCs w:val="20"/>
                              </w:rPr>
                            </w:pPr>
                            <w:r w:rsidRPr="00DD0545">
                              <w:rPr>
                                <w:b/>
                                <w:sz w:val="20"/>
                                <w:szCs w:val="20"/>
                              </w:rPr>
                              <w:t>CLHO:</w:t>
                            </w:r>
                            <w:r w:rsidRPr="00DD0545">
                              <w:rPr>
                                <w:sz w:val="20"/>
                                <w:szCs w:val="20"/>
                              </w:rPr>
                              <w:t xml:space="preserve"> Morgan Cowlin</w:t>
                            </w:r>
                            <w:r>
                              <w:rPr>
                                <w:sz w:val="20"/>
                                <w:szCs w:val="20"/>
                              </w:rPr>
                              <w:t>g</w:t>
                            </w:r>
                          </w:p>
                          <w:p w14:paraId="34964D84" w14:textId="2C13D1F9" w:rsidR="00445E3A" w:rsidRPr="005C449B" w:rsidRDefault="00445E3A">
                            <w:pPr>
                              <w:rPr>
                                <w: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5" o:spid="_x0000_s1026" type="#_x0000_t202" style="position:absolute;left:0;text-align:left;margin-left:-35.95pt;margin-top:23pt;width:495pt;height:13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" filled="f" stroked="f">
                <v:textbox>
                  <w:txbxContent>
                    <w:p w14:paraId="0F6B0085" w14:textId="0BBBF0B6" w:rsidR="00445E3A" w:rsidRDefault="00445E3A" w:rsidP="003222D0">
                      <w:pPr>
                        <w:rPr>
                          <w:sz w:val="20"/>
                          <w:szCs w:val="20"/>
                        </w:rPr>
                      </w:pPr>
                      <w:r w:rsidRPr="00DD0545">
                        <w:rPr>
                          <w:b/>
                          <w:sz w:val="20"/>
                          <w:szCs w:val="20"/>
                        </w:rPr>
                        <w:t>In attendance</w:t>
                      </w:r>
                      <w:r>
                        <w:rPr>
                          <w:sz w:val="20"/>
                          <w:szCs w:val="20"/>
                        </w:rPr>
                        <w:t>:</w:t>
                      </w:r>
                      <w:r w:rsidRPr="00DD0545">
                        <w:rPr>
                          <w:sz w:val="20"/>
                          <w:szCs w:val="20"/>
                        </w:rPr>
                        <w:t xml:space="preserve"> </w:t>
                      </w:r>
                      <w:r>
                        <w:rPr>
                          <w:sz w:val="20"/>
                          <w:szCs w:val="20"/>
                        </w:rPr>
                        <w:t xml:space="preserve">Tricia </w:t>
                      </w:r>
                      <w:proofErr w:type="spellStart"/>
                      <w:r>
                        <w:rPr>
                          <w:sz w:val="20"/>
                          <w:szCs w:val="20"/>
                        </w:rPr>
                        <w:t>Mortell</w:t>
                      </w:r>
                      <w:proofErr w:type="spellEnd"/>
                      <w:r>
                        <w:rPr>
                          <w:sz w:val="20"/>
                          <w:szCs w:val="20"/>
                        </w:rPr>
                        <w:t xml:space="preserve">, CLHO Chair, Washington; Carrie </w:t>
                      </w:r>
                      <w:proofErr w:type="spellStart"/>
                      <w:r>
                        <w:rPr>
                          <w:sz w:val="20"/>
                          <w:szCs w:val="20"/>
                        </w:rPr>
                        <w:t>Brogoitti</w:t>
                      </w:r>
                      <w:proofErr w:type="spellEnd"/>
                      <w:r>
                        <w:rPr>
                          <w:sz w:val="20"/>
                          <w:szCs w:val="20"/>
                        </w:rPr>
                        <w:t xml:space="preserve">, CLHO Vice-Chair, Union; Nancy Staten, Baker; Dawn </w:t>
                      </w:r>
                      <w:proofErr w:type="spellStart"/>
                      <w:r>
                        <w:rPr>
                          <w:sz w:val="20"/>
                          <w:szCs w:val="20"/>
                        </w:rPr>
                        <w:t>Emerick</w:t>
                      </w:r>
                      <w:proofErr w:type="spellEnd"/>
                      <w:r>
                        <w:rPr>
                          <w:sz w:val="20"/>
                          <w:szCs w:val="20"/>
                        </w:rPr>
                        <w:t xml:space="preserve">, Clackamas; Sherrie Ford &amp; Michael Paul, </w:t>
                      </w:r>
                      <w:r w:rsidRPr="00DD0545">
                        <w:rPr>
                          <w:sz w:val="20"/>
                          <w:szCs w:val="20"/>
                        </w:rPr>
                        <w:t xml:space="preserve">Columbia; Muriel </w:t>
                      </w:r>
                      <w:proofErr w:type="spellStart"/>
                      <w:r w:rsidRPr="00DD0545">
                        <w:rPr>
                          <w:sz w:val="20"/>
                          <w:szCs w:val="20"/>
                        </w:rPr>
                        <w:t>DeLaVergne</w:t>
                      </w:r>
                      <w:proofErr w:type="spellEnd"/>
                      <w:r w:rsidRPr="00DD0545">
                        <w:rPr>
                          <w:sz w:val="20"/>
                          <w:szCs w:val="20"/>
                        </w:rPr>
                        <w:t xml:space="preserve"> </w:t>
                      </w:r>
                      <w:r>
                        <w:rPr>
                          <w:sz w:val="20"/>
                          <w:szCs w:val="20"/>
                        </w:rPr>
                        <w:t xml:space="preserve">Brown, Crook; </w:t>
                      </w:r>
                      <w:r w:rsidRPr="00DD0545">
                        <w:rPr>
                          <w:sz w:val="20"/>
                          <w:szCs w:val="20"/>
                        </w:rPr>
                        <w:t xml:space="preserve">Bob </w:t>
                      </w:r>
                      <w:proofErr w:type="spellStart"/>
                      <w:r w:rsidRPr="00DD0545">
                        <w:rPr>
                          <w:sz w:val="20"/>
                          <w:szCs w:val="20"/>
                        </w:rPr>
                        <w:t>Dannenhoffer</w:t>
                      </w:r>
                      <w:proofErr w:type="spellEnd"/>
                      <w:r w:rsidRPr="00DD0545">
                        <w:rPr>
                          <w:sz w:val="20"/>
                          <w:szCs w:val="20"/>
                        </w:rPr>
                        <w:t xml:space="preserve">, Douglas; </w:t>
                      </w:r>
                      <w:r>
                        <w:rPr>
                          <w:sz w:val="20"/>
                          <w:szCs w:val="20"/>
                        </w:rPr>
                        <w:t xml:space="preserve">Teri </w:t>
                      </w:r>
                      <w:proofErr w:type="spellStart"/>
                      <w:r w:rsidRPr="00DD0545">
                        <w:rPr>
                          <w:sz w:val="20"/>
                          <w:szCs w:val="20"/>
                        </w:rPr>
                        <w:t>Thalhofer</w:t>
                      </w:r>
                      <w:proofErr w:type="spellEnd"/>
                      <w:r w:rsidRPr="00DD0545">
                        <w:rPr>
                          <w:sz w:val="20"/>
                          <w:szCs w:val="20"/>
                        </w:rPr>
                        <w:t xml:space="preserve">, North Central; Ellen Larsen, Hood River; Jackson </w:t>
                      </w:r>
                      <w:proofErr w:type="spellStart"/>
                      <w:r w:rsidRPr="00DD0545">
                        <w:rPr>
                          <w:sz w:val="20"/>
                          <w:szCs w:val="20"/>
                        </w:rPr>
                        <w:t>Baures</w:t>
                      </w:r>
                      <w:proofErr w:type="spellEnd"/>
                      <w:r w:rsidRPr="00DD0545">
                        <w:rPr>
                          <w:sz w:val="20"/>
                          <w:szCs w:val="20"/>
                        </w:rPr>
                        <w:t>, Jackso</w:t>
                      </w:r>
                      <w:r>
                        <w:rPr>
                          <w:sz w:val="20"/>
                          <w:szCs w:val="20"/>
                        </w:rPr>
                        <w:t xml:space="preserve">n; Courtney </w:t>
                      </w:r>
                      <w:proofErr w:type="spellStart"/>
                      <w:r>
                        <w:rPr>
                          <w:sz w:val="20"/>
                          <w:szCs w:val="20"/>
                        </w:rPr>
                        <w:t>Vanb</w:t>
                      </w:r>
                      <w:r w:rsidRPr="00DD0545">
                        <w:rPr>
                          <w:sz w:val="20"/>
                          <w:szCs w:val="20"/>
                        </w:rPr>
                        <w:t>ragt</w:t>
                      </w:r>
                      <w:proofErr w:type="spellEnd"/>
                      <w:r w:rsidRPr="00DD0545">
                        <w:rPr>
                          <w:sz w:val="20"/>
                          <w:szCs w:val="20"/>
                        </w:rPr>
                        <w:t xml:space="preserve">, Klamath; Rebecca Austen, Lincoln; Glenna Hughes, Linn; </w:t>
                      </w:r>
                      <w:r>
                        <w:rPr>
                          <w:sz w:val="20"/>
                          <w:szCs w:val="20"/>
                        </w:rPr>
                        <w:t xml:space="preserve">Angie </w:t>
                      </w:r>
                      <w:proofErr w:type="spellStart"/>
                      <w:r>
                        <w:rPr>
                          <w:sz w:val="20"/>
                          <w:szCs w:val="20"/>
                        </w:rPr>
                        <w:t>Gerrard</w:t>
                      </w:r>
                      <w:proofErr w:type="spellEnd"/>
                      <w:r>
                        <w:rPr>
                          <w:sz w:val="20"/>
                          <w:szCs w:val="20"/>
                        </w:rPr>
                        <w:t xml:space="preserve">, Malheur; Pam Hutchinson, Marion; </w:t>
                      </w:r>
                      <w:r w:rsidRPr="00DD0545">
                        <w:rPr>
                          <w:sz w:val="20"/>
                          <w:szCs w:val="20"/>
                        </w:rPr>
                        <w:t>Rach</w:t>
                      </w:r>
                      <w:r>
                        <w:rPr>
                          <w:sz w:val="20"/>
                          <w:szCs w:val="20"/>
                        </w:rPr>
                        <w:t>a</w:t>
                      </w:r>
                      <w:r w:rsidRPr="00DD0545">
                        <w:rPr>
                          <w:sz w:val="20"/>
                          <w:szCs w:val="20"/>
                        </w:rPr>
                        <w:t xml:space="preserve">el Banks, Multnomah; </w:t>
                      </w:r>
                      <w:r>
                        <w:rPr>
                          <w:sz w:val="20"/>
                          <w:szCs w:val="20"/>
                        </w:rPr>
                        <w:t xml:space="preserve">Katrina </w:t>
                      </w:r>
                      <w:proofErr w:type="spellStart"/>
                      <w:r>
                        <w:rPr>
                          <w:sz w:val="20"/>
                          <w:szCs w:val="20"/>
                        </w:rPr>
                        <w:t>Rothenberger</w:t>
                      </w:r>
                      <w:proofErr w:type="spellEnd"/>
                      <w:r>
                        <w:rPr>
                          <w:sz w:val="20"/>
                          <w:szCs w:val="20"/>
                        </w:rPr>
                        <w:t xml:space="preserve">, Polk; Lindsey </w:t>
                      </w:r>
                      <w:proofErr w:type="spellStart"/>
                      <w:r>
                        <w:rPr>
                          <w:sz w:val="20"/>
                          <w:szCs w:val="20"/>
                        </w:rPr>
                        <w:t>Manfrin</w:t>
                      </w:r>
                      <w:proofErr w:type="spellEnd"/>
                      <w:r>
                        <w:rPr>
                          <w:sz w:val="20"/>
                          <w:szCs w:val="20"/>
                        </w:rPr>
                        <w:t>, Yamhill</w:t>
                      </w:r>
                    </w:p>
                    <w:p w14:paraId="16FFB799" w14:textId="5AAD7D49" w:rsidR="00445E3A" w:rsidRPr="00DD0545" w:rsidRDefault="00445E3A" w:rsidP="003222D0">
                      <w:pPr>
                        <w:rPr>
                          <w:sz w:val="20"/>
                          <w:szCs w:val="20"/>
                        </w:rPr>
                      </w:pPr>
                      <w:r w:rsidRPr="00DD0545">
                        <w:rPr>
                          <w:b/>
                          <w:sz w:val="20"/>
                          <w:szCs w:val="20"/>
                        </w:rPr>
                        <w:t>Public Health Division:</w:t>
                      </w:r>
                      <w:r w:rsidRPr="00DD0545">
                        <w:rPr>
                          <w:sz w:val="20"/>
                          <w:szCs w:val="20"/>
                        </w:rPr>
                        <w:t xml:space="preserve"> </w:t>
                      </w:r>
                      <w:r>
                        <w:rPr>
                          <w:sz w:val="20"/>
                          <w:szCs w:val="20"/>
                        </w:rPr>
                        <w:t xml:space="preserve">Cara </w:t>
                      </w:r>
                      <w:proofErr w:type="spellStart"/>
                      <w:r>
                        <w:rPr>
                          <w:sz w:val="20"/>
                          <w:szCs w:val="20"/>
                        </w:rPr>
                        <w:t>Biddlecom</w:t>
                      </w:r>
                      <w:proofErr w:type="spellEnd"/>
                      <w:r>
                        <w:rPr>
                          <w:sz w:val="20"/>
                          <w:szCs w:val="20"/>
                        </w:rPr>
                        <w:t xml:space="preserve">; Danna Drum; Aaron Dunn; </w:t>
                      </w:r>
                      <w:proofErr w:type="spellStart"/>
                      <w:r>
                        <w:rPr>
                          <w:sz w:val="20"/>
                          <w:szCs w:val="20"/>
                        </w:rPr>
                        <w:t>Ruuth</w:t>
                      </w:r>
                      <w:proofErr w:type="spellEnd"/>
                      <w:r>
                        <w:rPr>
                          <w:sz w:val="20"/>
                          <w:szCs w:val="20"/>
                        </w:rPr>
                        <w:t xml:space="preserve"> Hensley; Dewayne Hatcher; Amanda Timmons; Helene </w:t>
                      </w:r>
                      <w:proofErr w:type="spellStart"/>
                      <w:r>
                        <w:rPr>
                          <w:sz w:val="20"/>
                          <w:szCs w:val="20"/>
                        </w:rPr>
                        <w:t>Rimburg</w:t>
                      </w:r>
                      <w:proofErr w:type="spellEnd"/>
                      <w:r>
                        <w:rPr>
                          <w:sz w:val="20"/>
                          <w:szCs w:val="20"/>
                        </w:rPr>
                        <w:t xml:space="preserve">; </w:t>
                      </w:r>
                    </w:p>
                    <w:p w14:paraId="6B3334C8" w14:textId="36352894" w:rsidR="00445E3A" w:rsidRDefault="00445E3A" w:rsidP="003222D0">
                      <w:pPr>
                        <w:rPr>
                          <w:sz w:val="20"/>
                          <w:szCs w:val="20"/>
                        </w:rPr>
                      </w:pPr>
                      <w:r w:rsidRPr="00DD0545">
                        <w:rPr>
                          <w:b/>
                          <w:sz w:val="20"/>
                          <w:szCs w:val="20"/>
                        </w:rPr>
                        <w:t>CLHO:</w:t>
                      </w:r>
                      <w:r w:rsidRPr="00DD0545">
                        <w:rPr>
                          <w:sz w:val="20"/>
                          <w:szCs w:val="20"/>
                        </w:rPr>
                        <w:t xml:space="preserve"> Morgan Cowlin</w:t>
                      </w:r>
                      <w:r>
                        <w:rPr>
                          <w:sz w:val="20"/>
                          <w:szCs w:val="20"/>
                        </w:rPr>
                        <w:t>g</w:t>
                      </w:r>
                    </w:p>
                    <w:p w14:paraId="34964D84" w14:textId="2C13D1F9" w:rsidR="00445E3A" w:rsidRPr="005C449B" w:rsidRDefault="00445E3A">
                      <w:pPr>
                        <w:rPr>
                          <w:i/>
                          <w:sz w:val="22"/>
                          <w:szCs w:val="22"/>
                        </w:rPr>
                      </w:pPr>
                    </w:p>
                  </w:txbxContent>
                </v:textbox>
                <w10:wrap type="square"/>
              </v:shape>
            </w:pict>
          </mc:Fallback>
        </mc:AlternateContent>
      </w:r>
      <w:r w:rsidR="00FF6E4C" w:rsidRPr="008A6002">
        <w:rPr>
          <w:b/>
        </w:rPr>
        <w:t>Call in number: 877-</w:t>
      </w:r>
      <w:r w:rsidR="008A6002" w:rsidRPr="008A6002">
        <w:rPr>
          <w:rFonts w:eastAsia="Times New Roman" w:cs="Times New Roman"/>
          <w:b/>
          <w:color w:val="212121"/>
          <w:shd w:val="clear" w:color="auto" w:fill="FFFFFF"/>
        </w:rPr>
        <w:t xml:space="preserve"> 873-8017</w:t>
      </w:r>
      <w:r w:rsidR="008A6002">
        <w:rPr>
          <w:rFonts w:eastAsia="Times New Roman" w:cs="Times New Roman"/>
          <w:b/>
          <w:color w:val="212121"/>
          <w:shd w:val="clear" w:color="auto" w:fill="FFFFFF"/>
        </w:rPr>
        <w:t xml:space="preserve"> Code: 767068#</w:t>
      </w:r>
    </w:p>
    <w:tbl>
      <w:tblPr>
        <w:tblStyle w:val="TableGrid"/>
        <w:tblW w:w="9355" w:type="dxa"/>
        <w:tblInd w:w="-432"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143"/>
        <w:gridCol w:w="1571"/>
        <w:gridCol w:w="4641"/>
      </w:tblGrid>
      <w:tr w:rsidR="002B5AE4" w:rsidRPr="003A18FD" w14:paraId="5B77A962" w14:textId="77777777" w:rsidTr="002B5AE4">
        <w:trPr>
          <w:trHeight w:val="333"/>
        </w:trPr>
        <w:tc>
          <w:tcPr>
            <w:tcW w:w="3143" w:type="dxa"/>
          </w:tcPr>
          <w:p w14:paraId="21CCACA6" w14:textId="77777777" w:rsidR="002B5AE4" w:rsidRPr="003A18FD" w:rsidRDefault="002B5AE4" w:rsidP="00FF6E4C">
            <w:pPr>
              <w:rPr>
                <w:sz w:val="22"/>
                <w:szCs w:val="22"/>
              </w:rPr>
            </w:pPr>
            <w:r w:rsidRPr="003A18FD">
              <w:rPr>
                <w:sz w:val="22"/>
                <w:szCs w:val="22"/>
              </w:rPr>
              <w:t>Item</w:t>
            </w:r>
          </w:p>
        </w:tc>
        <w:tc>
          <w:tcPr>
            <w:tcW w:w="1571" w:type="dxa"/>
          </w:tcPr>
          <w:p w14:paraId="44082CED" w14:textId="77777777" w:rsidR="002B5AE4" w:rsidRPr="003A18FD" w:rsidRDefault="002B5AE4" w:rsidP="00FF6E4C">
            <w:pPr>
              <w:rPr>
                <w:sz w:val="22"/>
                <w:szCs w:val="22"/>
              </w:rPr>
            </w:pPr>
            <w:r w:rsidRPr="003A18FD">
              <w:rPr>
                <w:sz w:val="22"/>
                <w:szCs w:val="22"/>
              </w:rPr>
              <w:t>How</w:t>
            </w:r>
          </w:p>
        </w:tc>
        <w:tc>
          <w:tcPr>
            <w:tcW w:w="4641" w:type="dxa"/>
          </w:tcPr>
          <w:p w14:paraId="7306805F" w14:textId="4D1624E3" w:rsidR="002B5AE4" w:rsidRPr="003A18FD" w:rsidRDefault="002B5AE4" w:rsidP="00FF6E4C">
            <w:pPr>
              <w:rPr>
                <w:sz w:val="22"/>
                <w:szCs w:val="22"/>
              </w:rPr>
            </w:pPr>
            <w:r>
              <w:rPr>
                <w:sz w:val="22"/>
                <w:szCs w:val="22"/>
              </w:rPr>
              <w:t xml:space="preserve"> Discussion </w:t>
            </w:r>
          </w:p>
        </w:tc>
      </w:tr>
      <w:tr w:rsidR="002B5AE4" w:rsidRPr="003A18FD" w14:paraId="44BF77EE" w14:textId="77777777" w:rsidTr="002B5AE4">
        <w:trPr>
          <w:trHeight w:val="258"/>
        </w:trPr>
        <w:tc>
          <w:tcPr>
            <w:tcW w:w="3143" w:type="dxa"/>
          </w:tcPr>
          <w:p w14:paraId="18A9EB99" w14:textId="4BB4ED40" w:rsidR="002B5AE4" w:rsidRPr="003A18FD" w:rsidRDefault="002B5AE4" w:rsidP="00FF6E4C">
            <w:pPr>
              <w:rPr>
                <w:sz w:val="22"/>
                <w:szCs w:val="22"/>
              </w:rPr>
            </w:pPr>
            <w:r w:rsidRPr="003A18FD">
              <w:rPr>
                <w:sz w:val="22"/>
                <w:szCs w:val="22"/>
              </w:rPr>
              <w:t>Convene &amp; Introduce</w:t>
            </w:r>
          </w:p>
        </w:tc>
        <w:tc>
          <w:tcPr>
            <w:tcW w:w="1571" w:type="dxa"/>
          </w:tcPr>
          <w:p w14:paraId="49BFFBA3" w14:textId="77777777" w:rsidR="002B5AE4" w:rsidRPr="003A18FD" w:rsidRDefault="002B5AE4" w:rsidP="00FF6E4C">
            <w:pPr>
              <w:rPr>
                <w:sz w:val="22"/>
                <w:szCs w:val="22"/>
              </w:rPr>
            </w:pPr>
          </w:p>
        </w:tc>
        <w:tc>
          <w:tcPr>
            <w:tcW w:w="4641" w:type="dxa"/>
          </w:tcPr>
          <w:p w14:paraId="6996441A" w14:textId="7724716E" w:rsidR="002B5AE4" w:rsidRPr="003A18FD" w:rsidRDefault="002B5AE4" w:rsidP="00FF6E4C">
            <w:pPr>
              <w:rPr>
                <w:sz w:val="22"/>
                <w:szCs w:val="22"/>
              </w:rPr>
            </w:pPr>
          </w:p>
        </w:tc>
      </w:tr>
      <w:tr w:rsidR="002B5AE4" w:rsidRPr="003A18FD" w14:paraId="04F66ED5" w14:textId="77777777" w:rsidTr="002B5AE4">
        <w:trPr>
          <w:trHeight w:val="287"/>
        </w:trPr>
        <w:tc>
          <w:tcPr>
            <w:tcW w:w="3143" w:type="dxa"/>
          </w:tcPr>
          <w:p w14:paraId="0068C12D" w14:textId="77777777" w:rsidR="002B5AE4" w:rsidRPr="003A18FD" w:rsidRDefault="002B5AE4" w:rsidP="00FF6E4C">
            <w:pPr>
              <w:ind w:left="-360" w:firstLine="360"/>
              <w:rPr>
                <w:sz w:val="22"/>
                <w:szCs w:val="22"/>
              </w:rPr>
            </w:pPr>
            <w:r w:rsidRPr="003A18FD">
              <w:rPr>
                <w:sz w:val="22"/>
                <w:szCs w:val="22"/>
              </w:rPr>
              <w:t>Agenda</w:t>
            </w:r>
          </w:p>
        </w:tc>
        <w:tc>
          <w:tcPr>
            <w:tcW w:w="1571" w:type="dxa"/>
          </w:tcPr>
          <w:p w14:paraId="4DC79B69" w14:textId="77777777" w:rsidR="002B5AE4" w:rsidRPr="003A18FD" w:rsidRDefault="002B5AE4" w:rsidP="00FF6E4C">
            <w:pPr>
              <w:rPr>
                <w:sz w:val="22"/>
                <w:szCs w:val="22"/>
              </w:rPr>
            </w:pPr>
            <w:r w:rsidRPr="003A18FD">
              <w:rPr>
                <w:sz w:val="22"/>
                <w:szCs w:val="22"/>
              </w:rPr>
              <w:t>Review</w:t>
            </w:r>
          </w:p>
        </w:tc>
        <w:tc>
          <w:tcPr>
            <w:tcW w:w="4641" w:type="dxa"/>
          </w:tcPr>
          <w:p w14:paraId="0ACD6709" w14:textId="0A89A007" w:rsidR="002B5AE4" w:rsidRPr="003A18FD" w:rsidRDefault="002B5AE4" w:rsidP="00FF6E4C">
            <w:pPr>
              <w:ind w:right="-270"/>
              <w:rPr>
                <w:sz w:val="22"/>
                <w:szCs w:val="22"/>
              </w:rPr>
            </w:pPr>
          </w:p>
        </w:tc>
      </w:tr>
      <w:tr w:rsidR="002B5AE4" w:rsidRPr="003A18FD" w14:paraId="6DB8D95F" w14:textId="77777777" w:rsidTr="002B5AE4">
        <w:trPr>
          <w:trHeight w:val="332"/>
        </w:trPr>
        <w:tc>
          <w:tcPr>
            <w:tcW w:w="3143" w:type="dxa"/>
          </w:tcPr>
          <w:p w14:paraId="2A5EDE41" w14:textId="47C0D88C" w:rsidR="002B5AE4" w:rsidRPr="003A18FD" w:rsidRDefault="002B5AE4" w:rsidP="00FF6E4C">
            <w:pPr>
              <w:rPr>
                <w:sz w:val="22"/>
                <w:szCs w:val="22"/>
              </w:rPr>
            </w:pPr>
            <w:r>
              <w:rPr>
                <w:sz w:val="22"/>
                <w:szCs w:val="22"/>
              </w:rPr>
              <w:t xml:space="preserve">February </w:t>
            </w:r>
            <w:r w:rsidRPr="003A18FD">
              <w:rPr>
                <w:sz w:val="22"/>
                <w:szCs w:val="22"/>
              </w:rPr>
              <w:t>Minutes</w:t>
            </w:r>
          </w:p>
        </w:tc>
        <w:tc>
          <w:tcPr>
            <w:tcW w:w="1571" w:type="dxa"/>
          </w:tcPr>
          <w:p w14:paraId="14813583" w14:textId="150F9813" w:rsidR="002B5AE4" w:rsidRPr="003A18FD" w:rsidRDefault="002B5AE4" w:rsidP="00FF6E4C">
            <w:pPr>
              <w:rPr>
                <w:b/>
                <w:color w:val="FF0000"/>
                <w:sz w:val="22"/>
                <w:szCs w:val="22"/>
              </w:rPr>
            </w:pPr>
            <w:r w:rsidRPr="003A18FD">
              <w:rPr>
                <w:b/>
                <w:color w:val="FF0000"/>
                <w:sz w:val="22"/>
                <w:szCs w:val="22"/>
              </w:rPr>
              <w:t>APPROVE</w:t>
            </w:r>
          </w:p>
        </w:tc>
        <w:tc>
          <w:tcPr>
            <w:tcW w:w="4641" w:type="dxa"/>
          </w:tcPr>
          <w:p w14:paraId="4E10988B" w14:textId="1F183442" w:rsidR="002B5AE4" w:rsidRPr="003A18FD" w:rsidRDefault="002B5AE4" w:rsidP="00FF6E4C">
            <w:pPr>
              <w:rPr>
                <w:sz w:val="22"/>
                <w:szCs w:val="22"/>
              </w:rPr>
            </w:pPr>
          </w:p>
        </w:tc>
      </w:tr>
      <w:tr w:rsidR="002B5AE4" w:rsidRPr="003A18FD" w14:paraId="67B41F24" w14:textId="77777777" w:rsidTr="002B5AE4">
        <w:trPr>
          <w:trHeight w:val="440"/>
        </w:trPr>
        <w:tc>
          <w:tcPr>
            <w:tcW w:w="3143" w:type="dxa"/>
          </w:tcPr>
          <w:p w14:paraId="38890681" w14:textId="77777777" w:rsidR="002B5AE4" w:rsidRDefault="002B5AE4" w:rsidP="00093A82">
            <w:pPr>
              <w:rPr>
                <w:sz w:val="22"/>
                <w:szCs w:val="22"/>
              </w:rPr>
            </w:pPr>
            <w:r>
              <w:rPr>
                <w:sz w:val="22"/>
                <w:szCs w:val="22"/>
              </w:rPr>
              <w:t>Appointments</w:t>
            </w:r>
          </w:p>
          <w:p w14:paraId="7BCB4506" w14:textId="77777777" w:rsidR="002B5AE4" w:rsidRDefault="002B5AE4" w:rsidP="00093A82">
            <w:pPr>
              <w:rPr>
                <w:sz w:val="22"/>
                <w:szCs w:val="22"/>
              </w:rPr>
            </w:pPr>
          </w:p>
          <w:p w14:paraId="5A98B9A9" w14:textId="5A27C6E5" w:rsidR="002B5AE4" w:rsidRDefault="002B5AE4" w:rsidP="00093A82">
            <w:pPr>
              <w:rPr>
                <w:sz w:val="22"/>
                <w:szCs w:val="22"/>
              </w:rPr>
            </w:pPr>
          </w:p>
        </w:tc>
        <w:tc>
          <w:tcPr>
            <w:tcW w:w="1571" w:type="dxa"/>
          </w:tcPr>
          <w:p w14:paraId="30177711" w14:textId="2EFA9E8B" w:rsidR="002B5AE4" w:rsidRDefault="002B5AE4" w:rsidP="008A595D">
            <w:pPr>
              <w:rPr>
                <w:sz w:val="22"/>
                <w:szCs w:val="22"/>
              </w:rPr>
            </w:pPr>
            <w:r>
              <w:rPr>
                <w:sz w:val="22"/>
                <w:szCs w:val="22"/>
              </w:rPr>
              <w:t>Appoint</w:t>
            </w:r>
          </w:p>
        </w:tc>
        <w:tc>
          <w:tcPr>
            <w:tcW w:w="4641" w:type="dxa"/>
          </w:tcPr>
          <w:p w14:paraId="12F1F797" w14:textId="3CF94FB6" w:rsidR="002B5AE4" w:rsidRDefault="002B5AE4" w:rsidP="00F641FB">
            <w:pPr>
              <w:rPr>
                <w:sz w:val="22"/>
                <w:szCs w:val="22"/>
              </w:rPr>
            </w:pPr>
            <w:r>
              <w:rPr>
                <w:sz w:val="22"/>
                <w:szCs w:val="22"/>
              </w:rPr>
              <w:t>Tricia appoints Laurel Moses to the Prevention &amp; Health Promotion Committee</w:t>
            </w:r>
          </w:p>
        </w:tc>
      </w:tr>
      <w:tr w:rsidR="00734BDA" w:rsidRPr="003A18FD" w14:paraId="40C54896" w14:textId="77777777" w:rsidTr="00734BDA">
        <w:trPr>
          <w:trHeight w:val="692"/>
        </w:trPr>
        <w:tc>
          <w:tcPr>
            <w:tcW w:w="3143" w:type="dxa"/>
          </w:tcPr>
          <w:p w14:paraId="6538E0B4" w14:textId="5B06D036" w:rsidR="00734BDA" w:rsidRDefault="00734BDA" w:rsidP="00671EDC">
            <w:pPr>
              <w:rPr>
                <w:sz w:val="22"/>
                <w:szCs w:val="22"/>
              </w:rPr>
            </w:pPr>
            <w:r>
              <w:rPr>
                <w:sz w:val="22"/>
                <w:szCs w:val="22"/>
              </w:rPr>
              <w:t>CLHO Emergency Preparedness &amp; Response Rec: PE 12 - PHEP</w:t>
            </w:r>
          </w:p>
        </w:tc>
        <w:tc>
          <w:tcPr>
            <w:tcW w:w="1571" w:type="dxa"/>
          </w:tcPr>
          <w:p w14:paraId="5211528D" w14:textId="268BA1C6" w:rsidR="00734BDA" w:rsidRDefault="00734BDA" w:rsidP="008A595D">
            <w:pPr>
              <w:rPr>
                <w:sz w:val="22"/>
                <w:szCs w:val="22"/>
              </w:rPr>
            </w:pPr>
            <w:r>
              <w:rPr>
                <w:sz w:val="22"/>
                <w:szCs w:val="22"/>
              </w:rPr>
              <w:t xml:space="preserve">Discuss &amp; </w:t>
            </w:r>
            <w:r w:rsidRPr="00F93229">
              <w:rPr>
                <w:b/>
                <w:color w:val="FF0000"/>
                <w:sz w:val="22"/>
                <w:szCs w:val="22"/>
              </w:rPr>
              <w:t>APPROVE</w:t>
            </w:r>
          </w:p>
        </w:tc>
        <w:tc>
          <w:tcPr>
            <w:tcW w:w="4641" w:type="dxa"/>
          </w:tcPr>
          <w:p w14:paraId="77B519FD" w14:textId="77777777" w:rsidR="00734BDA" w:rsidRDefault="00734BDA" w:rsidP="00F641FB">
            <w:pPr>
              <w:rPr>
                <w:sz w:val="22"/>
                <w:szCs w:val="22"/>
              </w:rPr>
            </w:pPr>
            <w:r>
              <w:rPr>
                <w:sz w:val="22"/>
                <w:szCs w:val="22"/>
              </w:rPr>
              <w:t xml:space="preserve">CLHO Emergency Preparedness committee recommends </w:t>
            </w:r>
            <w:proofErr w:type="gramStart"/>
            <w:r>
              <w:rPr>
                <w:sz w:val="22"/>
                <w:szCs w:val="22"/>
              </w:rPr>
              <w:t>to accept</w:t>
            </w:r>
            <w:proofErr w:type="gramEnd"/>
            <w:r>
              <w:rPr>
                <w:sz w:val="22"/>
                <w:szCs w:val="22"/>
              </w:rPr>
              <w:t xml:space="preserve"> the changes to the Program Element.  There w</w:t>
            </w:r>
            <w:r w:rsidR="00CC20C9">
              <w:rPr>
                <w:sz w:val="22"/>
                <w:szCs w:val="22"/>
              </w:rPr>
              <w:t xml:space="preserve">as a limited discussion of the new Modernization table.  This is the first Foundational Capability that has spanned all of the programmatic areas. </w:t>
            </w:r>
          </w:p>
          <w:p w14:paraId="79B3034E" w14:textId="77777777" w:rsidR="00CC20C9" w:rsidRDefault="00CC20C9" w:rsidP="00F641FB">
            <w:pPr>
              <w:rPr>
                <w:sz w:val="22"/>
                <w:szCs w:val="22"/>
              </w:rPr>
            </w:pPr>
          </w:p>
          <w:p w14:paraId="575B939D" w14:textId="77777777" w:rsidR="00CC20C9" w:rsidRDefault="00CC20C9" w:rsidP="00C455DC">
            <w:pPr>
              <w:rPr>
                <w:sz w:val="22"/>
                <w:szCs w:val="22"/>
              </w:rPr>
            </w:pPr>
            <w:r>
              <w:rPr>
                <w:sz w:val="22"/>
                <w:szCs w:val="22"/>
              </w:rPr>
              <w:t xml:space="preserve">There was a friendly amendment to the CLHO Emergency Preparedness recommendation to add </w:t>
            </w:r>
            <w:r w:rsidR="00C455DC">
              <w:rPr>
                <w:sz w:val="22"/>
                <w:szCs w:val="22"/>
              </w:rPr>
              <w:t xml:space="preserve">clarifying language in 4(b) to add language “that exceed $5,000” to make the section consistent with other parts of the Program Element. </w:t>
            </w:r>
          </w:p>
          <w:p w14:paraId="3E2C6160" w14:textId="77777777" w:rsidR="00C455DC" w:rsidRDefault="00C455DC" w:rsidP="00C455DC">
            <w:pPr>
              <w:rPr>
                <w:sz w:val="22"/>
                <w:szCs w:val="22"/>
              </w:rPr>
            </w:pPr>
          </w:p>
          <w:p w14:paraId="7F367C67" w14:textId="77777777" w:rsidR="00C455DC" w:rsidRDefault="00C455DC" w:rsidP="00C455DC">
            <w:pPr>
              <w:rPr>
                <w:sz w:val="22"/>
                <w:szCs w:val="22"/>
              </w:rPr>
            </w:pPr>
            <w:r>
              <w:rPr>
                <w:sz w:val="22"/>
                <w:szCs w:val="22"/>
              </w:rPr>
              <w:t>There were additional questions about how the programs do analysis on changing program requirements</w:t>
            </w:r>
            <w:r w:rsidR="00B02FFA">
              <w:rPr>
                <w:sz w:val="22"/>
                <w:szCs w:val="22"/>
              </w:rPr>
              <w:t xml:space="preserve"> and how that affects the work done on the ground. We asked to table this conversation for later when we discuss </w:t>
            </w:r>
            <w:r w:rsidR="00B02FFA">
              <w:rPr>
                <w:sz w:val="22"/>
                <w:szCs w:val="22"/>
              </w:rPr>
              <w:lastRenderedPageBreak/>
              <w:t xml:space="preserve">“funding principles.”  </w:t>
            </w:r>
          </w:p>
          <w:p w14:paraId="49F06F68" w14:textId="77777777" w:rsidR="00B02FFA" w:rsidRDefault="00B02FFA" w:rsidP="00C455DC">
            <w:pPr>
              <w:rPr>
                <w:sz w:val="22"/>
                <w:szCs w:val="22"/>
              </w:rPr>
            </w:pPr>
          </w:p>
          <w:p w14:paraId="0325D559" w14:textId="77777777" w:rsidR="00B02FFA" w:rsidRDefault="00B02FFA" w:rsidP="00C455DC">
            <w:pPr>
              <w:rPr>
                <w:sz w:val="22"/>
                <w:szCs w:val="22"/>
              </w:rPr>
            </w:pPr>
            <w:r>
              <w:rPr>
                <w:sz w:val="22"/>
                <w:szCs w:val="22"/>
              </w:rPr>
              <w:t xml:space="preserve">In-kind tracking was another issue that was brought up and Collette said that she would do follow-up on what the federal requirements are around tracking in-kind. </w:t>
            </w:r>
          </w:p>
          <w:p w14:paraId="2575FBA6" w14:textId="77777777" w:rsidR="00B02FFA" w:rsidRDefault="00B02FFA" w:rsidP="00C455DC">
            <w:pPr>
              <w:rPr>
                <w:sz w:val="22"/>
                <w:szCs w:val="22"/>
              </w:rPr>
            </w:pPr>
          </w:p>
          <w:p w14:paraId="6E7EE655" w14:textId="5BCCA6EF" w:rsidR="00B02FFA" w:rsidRPr="00B02FFA" w:rsidRDefault="00B02FFA" w:rsidP="00C455DC">
            <w:pPr>
              <w:rPr>
                <w:b/>
                <w:sz w:val="22"/>
                <w:szCs w:val="22"/>
              </w:rPr>
            </w:pPr>
            <w:r w:rsidRPr="00B02FFA">
              <w:rPr>
                <w:b/>
                <w:sz w:val="22"/>
                <w:szCs w:val="22"/>
              </w:rPr>
              <w:t>CLHO Preparedness recommendation to support the new Program Element.</w:t>
            </w:r>
          </w:p>
          <w:p w14:paraId="552D09E5" w14:textId="77777777" w:rsidR="00B02FFA" w:rsidRDefault="00B02FFA" w:rsidP="00C455DC">
            <w:pPr>
              <w:rPr>
                <w:sz w:val="22"/>
                <w:szCs w:val="22"/>
              </w:rPr>
            </w:pPr>
            <w:r>
              <w:rPr>
                <w:sz w:val="22"/>
                <w:szCs w:val="22"/>
              </w:rPr>
              <w:t xml:space="preserve">Tricia called for the vote with the friendly amendment to make the $5,000 language consistent.  </w:t>
            </w:r>
            <w:r w:rsidRPr="00B02FFA">
              <w:rPr>
                <w:b/>
                <w:sz w:val="22"/>
                <w:szCs w:val="22"/>
              </w:rPr>
              <w:t>All in Favor, No opposed, No abstentions.</w:t>
            </w:r>
            <w:r>
              <w:rPr>
                <w:sz w:val="22"/>
                <w:szCs w:val="22"/>
              </w:rPr>
              <w:t xml:space="preserve"> </w:t>
            </w:r>
          </w:p>
          <w:p w14:paraId="3BE185AF" w14:textId="77777777" w:rsidR="00B02FFA" w:rsidRDefault="00B02FFA" w:rsidP="00C455DC">
            <w:pPr>
              <w:rPr>
                <w:sz w:val="22"/>
                <w:szCs w:val="22"/>
              </w:rPr>
            </w:pPr>
          </w:p>
          <w:p w14:paraId="0500F590" w14:textId="38A3EC31" w:rsidR="00B02FFA" w:rsidRDefault="00B02FFA" w:rsidP="00C455DC">
            <w:pPr>
              <w:rPr>
                <w:sz w:val="22"/>
                <w:szCs w:val="22"/>
              </w:rPr>
            </w:pPr>
            <w:r>
              <w:rPr>
                <w:sz w:val="22"/>
                <w:szCs w:val="22"/>
              </w:rPr>
              <w:t xml:space="preserve">Emily reviewed the budgets that were provided including an overview of how the decisions were made. Since there weren’t any changes to the funding formula there wasn’t a need for Board action on the budget. </w:t>
            </w:r>
          </w:p>
          <w:p w14:paraId="03A8F656" w14:textId="77777777" w:rsidR="00B02FFA" w:rsidRDefault="00B02FFA" w:rsidP="00C455DC">
            <w:pPr>
              <w:rPr>
                <w:sz w:val="22"/>
                <w:szCs w:val="22"/>
              </w:rPr>
            </w:pPr>
          </w:p>
          <w:p w14:paraId="78071EDE" w14:textId="6B3B9BE9" w:rsidR="00B02FFA" w:rsidRDefault="00B02FFA" w:rsidP="00C455DC">
            <w:pPr>
              <w:rPr>
                <w:sz w:val="22"/>
                <w:szCs w:val="22"/>
              </w:rPr>
            </w:pPr>
            <w:r>
              <w:rPr>
                <w:sz w:val="22"/>
                <w:szCs w:val="22"/>
              </w:rPr>
              <w:t xml:space="preserve">There was action needed on the letter of concurrence supporting the Federal Funding application.  </w:t>
            </w:r>
            <w:r w:rsidRPr="00B02FFA">
              <w:rPr>
                <w:b/>
                <w:sz w:val="22"/>
                <w:szCs w:val="22"/>
              </w:rPr>
              <w:t xml:space="preserve">Bob </w:t>
            </w:r>
            <w:proofErr w:type="spellStart"/>
            <w:r w:rsidRPr="00B02FFA">
              <w:rPr>
                <w:b/>
                <w:sz w:val="22"/>
                <w:szCs w:val="22"/>
              </w:rPr>
              <w:t>Dannenhofer</w:t>
            </w:r>
            <w:proofErr w:type="spellEnd"/>
            <w:r w:rsidRPr="00B02FFA">
              <w:rPr>
                <w:b/>
                <w:sz w:val="22"/>
                <w:szCs w:val="22"/>
              </w:rPr>
              <w:t xml:space="preserve"> moved to support the </w:t>
            </w:r>
            <w:r>
              <w:rPr>
                <w:b/>
                <w:sz w:val="22"/>
                <w:szCs w:val="22"/>
              </w:rPr>
              <w:t xml:space="preserve">Preparedness </w:t>
            </w:r>
            <w:r w:rsidRPr="00B02FFA">
              <w:rPr>
                <w:b/>
                <w:sz w:val="22"/>
                <w:szCs w:val="22"/>
              </w:rPr>
              <w:t>letter</w:t>
            </w:r>
            <w:r>
              <w:rPr>
                <w:b/>
                <w:sz w:val="22"/>
                <w:szCs w:val="22"/>
              </w:rPr>
              <w:t xml:space="preserve"> of Concurrence</w:t>
            </w:r>
            <w:r w:rsidRPr="00B02FFA">
              <w:rPr>
                <w:b/>
                <w:sz w:val="22"/>
                <w:szCs w:val="22"/>
              </w:rPr>
              <w:t>, Muriel 2</w:t>
            </w:r>
            <w:r w:rsidRPr="00B02FFA">
              <w:rPr>
                <w:b/>
                <w:sz w:val="22"/>
                <w:szCs w:val="22"/>
                <w:vertAlign w:val="superscript"/>
              </w:rPr>
              <w:t>nd</w:t>
            </w:r>
            <w:r w:rsidRPr="00B02FFA">
              <w:rPr>
                <w:b/>
                <w:sz w:val="22"/>
                <w:szCs w:val="22"/>
              </w:rPr>
              <w:t xml:space="preserve"> the motion.  There was no additional discussion. All in Favor, No opposed, No abstentions. </w:t>
            </w:r>
          </w:p>
          <w:p w14:paraId="67263B7E" w14:textId="55D26F34" w:rsidR="00B02FFA" w:rsidRDefault="00B02FFA" w:rsidP="00C455DC">
            <w:pPr>
              <w:rPr>
                <w:sz w:val="22"/>
                <w:szCs w:val="22"/>
              </w:rPr>
            </w:pPr>
          </w:p>
        </w:tc>
      </w:tr>
      <w:tr w:rsidR="00C455DC" w:rsidRPr="003A18FD" w14:paraId="74E9A582" w14:textId="77777777" w:rsidTr="00C455DC">
        <w:trPr>
          <w:trHeight w:val="656"/>
        </w:trPr>
        <w:tc>
          <w:tcPr>
            <w:tcW w:w="3143" w:type="dxa"/>
          </w:tcPr>
          <w:p w14:paraId="1D95BD6D" w14:textId="4712B70E" w:rsidR="00C455DC" w:rsidRPr="008C7C7E" w:rsidRDefault="00C455DC" w:rsidP="00671EDC">
            <w:pPr>
              <w:rPr>
                <w:sz w:val="22"/>
                <w:szCs w:val="22"/>
              </w:rPr>
            </w:pPr>
            <w:r>
              <w:rPr>
                <w:sz w:val="22"/>
                <w:szCs w:val="22"/>
              </w:rPr>
              <w:lastRenderedPageBreak/>
              <w:t>CLHO Communicable Disease Rec: PE 7 - HIV</w:t>
            </w:r>
          </w:p>
        </w:tc>
        <w:tc>
          <w:tcPr>
            <w:tcW w:w="1571" w:type="dxa"/>
          </w:tcPr>
          <w:p w14:paraId="1490C0B0" w14:textId="41DF279F" w:rsidR="00C455DC" w:rsidRPr="008C7C7E" w:rsidRDefault="00C455DC" w:rsidP="009B0402">
            <w:pPr>
              <w:rPr>
                <w:sz w:val="22"/>
                <w:szCs w:val="22"/>
              </w:rPr>
            </w:pPr>
            <w:r>
              <w:rPr>
                <w:sz w:val="22"/>
                <w:szCs w:val="22"/>
              </w:rPr>
              <w:t xml:space="preserve">Discuss &amp; </w:t>
            </w:r>
            <w:r w:rsidRPr="00F93229">
              <w:rPr>
                <w:b/>
                <w:color w:val="FF0000"/>
                <w:sz w:val="22"/>
                <w:szCs w:val="22"/>
              </w:rPr>
              <w:t>APPROVE</w:t>
            </w:r>
          </w:p>
        </w:tc>
        <w:tc>
          <w:tcPr>
            <w:tcW w:w="4641" w:type="dxa"/>
          </w:tcPr>
          <w:p w14:paraId="15624C65" w14:textId="77777777" w:rsidR="00C455DC" w:rsidRDefault="00B02FFA" w:rsidP="00567412">
            <w:pPr>
              <w:rPr>
                <w:sz w:val="22"/>
                <w:szCs w:val="22"/>
              </w:rPr>
            </w:pPr>
            <w:r>
              <w:rPr>
                <w:sz w:val="22"/>
                <w:szCs w:val="22"/>
              </w:rPr>
              <w:t xml:space="preserve">Jackson opened saying that the CLHO Communicable Disease committee supported changes to PE 7, HIV. Ruth </w:t>
            </w:r>
            <w:proofErr w:type="spellStart"/>
            <w:r>
              <w:rPr>
                <w:sz w:val="22"/>
                <w:szCs w:val="22"/>
              </w:rPr>
              <w:t>Helsley</w:t>
            </w:r>
            <w:proofErr w:type="spellEnd"/>
            <w:r>
              <w:rPr>
                <w:sz w:val="22"/>
                <w:szCs w:val="22"/>
              </w:rPr>
              <w:t xml:space="preserve">, from the program was there to review the major areas of change without going through the whole PE.  Here are some of the changes: </w:t>
            </w:r>
          </w:p>
          <w:p w14:paraId="561860F0" w14:textId="77777777" w:rsidR="00B02FFA" w:rsidRDefault="00B02FFA" w:rsidP="00B02FFA">
            <w:pPr>
              <w:pStyle w:val="ListParagraph"/>
              <w:numPr>
                <w:ilvl w:val="0"/>
                <w:numId w:val="14"/>
              </w:numPr>
              <w:rPr>
                <w:sz w:val="22"/>
                <w:szCs w:val="22"/>
              </w:rPr>
            </w:pPr>
            <w:r>
              <w:rPr>
                <w:sz w:val="22"/>
                <w:szCs w:val="22"/>
              </w:rPr>
              <w:t xml:space="preserve">ID people at risk for HIV </w:t>
            </w:r>
          </w:p>
          <w:p w14:paraId="75570E3E" w14:textId="77777777" w:rsidR="00B02FFA" w:rsidRDefault="00B02FFA" w:rsidP="00B02FFA">
            <w:pPr>
              <w:pStyle w:val="ListParagraph"/>
              <w:numPr>
                <w:ilvl w:val="0"/>
                <w:numId w:val="14"/>
              </w:numPr>
              <w:rPr>
                <w:sz w:val="22"/>
                <w:szCs w:val="22"/>
              </w:rPr>
            </w:pPr>
            <w:r>
              <w:rPr>
                <w:sz w:val="22"/>
                <w:szCs w:val="22"/>
              </w:rPr>
              <w:t xml:space="preserve">Prevention </w:t>
            </w:r>
          </w:p>
          <w:p w14:paraId="6206C557" w14:textId="77777777" w:rsidR="00B02FFA" w:rsidRDefault="00B02FFA" w:rsidP="00B02FFA">
            <w:pPr>
              <w:pStyle w:val="ListParagraph"/>
              <w:numPr>
                <w:ilvl w:val="0"/>
                <w:numId w:val="14"/>
              </w:numPr>
              <w:rPr>
                <w:sz w:val="22"/>
                <w:szCs w:val="22"/>
              </w:rPr>
            </w:pPr>
            <w:r>
              <w:rPr>
                <w:sz w:val="22"/>
                <w:szCs w:val="22"/>
              </w:rPr>
              <w:t>Increase in testifying for those at-risk</w:t>
            </w:r>
          </w:p>
          <w:p w14:paraId="5A625F2D" w14:textId="77777777" w:rsidR="00B02FFA" w:rsidRDefault="00B02FFA" w:rsidP="00B02FFA">
            <w:pPr>
              <w:pStyle w:val="ListParagraph"/>
              <w:numPr>
                <w:ilvl w:val="0"/>
                <w:numId w:val="14"/>
              </w:numPr>
              <w:rPr>
                <w:sz w:val="22"/>
                <w:szCs w:val="22"/>
              </w:rPr>
            </w:pPr>
            <w:r>
              <w:rPr>
                <w:sz w:val="22"/>
                <w:szCs w:val="22"/>
              </w:rPr>
              <w:t>Outcome driven</w:t>
            </w:r>
          </w:p>
          <w:p w14:paraId="6BE551F7" w14:textId="77777777" w:rsidR="00B02FFA" w:rsidRDefault="00B02FFA" w:rsidP="00B02FFA">
            <w:pPr>
              <w:pStyle w:val="ListParagraph"/>
              <w:numPr>
                <w:ilvl w:val="0"/>
                <w:numId w:val="14"/>
              </w:numPr>
              <w:rPr>
                <w:sz w:val="22"/>
                <w:szCs w:val="22"/>
              </w:rPr>
            </w:pPr>
            <w:r>
              <w:rPr>
                <w:sz w:val="22"/>
                <w:szCs w:val="22"/>
              </w:rPr>
              <w:t>Wrap-around care for STIs</w:t>
            </w:r>
          </w:p>
          <w:p w14:paraId="5AE0FB91" w14:textId="77777777" w:rsidR="00B02FFA" w:rsidRDefault="00B02FFA" w:rsidP="00B02FFA">
            <w:pPr>
              <w:pStyle w:val="ListParagraph"/>
              <w:numPr>
                <w:ilvl w:val="0"/>
                <w:numId w:val="14"/>
              </w:numPr>
              <w:rPr>
                <w:sz w:val="22"/>
                <w:szCs w:val="22"/>
              </w:rPr>
            </w:pPr>
            <w:r>
              <w:rPr>
                <w:sz w:val="22"/>
                <w:szCs w:val="22"/>
              </w:rPr>
              <w:t>PREP is required</w:t>
            </w:r>
          </w:p>
          <w:p w14:paraId="08D4F01E" w14:textId="77777777" w:rsidR="00B02FFA" w:rsidRDefault="00B02FFA" w:rsidP="00B02FFA">
            <w:pPr>
              <w:pStyle w:val="ListParagraph"/>
              <w:numPr>
                <w:ilvl w:val="0"/>
                <w:numId w:val="14"/>
              </w:numPr>
              <w:rPr>
                <w:sz w:val="22"/>
                <w:szCs w:val="22"/>
              </w:rPr>
            </w:pPr>
            <w:r>
              <w:rPr>
                <w:sz w:val="22"/>
                <w:szCs w:val="22"/>
              </w:rPr>
              <w:t>Option strategies, supplies okay</w:t>
            </w:r>
          </w:p>
          <w:p w14:paraId="14709B1C" w14:textId="77777777" w:rsidR="00B02FFA" w:rsidRDefault="00B02FFA" w:rsidP="00B02FFA">
            <w:pPr>
              <w:rPr>
                <w:sz w:val="22"/>
                <w:szCs w:val="22"/>
              </w:rPr>
            </w:pPr>
          </w:p>
          <w:p w14:paraId="09B80D7A" w14:textId="46BB7B73" w:rsidR="00B02FFA" w:rsidRPr="00B02FFA" w:rsidRDefault="004A346F" w:rsidP="00B02FFA">
            <w:pPr>
              <w:rPr>
                <w:b/>
                <w:sz w:val="22"/>
                <w:szCs w:val="22"/>
              </w:rPr>
            </w:pPr>
            <w:r>
              <w:rPr>
                <w:b/>
                <w:sz w:val="22"/>
                <w:szCs w:val="22"/>
              </w:rPr>
              <w:t xml:space="preserve">CLHO CD </w:t>
            </w:r>
            <w:r w:rsidR="00B02FFA" w:rsidRPr="00B02FFA">
              <w:rPr>
                <w:b/>
                <w:sz w:val="22"/>
                <w:szCs w:val="22"/>
              </w:rPr>
              <w:t xml:space="preserve">Committee recommended supporting the PE and Teri </w:t>
            </w:r>
            <w:proofErr w:type="spellStart"/>
            <w:r w:rsidR="00B02FFA" w:rsidRPr="00B02FFA">
              <w:rPr>
                <w:b/>
                <w:sz w:val="22"/>
                <w:szCs w:val="22"/>
              </w:rPr>
              <w:t>Thalhofer</w:t>
            </w:r>
            <w:proofErr w:type="spellEnd"/>
            <w:r w:rsidR="00B02FFA" w:rsidRPr="00B02FFA">
              <w:rPr>
                <w:b/>
                <w:sz w:val="22"/>
                <w:szCs w:val="22"/>
              </w:rPr>
              <w:t xml:space="preserve"> 2</w:t>
            </w:r>
            <w:r w:rsidR="00B02FFA" w:rsidRPr="00B02FFA">
              <w:rPr>
                <w:b/>
                <w:sz w:val="22"/>
                <w:szCs w:val="22"/>
                <w:vertAlign w:val="superscript"/>
              </w:rPr>
              <w:t>nd</w:t>
            </w:r>
            <w:r w:rsidR="00B02FFA" w:rsidRPr="00B02FFA">
              <w:rPr>
                <w:b/>
                <w:sz w:val="22"/>
                <w:szCs w:val="22"/>
              </w:rPr>
              <w:t xml:space="preserve">.  No additional discussion. All in Favor. No Opposition, No Abstentions. </w:t>
            </w:r>
          </w:p>
        </w:tc>
      </w:tr>
      <w:tr w:rsidR="00C455DC" w:rsidRPr="003A18FD" w14:paraId="1221D177" w14:textId="77777777" w:rsidTr="00C455DC">
        <w:trPr>
          <w:trHeight w:val="584"/>
        </w:trPr>
        <w:tc>
          <w:tcPr>
            <w:tcW w:w="3143" w:type="dxa"/>
          </w:tcPr>
          <w:p w14:paraId="3620559C" w14:textId="041FE0D1" w:rsidR="00C455DC" w:rsidRPr="008C7C7E" w:rsidRDefault="00C455DC" w:rsidP="00671EDC">
            <w:pPr>
              <w:rPr>
                <w:sz w:val="22"/>
                <w:szCs w:val="22"/>
              </w:rPr>
            </w:pPr>
            <w:r>
              <w:rPr>
                <w:sz w:val="22"/>
                <w:szCs w:val="22"/>
              </w:rPr>
              <w:t xml:space="preserve">CLHO Communicable Disease: PE 43 - Immunizations </w:t>
            </w:r>
          </w:p>
        </w:tc>
        <w:tc>
          <w:tcPr>
            <w:tcW w:w="1571" w:type="dxa"/>
          </w:tcPr>
          <w:p w14:paraId="1181129A" w14:textId="5E360CA5" w:rsidR="00C455DC" w:rsidRPr="008C7C7E" w:rsidRDefault="00C455DC" w:rsidP="00AF3CA3">
            <w:pPr>
              <w:rPr>
                <w:sz w:val="22"/>
                <w:szCs w:val="22"/>
              </w:rPr>
            </w:pPr>
            <w:r>
              <w:rPr>
                <w:sz w:val="22"/>
                <w:szCs w:val="22"/>
              </w:rPr>
              <w:t xml:space="preserve">Discuss &amp; </w:t>
            </w:r>
            <w:r w:rsidRPr="00F93229">
              <w:rPr>
                <w:b/>
                <w:color w:val="FF0000"/>
                <w:sz w:val="22"/>
                <w:szCs w:val="22"/>
              </w:rPr>
              <w:t>APPROVE</w:t>
            </w:r>
          </w:p>
        </w:tc>
        <w:tc>
          <w:tcPr>
            <w:tcW w:w="4641" w:type="dxa"/>
          </w:tcPr>
          <w:p w14:paraId="65472724" w14:textId="77777777" w:rsidR="00C455DC" w:rsidRDefault="004A346F" w:rsidP="00AF3CA3">
            <w:pPr>
              <w:rPr>
                <w:sz w:val="22"/>
                <w:szCs w:val="22"/>
              </w:rPr>
            </w:pPr>
            <w:r>
              <w:rPr>
                <w:sz w:val="22"/>
                <w:szCs w:val="22"/>
              </w:rPr>
              <w:t xml:space="preserve">Jackson, representing CLHO CD Committee reminded the Board that this is the second time this PE has come before the Board.  Amanda Timmons reviewed the major changes since the last Board meeting. </w:t>
            </w:r>
          </w:p>
          <w:p w14:paraId="54E8288B" w14:textId="77777777" w:rsidR="004A346F" w:rsidRDefault="004A346F" w:rsidP="004A346F">
            <w:pPr>
              <w:pStyle w:val="ListParagraph"/>
              <w:numPr>
                <w:ilvl w:val="0"/>
                <w:numId w:val="15"/>
              </w:numPr>
              <w:rPr>
                <w:sz w:val="22"/>
                <w:szCs w:val="22"/>
              </w:rPr>
            </w:pPr>
            <w:r>
              <w:rPr>
                <w:sz w:val="22"/>
                <w:szCs w:val="22"/>
              </w:rPr>
              <w:t>AFIX visits as reported I PEAR (</w:t>
            </w:r>
            <w:proofErr w:type="spellStart"/>
            <w:r>
              <w:rPr>
                <w:sz w:val="22"/>
                <w:szCs w:val="22"/>
              </w:rPr>
              <w:t>sp</w:t>
            </w:r>
            <w:proofErr w:type="spellEnd"/>
            <w:r>
              <w:rPr>
                <w:sz w:val="22"/>
                <w:szCs w:val="22"/>
              </w:rPr>
              <w:t>?)</w:t>
            </w:r>
          </w:p>
          <w:p w14:paraId="2E4BEB5C" w14:textId="77777777" w:rsidR="004A346F" w:rsidRDefault="004A346F" w:rsidP="004A346F">
            <w:pPr>
              <w:pStyle w:val="ListParagraph"/>
              <w:numPr>
                <w:ilvl w:val="0"/>
                <w:numId w:val="15"/>
              </w:numPr>
              <w:rPr>
                <w:sz w:val="22"/>
                <w:szCs w:val="22"/>
              </w:rPr>
            </w:pPr>
            <w:r>
              <w:rPr>
                <w:sz w:val="22"/>
                <w:szCs w:val="22"/>
              </w:rPr>
              <w:t>Baseline/ target process measure towards.  Still working on creating the baselines for each LPHA</w:t>
            </w:r>
          </w:p>
          <w:p w14:paraId="0137FB48" w14:textId="77777777" w:rsidR="004A346F" w:rsidRDefault="004A346F" w:rsidP="004A346F">
            <w:pPr>
              <w:rPr>
                <w:sz w:val="22"/>
                <w:szCs w:val="22"/>
              </w:rPr>
            </w:pPr>
          </w:p>
          <w:p w14:paraId="3BF71D0A" w14:textId="152D6C3E" w:rsidR="004A346F" w:rsidRPr="004A346F" w:rsidRDefault="004A346F" w:rsidP="004A346F">
            <w:pPr>
              <w:rPr>
                <w:sz w:val="22"/>
                <w:szCs w:val="22"/>
              </w:rPr>
            </w:pPr>
            <w:r>
              <w:rPr>
                <w:sz w:val="22"/>
                <w:szCs w:val="22"/>
              </w:rPr>
              <w:t xml:space="preserve">CLHO CD Committee recommended supporting the PE 43 and Teri </w:t>
            </w:r>
            <w:proofErr w:type="spellStart"/>
            <w:r>
              <w:rPr>
                <w:sz w:val="22"/>
                <w:szCs w:val="22"/>
              </w:rPr>
              <w:t>Thalhofer</w:t>
            </w:r>
            <w:proofErr w:type="spellEnd"/>
            <w:r>
              <w:rPr>
                <w:sz w:val="22"/>
                <w:szCs w:val="22"/>
              </w:rPr>
              <w:t xml:space="preserve"> 2</w:t>
            </w:r>
            <w:r w:rsidRPr="004A346F">
              <w:rPr>
                <w:sz w:val="22"/>
                <w:szCs w:val="22"/>
                <w:vertAlign w:val="superscript"/>
              </w:rPr>
              <w:t>nd</w:t>
            </w:r>
            <w:r>
              <w:rPr>
                <w:sz w:val="22"/>
                <w:szCs w:val="22"/>
              </w:rPr>
              <w:t xml:space="preserve">. No additional discussion. All in Favor. No Opposition, No Abstentions. </w:t>
            </w:r>
          </w:p>
        </w:tc>
      </w:tr>
      <w:tr w:rsidR="00C455DC" w:rsidRPr="003A18FD" w14:paraId="6280AA40" w14:textId="77777777" w:rsidTr="00C455DC">
        <w:trPr>
          <w:trHeight w:val="534"/>
        </w:trPr>
        <w:tc>
          <w:tcPr>
            <w:tcW w:w="3143" w:type="dxa"/>
          </w:tcPr>
          <w:p w14:paraId="18438F02" w14:textId="0A9E4BB0" w:rsidR="00C455DC" w:rsidRDefault="00C455DC" w:rsidP="00A84008">
            <w:pPr>
              <w:rPr>
                <w:sz w:val="22"/>
                <w:szCs w:val="22"/>
              </w:rPr>
            </w:pPr>
            <w:r>
              <w:rPr>
                <w:sz w:val="22"/>
                <w:szCs w:val="22"/>
              </w:rPr>
              <w:t>ALERT I</w:t>
            </w:r>
            <w:r w:rsidR="004A346F">
              <w:rPr>
                <w:sz w:val="22"/>
                <w:szCs w:val="22"/>
              </w:rPr>
              <w:t>I</w:t>
            </w:r>
            <w:r>
              <w:rPr>
                <w:sz w:val="22"/>
                <w:szCs w:val="22"/>
              </w:rPr>
              <w:t>S Update</w:t>
            </w:r>
          </w:p>
        </w:tc>
        <w:tc>
          <w:tcPr>
            <w:tcW w:w="1571" w:type="dxa"/>
          </w:tcPr>
          <w:p w14:paraId="72D1ECC1" w14:textId="2872031C" w:rsidR="00C455DC" w:rsidRPr="008C7C7E" w:rsidRDefault="00C455DC" w:rsidP="00671EDC">
            <w:pPr>
              <w:rPr>
                <w:sz w:val="22"/>
                <w:szCs w:val="22"/>
              </w:rPr>
            </w:pPr>
            <w:r>
              <w:rPr>
                <w:sz w:val="22"/>
                <w:szCs w:val="22"/>
              </w:rPr>
              <w:t>Update</w:t>
            </w:r>
          </w:p>
        </w:tc>
        <w:tc>
          <w:tcPr>
            <w:tcW w:w="4641" w:type="dxa"/>
          </w:tcPr>
          <w:p w14:paraId="695E521A" w14:textId="6BCBB511" w:rsidR="00C455DC" w:rsidRDefault="004A346F" w:rsidP="00FF6E4C">
            <w:pPr>
              <w:rPr>
                <w:sz w:val="22"/>
                <w:szCs w:val="22"/>
              </w:rPr>
            </w:pPr>
            <w:r>
              <w:rPr>
                <w:sz w:val="22"/>
                <w:szCs w:val="22"/>
              </w:rPr>
              <w:t xml:space="preserve">Jenna </w:t>
            </w:r>
            <w:proofErr w:type="spellStart"/>
            <w:r>
              <w:rPr>
                <w:sz w:val="22"/>
                <w:szCs w:val="22"/>
              </w:rPr>
              <w:t>McKibben</w:t>
            </w:r>
            <w:proofErr w:type="spellEnd"/>
            <w:r>
              <w:rPr>
                <w:sz w:val="22"/>
                <w:szCs w:val="22"/>
              </w:rPr>
              <w:t xml:space="preserve"> presented on the ALERT IIS data system.  The PowerPoint is on the CLHO website. </w:t>
            </w:r>
          </w:p>
        </w:tc>
      </w:tr>
      <w:tr w:rsidR="00C455DC" w:rsidRPr="003A18FD" w14:paraId="1A16B89D" w14:textId="77777777" w:rsidTr="00C455DC">
        <w:trPr>
          <w:trHeight w:val="683"/>
        </w:trPr>
        <w:tc>
          <w:tcPr>
            <w:tcW w:w="3143" w:type="dxa"/>
          </w:tcPr>
          <w:p w14:paraId="285C452A" w14:textId="44E403FB" w:rsidR="00C455DC" w:rsidRDefault="00C455DC" w:rsidP="00727D82">
            <w:pPr>
              <w:rPr>
                <w:sz w:val="22"/>
                <w:szCs w:val="22"/>
              </w:rPr>
            </w:pPr>
            <w:r>
              <w:rPr>
                <w:sz w:val="22"/>
                <w:szCs w:val="22"/>
              </w:rPr>
              <w:t xml:space="preserve">2019-21 Modernization Priorities Process Update </w:t>
            </w:r>
          </w:p>
        </w:tc>
        <w:tc>
          <w:tcPr>
            <w:tcW w:w="1571" w:type="dxa"/>
          </w:tcPr>
          <w:p w14:paraId="76D61520" w14:textId="6647AB18" w:rsidR="00C455DC" w:rsidRDefault="00C455DC" w:rsidP="00DF4A06">
            <w:pPr>
              <w:rPr>
                <w:sz w:val="22"/>
                <w:szCs w:val="22"/>
              </w:rPr>
            </w:pPr>
            <w:r>
              <w:rPr>
                <w:sz w:val="22"/>
                <w:szCs w:val="22"/>
              </w:rPr>
              <w:t>Update &amp; Discuss</w:t>
            </w:r>
          </w:p>
        </w:tc>
        <w:tc>
          <w:tcPr>
            <w:tcW w:w="4641" w:type="dxa"/>
          </w:tcPr>
          <w:p w14:paraId="35A5571F" w14:textId="77777777" w:rsidR="00C455DC" w:rsidRDefault="004A346F" w:rsidP="004A346F">
            <w:pPr>
              <w:rPr>
                <w:sz w:val="22"/>
                <w:szCs w:val="22"/>
              </w:rPr>
            </w:pPr>
            <w:r>
              <w:rPr>
                <w:sz w:val="22"/>
                <w:szCs w:val="22"/>
              </w:rPr>
              <w:t xml:space="preserve">Cara </w:t>
            </w:r>
            <w:proofErr w:type="spellStart"/>
            <w:r>
              <w:rPr>
                <w:sz w:val="22"/>
                <w:szCs w:val="22"/>
              </w:rPr>
              <w:t>Biddlecom</w:t>
            </w:r>
            <w:proofErr w:type="spellEnd"/>
            <w:r>
              <w:rPr>
                <w:sz w:val="22"/>
                <w:szCs w:val="22"/>
              </w:rPr>
              <w:t xml:space="preserve"> presented on next steps for moving the priorities for 2019-21 forward.  The PHAB decided to stay the course and continue to work to fully implement Phase 1 of Communicable Disease/ Environmental Health/ Emergency Preparedness/ Health Equity/ </w:t>
            </w:r>
            <w:proofErr w:type="spellStart"/>
            <w:r>
              <w:rPr>
                <w:sz w:val="22"/>
                <w:szCs w:val="22"/>
              </w:rPr>
              <w:t>Epi</w:t>
            </w:r>
            <w:proofErr w:type="spellEnd"/>
            <w:r>
              <w:rPr>
                <w:sz w:val="22"/>
                <w:szCs w:val="22"/>
              </w:rPr>
              <w:t xml:space="preserve"> &amp; Assessment. </w:t>
            </w:r>
          </w:p>
          <w:p w14:paraId="230C1635" w14:textId="77777777" w:rsidR="009560B4" w:rsidRDefault="009560B4" w:rsidP="004A346F">
            <w:pPr>
              <w:rPr>
                <w:sz w:val="22"/>
                <w:szCs w:val="22"/>
              </w:rPr>
            </w:pPr>
          </w:p>
          <w:p w14:paraId="4CEC873F" w14:textId="77777777" w:rsidR="009560B4" w:rsidRDefault="009560B4" w:rsidP="004A346F">
            <w:pPr>
              <w:rPr>
                <w:sz w:val="22"/>
                <w:szCs w:val="22"/>
              </w:rPr>
            </w:pPr>
            <w:r>
              <w:rPr>
                <w:sz w:val="22"/>
                <w:szCs w:val="22"/>
              </w:rPr>
              <w:t>Next steps: Webinars on March 27</w:t>
            </w:r>
            <w:r w:rsidRPr="009560B4">
              <w:rPr>
                <w:sz w:val="22"/>
                <w:szCs w:val="22"/>
                <w:vertAlign w:val="superscript"/>
              </w:rPr>
              <w:t>th</w:t>
            </w:r>
            <w:r>
              <w:rPr>
                <w:sz w:val="22"/>
                <w:szCs w:val="22"/>
              </w:rPr>
              <w:t xml:space="preserve"> (CD/ Health Equity &amp; Assessment)</w:t>
            </w:r>
          </w:p>
          <w:p w14:paraId="13AE1246" w14:textId="77777777" w:rsidR="009560B4" w:rsidRDefault="009560B4" w:rsidP="004A346F">
            <w:pPr>
              <w:rPr>
                <w:sz w:val="22"/>
                <w:szCs w:val="22"/>
              </w:rPr>
            </w:pPr>
            <w:r>
              <w:rPr>
                <w:sz w:val="22"/>
                <w:szCs w:val="22"/>
              </w:rPr>
              <w:t>Webinar on April 10</w:t>
            </w:r>
            <w:r w:rsidRPr="009560B4">
              <w:rPr>
                <w:sz w:val="22"/>
                <w:szCs w:val="22"/>
                <w:vertAlign w:val="superscript"/>
              </w:rPr>
              <w:t>th</w:t>
            </w:r>
            <w:r>
              <w:rPr>
                <w:sz w:val="22"/>
                <w:szCs w:val="22"/>
              </w:rPr>
              <w:t xml:space="preserve"> – Environmental Health/ Leadership &amp; Organizational change &amp; Preparedness</w:t>
            </w:r>
          </w:p>
          <w:p w14:paraId="17FFCAB8" w14:textId="77777777" w:rsidR="009560B4" w:rsidRDefault="009560B4" w:rsidP="004A346F">
            <w:pPr>
              <w:rPr>
                <w:sz w:val="22"/>
                <w:szCs w:val="22"/>
              </w:rPr>
            </w:pPr>
          </w:p>
          <w:p w14:paraId="72CC860E" w14:textId="77777777" w:rsidR="009560B4" w:rsidRDefault="009560B4" w:rsidP="004A346F">
            <w:pPr>
              <w:rPr>
                <w:sz w:val="22"/>
                <w:szCs w:val="22"/>
              </w:rPr>
            </w:pPr>
            <w:r>
              <w:rPr>
                <w:sz w:val="22"/>
                <w:szCs w:val="22"/>
              </w:rPr>
              <w:t xml:space="preserve">These conversations will help inform a Budget Policy Option Package that will go forward in the OHA Agency Budget to the Governor’s office. </w:t>
            </w:r>
          </w:p>
          <w:p w14:paraId="2B3FC771" w14:textId="77777777" w:rsidR="009560B4" w:rsidRDefault="009560B4" w:rsidP="004A346F">
            <w:pPr>
              <w:rPr>
                <w:sz w:val="22"/>
                <w:szCs w:val="22"/>
              </w:rPr>
            </w:pPr>
          </w:p>
          <w:p w14:paraId="1A967BC3" w14:textId="76FB61AF" w:rsidR="009560B4" w:rsidRDefault="009560B4" w:rsidP="004A346F">
            <w:pPr>
              <w:rPr>
                <w:sz w:val="22"/>
                <w:szCs w:val="22"/>
              </w:rPr>
            </w:pPr>
            <w:r>
              <w:rPr>
                <w:sz w:val="22"/>
                <w:szCs w:val="22"/>
              </w:rPr>
              <w:t xml:space="preserve">These webinar conversations will help articulate the why we need additional resources into the public health system. </w:t>
            </w:r>
          </w:p>
        </w:tc>
      </w:tr>
      <w:tr w:rsidR="00C455DC" w:rsidRPr="003A18FD" w14:paraId="6BD418BF" w14:textId="77777777" w:rsidTr="00C455DC">
        <w:trPr>
          <w:trHeight w:val="683"/>
        </w:trPr>
        <w:tc>
          <w:tcPr>
            <w:tcW w:w="3143" w:type="dxa"/>
          </w:tcPr>
          <w:p w14:paraId="207E44A2" w14:textId="290D5C9F" w:rsidR="00C455DC" w:rsidRDefault="00C455DC" w:rsidP="001F5D9A">
            <w:pPr>
              <w:rPr>
                <w:sz w:val="22"/>
                <w:szCs w:val="22"/>
              </w:rPr>
            </w:pPr>
            <w:r>
              <w:rPr>
                <w:sz w:val="22"/>
                <w:szCs w:val="22"/>
              </w:rPr>
              <w:t xml:space="preserve">19-21 Financial Assistance Agreement: </w:t>
            </w:r>
          </w:p>
          <w:p w14:paraId="70540C23" w14:textId="7DD7EB0F" w:rsidR="00C455DC" w:rsidRPr="00D21988" w:rsidRDefault="00C455DC" w:rsidP="00D21988">
            <w:pPr>
              <w:pStyle w:val="ListParagraph"/>
              <w:numPr>
                <w:ilvl w:val="0"/>
                <w:numId w:val="13"/>
              </w:numPr>
              <w:rPr>
                <w:sz w:val="22"/>
                <w:szCs w:val="22"/>
              </w:rPr>
            </w:pPr>
            <w:r>
              <w:rPr>
                <w:sz w:val="22"/>
                <w:szCs w:val="22"/>
              </w:rPr>
              <w:t>Review Changes</w:t>
            </w:r>
          </w:p>
          <w:p w14:paraId="246AECA0" w14:textId="77777777" w:rsidR="00C455DC" w:rsidRDefault="00C455DC" w:rsidP="00D21988">
            <w:pPr>
              <w:pStyle w:val="ListParagraph"/>
              <w:numPr>
                <w:ilvl w:val="0"/>
                <w:numId w:val="13"/>
              </w:numPr>
              <w:rPr>
                <w:sz w:val="22"/>
                <w:szCs w:val="22"/>
              </w:rPr>
            </w:pPr>
            <w:r w:rsidRPr="00D21988">
              <w:rPr>
                <w:sz w:val="22"/>
                <w:szCs w:val="22"/>
              </w:rPr>
              <w:t xml:space="preserve"> </w:t>
            </w:r>
            <w:r>
              <w:rPr>
                <w:sz w:val="22"/>
                <w:szCs w:val="22"/>
              </w:rPr>
              <w:t>Equipment Inventory</w:t>
            </w:r>
          </w:p>
          <w:p w14:paraId="00F788B2" w14:textId="0FBE7364" w:rsidR="00C455DC" w:rsidRPr="00D21988" w:rsidRDefault="00C455DC" w:rsidP="00D21988">
            <w:pPr>
              <w:pStyle w:val="ListParagraph"/>
              <w:numPr>
                <w:ilvl w:val="0"/>
                <w:numId w:val="13"/>
              </w:numPr>
              <w:rPr>
                <w:sz w:val="22"/>
                <w:szCs w:val="22"/>
              </w:rPr>
            </w:pPr>
            <w:r>
              <w:rPr>
                <w:sz w:val="22"/>
                <w:szCs w:val="22"/>
              </w:rPr>
              <w:t>PE # Changes</w:t>
            </w:r>
          </w:p>
        </w:tc>
        <w:tc>
          <w:tcPr>
            <w:tcW w:w="1571" w:type="dxa"/>
          </w:tcPr>
          <w:p w14:paraId="3343B974" w14:textId="46EDC3B1" w:rsidR="00C455DC" w:rsidRDefault="00C455DC" w:rsidP="00727D82">
            <w:pPr>
              <w:rPr>
                <w:sz w:val="22"/>
                <w:szCs w:val="22"/>
              </w:rPr>
            </w:pPr>
            <w:r>
              <w:rPr>
                <w:sz w:val="22"/>
                <w:szCs w:val="22"/>
              </w:rPr>
              <w:t>Discuss</w:t>
            </w:r>
          </w:p>
        </w:tc>
        <w:tc>
          <w:tcPr>
            <w:tcW w:w="4641" w:type="dxa"/>
          </w:tcPr>
          <w:p w14:paraId="2DDEC22D" w14:textId="77777777" w:rsidR="00445E3A" w:rsidRDefault="009560B4" w:rsidP="00D229DC">
            <w:pPr>
              <w:rPr>
                <w:sz w:val="22"/>
                <w:szCs w:val="22"/>
              </w:rPr>
            </w:pPr>
            <w:r>
              <w:rPr>
                <w:sz w:val="22"/>
                <w:szCs w:val="22"/>
              </w:rPr>
              <w:t xml:space="preserve">County Counsels reviewed the 2017-19 Financial Assistance Agreement boilerplate and identified several issues.  </w:t>
            </w:r>
            <w:proofErr w:type="gramStart"/>
            <w:r>
              <w:rPr>
                <w:sz w:val="22"/>
                <w:szCs w:val="22"/>
              </w:rPr>
              <w:t>Those issue</w:t>
            </w:r>
            <w:proofErr w:type="gramEnd"/>
            <w:r>
              <w:rPr>
                <w:sz w:val="22"/>
                <w:szCs w:val="22"/>
              </w:rPr>
              <w:t xml:space="preserve"> couldn’t be resolved before the 17-19 contracts but have been working to resolution in the County Contracts Workgroup since then.  There are still two outstanding IT issues that </w:t>
            </w:r>
            <w:r w:rsidR="00445E3A">
              <w:rPr>
                <w:sz w:val="22"/>
                <w:szCs w:val="22"/>
              </w:rPr>
              <w:t xml:space="preserve">need to be resolved at the next meeting.  </w:t>
            </w:r>
          </w:p>
          <w:p w14:paraId="0F2DA0C5" w14:textId="77777777" w:rsidR="00445E3A" w:rsidRDefault="00445E3A" w:rsidP="00D229DC">
            <w:pPr>
              <w:rPr>
                <w:sz w:val="22"/>
                <w:szCs w:val="22"/>
              </w:rPr>
            </w:pPr>
          </w:p>
          <w:p w14:paraId="647D652E" w14:textId="1816FDB3" w:rsidR="00445E3A" w:rsidRDefault="00445E3A" w:rsidP="00D229DC">
            <w:pPr>
              <w:rPr>
                <w:sz w:val="22"/>
                <w:szCs w:val="22"/>
              </w:rPr>
            </w:pPr>
            <w:r>
              <w:rPr>
                <w:sz w:val="22"/>
                <w:szCs w:val="22"/>
              </w:rPr>
              <w:t xml:space="preserve">A couple of changes that will affect the Program Elements/ Boilerplate: </w:t>
            </w:r>
          </w:p>
          <w:p w14:paraId="450F72BA" w14:textId="77777777" w:rsidR="00C455DC" w:rsidRDefault="00445E3A" w:rsidP="00445E3A">
            <w:pPr>
              <w:pStyle w:val="ListParagraph"/>
              <w:numPr>
                <w:ilvl w:val="0"/>
                <w:numId w:val="16"/>
              </w:numPr>
              <w:rPr>
                <w:sz w:val="22"/>
                <w:szCs w:val="22"/>
              </w:rPr>
            </w:pPr>
            <w:r>
              <w:rPr>
                <w:sz w:val="22"/>
                <w:szCs w:val="22"/>
              </w:rPr>
              <w:t>Consistency of language. All “</w:t>
            </w:r>
            <w:proofErr w:type="spellStart"/>
            <w:r>
              <w:rPr>
                <w:sz w:val="22"/>
                <w:szCs w:val="22"/>
              </w:rPr>
              <w:t>shalls</w:t>
            </w:r>
            <w:proofErr w:type="spellEnd"/>
            <w:r>
              <w:rPr>
                <w:sz w:val="22"/>
                <w:szCs w:val="22"/>
              </w:rPr>
              <w:t>” will now be “must”</w:t>
            </w:r>
          </w:p>
          <w:p w14:paraId="3B12B71B" w14:textId="77777777" w:rsidR="00445E3A" w:rsidRDefault="00445E3A" w:rsidP="00445E3A">
            <w:pPr>
              <w:pStyle w:val="ListParagraph"/>
              <w:numPr>
                <w:ilvl w:val="0"/>
                <w:numId w:val="16"/>
              </w:numPr>
              <w:rPr>
                <w:sz w:val="22"/>
                <w:szCs w:val="22"/>
              </w:rPr>
            </w:pPr>
            <w:r>
              <w:rPr>
                <w:sz w:val="22"/>
                <w:szCs w:val="22"/>
              </w:rPr>
              <w:t>Two windows throughout the year when Program Elements will be reviewed.  Hopefully this will cut down on administrative costs/ amendment review</w:t>
            </w:r>
          </w:p>
          <w:p w14:paraId="47E7763F" w14:textId="77777777" w:rsidR="00445E3A" w:rsidRDefault="00445E3A" w:rsidP="00445E3A">
            <w:pPr>
              <w:pStyle w:val="ListParagraph"/>
              <w:numPr>
                <w:ilvl w:val="0"/>
                <w:numId w:val="16"/>
              </w:numPr>
              <w:rPr>
                <w:sz w:val="22"/>
                <w:szCs w:val="22"/>
              </w:rPr>
            </w:pPr>
            <w:r>
              <w:rPr>
                <w:sz w:val="22"/>
                <w:szCs w:val="22"/>
              </w:rPr>
              <w:t>July 1 new expenditure form</w:t>
            </w:r>
          </w:p>
          <w:p w14:paraId="5CFEDF4C" w14:textId="77777777" w:rsidR="00445E3A" w:rsidRDefault="00445E3A" w:rsidP="00445E3A">
            <w:pPr>
              <w:rPr>
                <w:sz w:val="22"/>
                <w:szCs w:val="22"/>
              </w:rPr>
            </w:pPr>
          </w:p>
          <w:p w14:paraId="01DF5235" w14:textId="77777777" w:rsidR="00445E3A" w:rsidRDefault="00445E3A" w:rsidP="00445E3A">
            <w:pPr>
              <w:rPr>
                <w:sz w:val="22"/>
                <w:szCs w:val="22"/>
              </w:rPr>
            </w:pPr>
            <w:r>
              <w:rPr>
                <w:sz w:val="22"/>
                <w:szCs w:val="22"/>
              </w:rPr>
              <w:t xml:space="preserve">The Boilerplate has a required Equipment inventory form.  Each LPHA will need to report each year on any equipment that was purchased with Federal Funds over $5,000. </w:t>
            </w:r>
          </w:p>
          <w:p w14:paraId="08F8A111" w14:textId="77777777" w:rsidR="00445E3A" w:rsidRDefault="00445E3A" w:rsidP="00445E3A">
            <w:pPr>
              <w:rPr>
                <w:sz w:val="22"/>
                <w:szCs w:val="22"/>
              </w:rPr>
            </w:pPr>
          </w:p>
          <w:p w14:paraId="39C23E12" w14:textId="2BDBECB9" w:rsidR="00445E3A" w:rsidRPr="00445E3A" w:rsidRDefault="00445E3A" w:rsidP="00445E3A">
            <w:pPr>
              <w:rPr>
                <w:sz w:val="22"/>
                <w:szCs w:val="22"/>
              </w:rPr>
            </w:pPr>
            <w:r>
              <w:rPr>
                <w:sz w:val="22"/>
                <w:szCs w:val="22"/>
              </w:rPr>
              <w:t xml:space="preserve">Helene </w:t>
            </w:r>
            <w:proofErr w:type="spellStart"/>
            <w:r>
              <w:rPr>
                <w:sz w:val="22"/>
                <w:szCs w:val="22"/>
              </w:rPr>
              <w:t>Rimburg</w:t>
            </w:r>
            <w:proofErr w:type="spellEnd"/>
            <w:r>
              <w:rPr>
                <w:sz w:val="22"/>
                <w:szCs w:val="22"/>
              </w:rPr>
              <w:t xml:space="preserve"> came to give an update on some PE changes for the Reproductive Health.  PE 41 will now be PE 53.  Also, due to the fact that the Federal government just released the FOA there will be a two-month extension on current PE 41 funding.  Which means that during the transition from PE 41 to PE 53 there will be two additional months of old funding as well as new billable services. </w:t>
            </w:r>
          </w:p>
        </w:tc>
      </w:tr>
      <w:tr w:rsidR="00C455DC" w:rsidRPr="003A18FD" w14:paraId="33A41673" w14:textId="77777777" w:rsidTr="00C455DC">
        <w:trPr>
          <w:trHeight w:val="575"/>
        </w:trPr>
        <w:tc>
          <w:tcPr>
            <w:tcW w:w="3143" w:type="dxa"/>
          </w:tcPr>
          <w:p w14:paraId="5A0EF216" w14:textId="6F6175FF" w:rsidR="00C455DC" w:rsidRPr="003A18FD" w:rsidRDefault="00C455DC" w:rsidP="00FF6E4C">
            <w:pPr>
              <w:rPr>
                <w:sz w:val="22"/>
                <w:szCs w:val="22"/>
              </w:rPr>
            </w:pPr>
            <w:r>
              <w:rPr>
                <w:sz w:val="22"/>
                <w:szCs w:val="22"/>
              </w:rPr>
              <w:t>Behavioral Health Collaborative Update</w:t>
            </w:r>
          </w:p>
        </w:tc>
        <w:tc>
          <w:tcPr>
            <w:tcW w:w="1571" w:type="dxa"/>
          </w:tcPr>
          <w:p w14:paraId="0A6A1D06" w14:textId="3D5540B6" w:rsidR="00C455DC" w:rsidRPr="004206A0" w:rsidRDefault="00C455DC" w:rsidP="004206A0">
            <w:pPr>
              <w:rPr>
                <w:sz w:val="22"/>
                <w:szCs w:val="22"/>
              </w:rPr>
            </w:pPr>
            <w:r>
              <w:rPr>
                <w:sz w:val="22"/>
                <w:szCs w:val="22"/>
              </w:rPr>
              <w:t>Update</w:t>
            </w:r>
          </w:p>
        </w:tc>
        <w:tc>
          <w:tcPr>
            <w:tcW w:w="4641" w:type="dxa"/>
          </w:tcPr>
          <w:p w14:paraId="1A1F08DF" w14:textId="49533F66" w:rsidR="00C455DC" w:rsidRPr="003A18FD" w:rsidRDefault="00145B2A" w:rsidP="00D229DC">
            <w:pPr>
              <w:rPr>
                <w:sz w:val="22"/>
                <w:szCs w:val="22"/>
              </w:rPr>
            </w:pPr>
            <w:r>
              <w:rPr>
                <w:sz w:val="22"/>
                <w:szCs w:val="22"/>
              </w:rPr>
              <w:t xml:space="preserve">No changes to the Boilerplate </w:t>
            </w:r>
            <w:proofErr w:type="gramStart"/>
            <w:r>
              <w:rPr>
                <w:sz w:val="22"/>
                <w:szCs w:val="22"/>
              </w:rPr>
              <w:t>contract which</w:t>
            </w:r>
            <w:proofErr w:type="gramEnd"/>
            <w:r>
              <w:rPr>
                <w:sz w:val="22"/>
                <w:szCs w:val="22"/>
              </w:rPr>
              <w:t xml:space="preserve"> is how it was thought that the Behavioral Health Collaborative would be implemented.  Now there will be pilots and it is unclear if there will be changes to Administrative Rules.  Stay tuned.</w:t>
            </w:r>
          </w:p>
        </w:tc>
      </w:tr>
      <w:tr w:rsidR="00C455DC" w:rsidRPr="003A18FD" w14:paraId="4F3D79A1" w14:textId="77777777" w:rsidTr="00C455DC">
        <w:trPr>
          <w:trHeight w:val="530"/>
        </w:trPr>
        <w:tc>
          <w:tcPr>
            <w:tcW w:w="3143" w:type="dxa"/>
          </w:tcPr>
          <w:p w14:paraId="72DE463A" w14:textId="7ECCBF4D" w:rsidR="00C455DC" w:rsidRPr="00226154" w:rsidRDefault="00C455DC" w:rsidP="00226154">
            <w:pPr>
              <w:rPr>
                <w:sz w:val="22"/>
                <w:szCs w:val="22"/>
              </w:rPr>
            </w:pPr>
            <w:r>
              <w:rPr>
                <w:sz w:val="22"/>
                <w:szCs w:val="22"/>
              </w:rPr>
              <w:t>Federal Funding Update</w:t>
            </w:r>
          </w:p>
        </w:tc>
        <w:tc>
          <w:tcPr>
            <w:tcW w:w="1571" w:type="dxa"/>
          </w:tcPr>
          <w:p w14:paraId="543900ED" w14:textId="79335E2F" w:rsidR="00C455DC" w:rsidRPr="004206A0" w:rsidRDefault="00C455DC" w:rsidP="004206A0">
            <w:pPr>
              <w:rPr>
                <w:sz w:val="22"/>
                <w:szCs w:val="22"/>
              </w:rPr>
            </w:pPr>
            <w:r>
              <w:rPr>
                <w:sz w:val="22"/>
                <w:szCs w:val="22"/>
              </w:rPr>
              <w:t>Update</w:t>
            </w:r>
          </w:p>
        </w:tc>
        <w:tc>
          <w:tcPr>
            <w:tcW w:w="4641" w:type="dxa"/>
          </w:tcPr>
          <w:p w14:paraId="19B41362" w14:textId="77777777" w:rsidR="00C455DC" w:rsidRDefault="00145B2A" w:rsidP="00D229DC">
            <w:pPr>
              <w:rPr>
                <w:sz w:val="22"/>
                <w:szCs w:val="22"/>
              </w:rPr>
            </w:pPr>
            <w:r>
              <w:rPr>
                <w:sz w:val="22"/>
                <w:szCs w:val="22"/>
              </w:rPr>
              <w:t xml:space="preserve">Minor changes that are known at this point in time: </w:t>
            </w:r>
          </w:p>
          <w:p w14:paraId="7C366112" w14:textId="09ACE28A" w:rsidR="00145B2A" w:rsidRDefault="00145B2A" w:rsidP="00145B2A">
            <w:pPr>
              <w:pStyle w:val="ListParagraph"/>
              <w:numPr>
                <w:ilvl w:val="0"/>
                <w:numId w:val="17"/>
              </w:numPr>
              <w:rPr>
                <w:sz w:val="22"/>
                <w:szCs w:val="22"/>
              </w:rPr>
            </w:pPr>
            <w:r>
              <w:rPr>
                <w:sz w:val="22"/>
                <w:szCs w:val="22"/>
              </w:rPr>
              <w:t>Cut to Public Health Emergency Preparedness</w:t>
            </w:r>
          </w:p>
          <w:p w14:paraId="487B7FF4" w14:textId="2A62C405" w:rsidR="00145B2A" w:rsidRDefault="00145B2A" w:rsidP="00145B2A">
            <w:pPr>
              <w:pStyle w:val="ListParagraph"/>
              <w:numPr>
                <w:ilvl w:val="0"/>
                <w:numId w:val="17"/>
              </w:numPr>
              <w:rPr>
                <w:sz w:val="22"/>
                <w:szCs w:val="22"/>
              </w:rPr>
            </w:pPr>
            <w:r>
              <w:rPr>
                <w:sz w:val="22"/>
                <w:szCs w:val="22"/>
              </w:rPr>
              <w:t>CDC Chronic Disease FOA may be open to non-state agencies</w:t>
            </w:r>
          </w:p>
          <w:p w14:paraId="609F02DB" w14:textId="164731F6" w:rsidR="00145B2A" w:rsidRPr="00145B2A" w:rsidRDefault="00145B2A" w:rsidP="00145B2A">
            <w:pPr>
              <w:pStyle w:val="ListParagraph"/>
              <w:numPr>
                <w:ilvl w:val="0"/>
                <w:numId w:val="17"/>
              </w:numPr>
              <w:rPr>
                <w:sz w:val="22"/>
                <w:szCs w:val="22"/>
              </w:rPr>
            </w:pPr>
            <w:r>
              <w:rPr>
                <w:sz w:val="22"/>
                <w:szCs w:val="22"/>
              </w:rPr>
              <w:t xml:space="preserve">More to come… </w:t>
            </w:r>
          </w:p>
        </w:tc>
      </w:tr>
      <w:tr w:rsidR="00C455DC" w:rsidRPr="003A18FD" w14:paraId="4E6F71BB" w14:textId="77777777" w:rsidTr="00C455DC">
        <w:trPr>
          <w:trHeight w:val="683"/>
        </w:trPr>
        <w:tc>
          <w:tcPr>
            <w:tcW w:w="3143" w:type="dxa"/>
            <w:tcBorders>
              <w:bottom w:val="single" w:sz="4" w:space="0" w:color="auto"/>
            </w:tcBorders>
          </w:tcPr>
          <w:p w14:paraId="51D85E96" w14:textId="44E899D8" w:rsidR="00C455DC" w:rsidRPr="003A18FD" w:rsidRDefault="00C455DC" w:rsidP="00FF6E4C">
            <w:pPr>
              <w:rPr>
                <w:sz w:val="22"/>
                <w:szCs w:val="22"/>
              </w:rPr>
            </w:pPr>
            <w:r>
              <w:rPr>
                <w:sz w:val="22"/>
                <w:szCs w:val="22"/>
              </w:rPr>
              <w:t>OHA - Environmental Health Legislative Concept</w:t>
            </w:r>
          </w:p>
        </w:tc>
        <w:tc>
          <w:tcPr>
            <w:tcW w:w="1571" w:type="dxa"/>
            <w:tcBorders>
              <w:bottom w:val="single" w:sz="4" w:space="0" w:color="auto"/>
            </w:tcBorders>
          </w:tcPr>
          <w:p w14:paraId="74B18FFC" w14:textId="47BF0A97" w:rsidR="00C455DC" w:rsidRPr="004206A0" w:rsidRDefault="00C455DC" w:rsidP="004206A0">
            <w:pPr>
              <w:rPr>
                <w:sz w:val="22"/>
                <w:szCs w:val="22"/>
              </w:rPr>
            </w:pPr>
            <w:r>
              <w:rPr>
                <w:sz w:val="22"/>
                <w:szCs w:val="22"/>
              </w:rPr>
              <w:t>Discuss</w:t>
            </w:r>
          </w:p>
        </w:tc>
        <w:tc>
          <w:tcPr>
            <w:tcW w:w="4641" w:type="dxa"/>
            <w:tcBorders>
              <w:bottom w:val="single" w:sz="4" w:space="0" w:color="auto"/>
            </w:tcBorders>
          </w:tcPr>
          <w:p w14:paraId="6866E516" w14:textId="6AAF2F52" w:rsidR="00C455DC" w:rsidRPr="003A18FD" w:rsidRDefault="00145B2A" w:rsidP="00145B2A">
            <w:pPr>
              <w:rPr>
                <w:sz w:val="22"/>
                <w:szCs w:val="22"/>
              </w:rPr>
            </w:pPr>
            <w:r>
              <w:rPr>
                <w:sz w:val="22"/>
                <w:szCs w:val="22"/>
              </w:rPr>
              <w:t xml:space="preserve">Due to the fact that at least one Local Public Health Authority is considering a transfer of public health responsibility to the Oregon Health Authority, OHA is considering changes to the marker fees is statute around restaurant inspections. These fees have not changed in Oregon Revised Statute since 2003.  The Public Health Division has said that there will be extensive conversations with CLHO and other partners if they get the authority to pursue this statutory change. </w:t>
            </w:r>
          </w:p>
        </w:tc>
      </w:tr>
      <w:tr w:rsidR="00C455DC" w:rsidRPr="003A18FD" w14:paraId="1E47968B" w14:textId="77777777" w:rsidTr="00C455DC">
        <w:trPr>
          <w:trHeight w:val="359"/>
        </w:trPr>
        <w:tc>
          <w:tcPr>
            <w:tcW w:w="3143" w:type="dxa"/>
            <w:tcBorders>
              <w:top w:val="single" w:sz="4" w:space="0" w:color="auto"/>
              <w:bottom w:val="nil"/>
            </w:tcBorders>
          </w:tcPr>
          <w:p w14:paraId="6F75E3D8" w14:textId="4190E29F" w:rsidR="00C455DC" w:rsidRPr="003A18FD" w:rsidRDefault="00C455DC" w:rsidP="00FF6E4C">
            <w:pPr>
              <w:rPr>
                <w:sz w:val="22"/>
                <w:szCs w:val="22"/>
              </w:rPr>
            </w:pPr>
            <w:r w:rsidRPr="003A18FD">
              <w:rPr>
                <w:sz w:val="22"/>
                <w:szCs w:val="22"/>
              </w:rPr>
              <w:t>Adjourn – Stretch Break!</w:t>
            </w:r>
          </w:p>
        </w:tc>
        <w:tc>
          <w:tcPr>
            <w:tcW w:w="1571" w:type="dxa"/>
            <w:tcBorders>
              <w:top w:val="single" w:sz="4" w:space="0" w:color="auto"/>
              <w:bottom w:val="nil"/>
            </w:tcBorders>
          </w:tcPr>
          <w:p w14:paraId="696C6FBC" w14:textId="4D194C8F" w:rsidR="00C455DC" w:rsidRPr="004206A0" w:rsidRDefault="00C455DC" w:rsidP="004206A0">
            <w:pPr>
              <w:rPr>
                <w:sz w:val="22"/>
                <w:szCs w:val="22"/>
              </w:rPr>
            </w:pPr>
          </w:p>
        </w:tc>
        <w:tc>
          <w:tcPr>
            <w:tcW w:w="4641" w:type="dxa"/>
            <w:tcBorders>
              <w:top w:val="single" w:sz="4" w:space="0" w:color="auto"/>
              <w:bottom w:val="nil"/>
            </w:tcBorders>
          </w:tcPr>
          <w:p w14:paraId="056567B1" w14:textId="37AEB188" w:rsidR="00C455DC" w:rsidRPr="003A18FD" w:rsidRDefault="00C455DC" w:rsidP="00D229DC">
            <w:pPr>
              <w:rPr>
                <w:sz w:val="22"/>
                <w:szCs w:val="22"/>
              </w:rPr>
            </w:pPr>
          </w:p>
        </w:tc>
      </w:tr>
    </w:tbl>
    <w:p w14:paraId="55E00F8D" w14:textId="77777777" w:rsidR="0027663E" w:rsidRDefault="0027663E" w:rsidP="00FF6E4C">
      <w:pPr>
        <w:sectPr w:rsidR="0027663E" w:rsidSect="007018A3">
          <w:headerReference w:type="default" r:id="rId9"/>
          <w:footerReference w:type="default" r:id="rId10"/>
          <w:pgSz w:w="12240" w:h="15840"/>
          <w:pgMar w:top="1080" w:right="1800" w:bottom="1440" w:left="1800" w:header="720" w:footer="463" w:gutter="0"/>
          <w:cols w:space="720"/>
          <w:docGrid w:linePitch="360"/>
        </w:sectPr>
      </w:pPr>
      <w:bookmarkStart w:id="0" w:name="_GoBack"/>
      <w:bookmarkEnd w:id="0"/>
    </w:p>
    <w:p w14:paraId="519DA07A" w14:textId="77777777" w:rsidR="00A50EAD" w:rsidRDefault="00A50EAD" w:rsidP="0027663E"/>
    <w:sectPr w:rsidR="00A50EAD" w:rsidSect="00DB2CBF">
      <w:headerReference w:type="default" r:id="rId11"/>
      <w:pgSz w:w="12240" w:h="15840"/>
      <w:pgMar w:top="1080" w:right="1800" w:bottom="1260" w:left="1800" w:header="720" w:footer="2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DB8769" w14:textId="77777777" w:rsidR="00445E3A" w:rsidRDefault="00445E3A" w:rsidP="00FF6E4C">
      <w:r>
        <w:separator/>
      </w:r>
    </w:p>
  </w:endnote>
  <w:endnote w:type="continuationSeparator" w:id="0">
    <w:p w14:paraId="35134EAE" w14:textId="77777777" w:rsidR="00445E3A" w:rsidRDefault="00445E3A" w:rsidP="00FF6E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00000003" w:usb1="00000000" w:usb2="00000000" w:usb3="00000000" w:csb0="00000001"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Narrow">
    <w:panose1 w:val="020B0506020202030204"/>
    <w:charset w:val="00"/>
    <w:family w:val="auto"/>
    <w:pitch w:val="variable"/>
    <w:sig w:usb0="00000287" w:usb1="00000800" w:usb2="00000000" w:usb3="00000000" w:csb0="0000009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C6ADB7" w14:textId="2841869B" w:rsidR="00445E3A" w:rsidRPr="003A18FD" w:rsidRDefault="00445E3A" w:rsidP="003A18FD">
    <w:pPr>
      <w:pStyle w:val="Footer"/>
      <w:jc w:val="center"/>
      <w:rPr>
        <w:sz w:val="16"/>
        <w:szCs w:val="16"/>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068477" w14:textId="77777777" w:rsidR="00445E3A" w:rsidRDefault="00445E3A" w:rsidP="00FF6E4C">
      <w:r>
        <w:separator/>
      </w:r>
    </w:p>
  </w:footnote>
  <w:footnote w:type="continuationSeparator" w:id="0">
    <w:p w14:paraId="355608FA" w14:textId="77777777" w:rsidR="00445E3A" w:rsidRDefault="00445E3A" w:rsidP="00FF6E4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FC9CF2" w14:textId="77777777" w:rsidR="00445E3A" w:rsidRDefault="00445E3A" w:rsidP="00FF6E4C">
    <w:pPr>
      <w:pStyle w:val="Header"/>
      <w:jc w:val="center"/>
    </w:pPr>
    <w:r>
      <w:rPr>
        <w:noProof/>
      </w:rPr>
      <mc:AlternateContent>
        <mc:Choice Requires="wpg">
          <w:drawing>
            <wp:anchor distT="0" distB="0" distL="114300" distR="114300" simplePos="0" relativeHeight="251668480" behindDoc="0" locked="0" layoutInCell="1" allowOverlap="1" wp14:anchorId="01AD0289" wp14:editId="0742E23C">
              <wp:simplePos x="0" y="0"/>
              <wp:positionH relativeFrom="column">
                <wp:posOffset>-1028700</wp:posOffset>
              </wp:positionH>
              <wp:positionV relativeFrom="paragraph">
                <wp:posOffset>-228600</wp:posOffset>
              </wp:positionV>
              <wp:extent cx="1828800" cy="1036955"/>
              <wp:effectExtent l="0" t="0" r="0" b="4445"/>
              <wp:wrapThrough wrapText="bothSides">
                <wp:wrapPolygon edited="0">
                  <wp:start x="4500" y="0"/>
                  <wp:lineTo x="3600" y="15873"/>
                  <wp:lineTo x="300" y="17460"/>
                  <wp:lineTo x="300" y="21164"/>
                  <wp:lineTo x="21000" y="21164"/>
                  <wp:lineTo x="21300" y="17460"/>
                  <wp:lineTo x="19500" y="16931"/>
                  <wp:lineTo x="14700" y="16931"/>
                  <wp:lineTo x="15900" y="14814"/>
                  <wp:lineTo x="15900" y="1587"/>
                  <wp:lineTo x="14400" y="0"/>
                  <wp:lineTo x="7200" y="0"/>
                  <wp:lineTo x="4500" y="0"/>
                </wp:wrapPolygon>
              </wp:wrapThrough>
              <wp:docPr id="4" name="Group 4"/>
              <wp:cNvGraphicFramePr/>
              <a:graphic xmlns:a="http://schemas.openxmlformats.org/drawingml/2006/main">
                <a:graphicData uri="http://schemas.microsoft.com/office/word/2010/wordprocessingGroup">
                  <wpg:wgp>
                    <wpg:cNvGrpSpPr/>
                    <wpg:grpSpPr>
                      <a:xfrm>
                        <a:off x="0" y="0"/>
                        <a:ext cx="1828800" cy="1036955"/>
                        <a:chOff x="-265528" y="102675"/>
                        <a:chExt cx="2124222" cy="1016679"/>
                      </a:xfrm>
                    </wpg:grpSpPr>
                    <pic:pic xmlns:pic="http://schemas.openxmlformats.org/drawingml/2006/picture">
                      <pic:nvPicPr>
                        <pic:cNvPr id="2" name="Picture 2"/>
                        <pic:cNvPicPr>
                          <a:picLocks noChangeAspect="1"/>
                        </pic:cNvPicPr>
                      </pic:nvPicPr>
                      <pic:blipFill>
                        <a:blip r:embed="rId1" cstate="print"/>
                        <a:srcRect/>
                        <a:stretch>
                          <a:fillRect/>
                        </a:stretch>
                      </pic:blipFill>
                      <pic:spPr bwMode="auto">
                        <a:xfrm>
                          <a:off x="132764" y="102675"/>
                          <a:ext cx="1118673" cy="800779"/>
                        </a:xfrm>
                        <a:prstGeom prst="rect">
                          <a:avLst/>
                        </a:prstGeom>
                        <a:noFill/>
                        <a:ln w="9525">
                          <a:noFill/>
                          <a:miter lim="800000"/>
                          <a:headEnd/>
                          <a:tailEnd/>
                        </a:ln>
                      </pic:spPr>
                    </pic:pic>
                    <wps:wsp>
                      <wps:cNvPr id="3" name="Text Box 2"/>
                      <wps:cNvSpPr txBox="1">
                        <a:spLocks noChangeArrowheads="1"/>
                      </wps:cNvSpPr>
                      <wps:spPr bwMode="auto">
                        <a:xfrm>
                          <a:off x="-265528" y="903454"/>
                          <a:ext cx="2124222"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4FC2BA" w14:textId="77777777" w:rsidR="00445E3A" w:rsidRPr="00726A3E" w:rsidRDefault="00445E3A" w:rsidP="00A50EAD">
                            <w:pPr>
                              <w:rPr>
                                <w:rFonts w:ascii="Arial Narrow" w:hAnsi="Arial Narrow"/>
                                <w:color w:val="0000FF"/>
                                <w:sz w:val="18"/>
                                <w:szCs w:val="18"/>
                              </w:rPr>
                            </w:pPr>
                            <w:r w:rsidRPr="00726A3E">
                              <w:rPr>
                                <w:rFonts w:ascii="Arial Narrow" w:hAnsi="Arial Narrow"/>
                                <w:color w:val="0000FF"/>
                                <w:sz w:val="18"/>
                                <w:szCs w:val="18"/>
                              </w:rPr>
                              <w:t>Conference of Local Health Officials</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4" o:spid="_x0000_s1028" style="position:absolute;left:0;text-align:left;margin-left:-80.95pt;margin-top:-17.95pt;width:2in;height:81.65pt;z-index:251668480;mso-width-relative:margin;mso-height-relative:margin" coordorigin="-265528,102675" coordsize="2124222,1016679" o:gfxdata="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9" type="#_x0000_t75" style="position:absolute;left:132764;top:102675;width:1118673;height:800779;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">
                <v:imagedata r:id="rId2" o:title=""/>
                <v:path arrowok="t"/>
              </v:shape>
              <v:shapetype id="_x0000_t202" coordsize="21600,21600" o:spt="202" path="m0,0l0,21600,21600,21600,21600,0xe">
                <v:stroke joinstyle="miter"/>
                <v:path gradientshapeok="t" o:connecttype="rect"/>
              </v:shapetype>
              <v:shape id="Text Box 2" o:spid="_x0000_s1030" type="#_x0000_t202" style="position:absolute;left:-265528;top:903454;width:2124222;height:2159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V3wizwwAA&#10;ANoAAAAPAAAAZHJzL2Rvd25yZXYueG1sRI9Ba8JAFITvBf/D8oTedNfWlhqzkaIInixNW8HbI/tM&#10;gtm3Ibua9N93BaHHYWa+YdLVYBtxpc7XjjXMpgoEceFMzaWG76/t5A2ED8gGG8ek4Zc8rLLRQ4qJ&#10;cT1/0jUPpYgQ9glqqEJoEyl9UZFFP3UtcfROrrMYouxKaTrsI9w28kmpV2mx5rhQYUvriopzfrEa&#10;fvan42GuPsqNfWl7NyjJdiG1fhwP70sQgYbwH763d0bDM9yuxBsgsz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V3wizwwAAANoAAAAPAAAAAAAAAAAAAAAAAJcCAABkcnMvZG93&#10;bnJldi54bWxQSwUGAAAAAAQABAD1AAAAhwMAAAAA&#10;" filled="f" stroked="f">
                <v:textbox>
                  <w:txbxContent>
                    <w:p w14:paraId="164FC2BA" w14:textId="77777777" w:rsidR="00445E3A" w:rsidRPr="00726A3E" w:rsidRDefault="00445E3A" w:rsidP="00A50EAD">
                      <w:pPr>
                        <w:rPr>
                          <w:rFonts w:ascii="Arial Narrow" w:hAnsi="Arial Narrow"/>
                          <w:color w:val="0000FF"/>
                          <w:sz w:val="18"/>
                          <w:szCs w:val="18"/>
                        </w:rPr>
                      </w:pPr>
                      <w:r w:rsidRPr="00726A3E">
                        <w:rPr>
                          <w:rFonts w:ascii="Arial Narrow" w:hAnsi="Arial Narrow"/>
                          <w:color w:val="0000FF"/>
                          <w:sz w:val="18"/>
                          <w:szCs w:val="18"/>
                        </w:rPr>
                        <w:t>Conference of Local Health Officials</w:t>
                      </w:r>
                    </w:p>
                  </w:txbxContent>
                </v:textbox>
              </v:shape>
              <w10:wrap type="through"/>
            </v:group>
          </w:pict>
        </mc:Fallback>
      </mc:AlternateConten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69F06B" w14:textId="34DEE589" w:rsidR="00445E3A" w:rsidRDefault="00445E3A" w:rsidP="0027663E">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629B0"/>
    <w:multiLevelType w:val="hybridMultilevel"/>
    <w:tmpl w:val="FBEC15C6"/>
    <w:lvl w:ilvl="0" w:tplc="FA58B80A">
      <w:start w:val="2017"/>
      <w:numFmt w:val="bullet"/>
      <w:lvlText w:val="-"/>
      <w:lvlJc w:val="left"/>
      <w:pPr>
        <w:ind w:left="720" w:hanging="360"/>
      </w:pPr>
      <w:rPr>
        <w:rFonts w:ascii="Century Gothic" w:eastAsiaTheme="minorEastAsia" w:hAnsi="Century Gothic"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110931"/>
    <w:multiLevelType w:val="hybridMultilevel"/>
    <w:tmpl w:val="89809970"/>
    <w:lvl w:ilvl="0" w:tplc="0122F6E4">
      <w:numFmt w:val="bullet"/>
      <w:lvlText w:val="-"/>
      <w:lvlJc w:val="left"/>
      <w:pPr>
        <w:ind w:left="720" w:hanging="360"/>
      </w:pPr>
      <w:rPr>
        <w:rFonts w:ascii="Century Gothic" w:eastAsiaTheme="minorEastAsia" w:hAnsi="Century Gothic"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8B0C1B"/>
    <w:multiLevelType w:val="hybridMultilevel"/>
    <w:tmpl w:val="5492D76C"/>
    <w:lvl w:ilvl="0" w:tplc="0122F6E4">
      <w:numFmt w:val="bullet"/>
      <w:lvlText w:val="-"/>
      <w:lvlJc w:val="left"/>
      <w:pPr>
        <w:ind w:left="720" w:hanging="360"/>
      </w:pPr>
      <w:rPr>
        <w:rFonts w:ascii="Century Gothic" w:eastAsiaTheme="minorEastAsia" w:hAnsi="Century Gothic"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531390"/>
    <w:multiLevelType w:val="hybridMultilevel"/>
    <w:tmpl w:val="365A7EAC"/>
    <w:lvl w:ilvl="0" w:tplc="A282F192">
      <w:numFmt w:val="bullet"/>
      <w:lvlText w:val="-"/>
      <w:lvlJc w:val="left"/>
      <w:pPr>
        <w:ind w:left="720" w:hanging="360"/>
      </w:pPr>
      <w:rPr>
        <w:rFonts w:ascii="Century Gothic" w:eastAsiaTheme="minorEastAsia" w:hAnsi="Century Gothic"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3131BD0"/>
    <w:multiLevelType w:val="hybridMultilevel"/>
    <w:tmpl w:val="8612D9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359313D3"/>
    <w:multiLevelType w:val="hybridMultilevel"/>
    <w:tmpl w:val="E2EE837C"/>
    <w:lvl w:ilvl="0" w:tplc="00AABED0">
      <w:start w:val="1"/>
      <w:numFmt w:val="bullet"/>
      <w:lvlText w:val="-"/>
      <w:lvlJc w:val="left"/>
      <w:pPr>
        <w:ind w:left="1080" w:hanging="360"/>
      </w:pPr>
      <w:rPr>
        <w:rFonts w:ascii="Century Gothic" w:eastAsiaTheme="minorEastAsia" w:hAnsi="Century Gothic" w:cs="Aria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5C0388B"/>
    <w:multiLevelType w:val="hybridMultilevel"/>
    <w:tmpl w:val="F44827F6"/>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7">
    <w:nsid w:val="369A0102"/>
    <w:multiLevelType w:val="hybridMultilevel"/>
    <w:tmpl w:val="7B84F664"/>
    <w:lvl w:ilvl="0" w:tplc="5A2259F4">
      <w:start w:val="5"/>
      <w:numFmt w:val="bullet"/>
      <w:lvlText w:val="-"/>
      <w:lvlJc w:val="left"/>
      <w:pPr>
        <w:ind w:left="720" w:hanging="360"/>
      </w:pPr>
      <w:rPr>
        <w:rFonts w:ascii="Century Gothic" w:eastAsiaTheme="minorEastAsia" w:hAnsi="Century Gothic"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0A62AD5"/>
    <w:multiLevelType w:val="hybridMultilevel"/>
    <w:tmpl w:val="F5C05E82"/>
    <w:lvl w:ilvl="0" w:tplc="0122F6E4">
      <w:numFmt w:val="bullet"/>
      <w:lvlText w:val="-"/>
      <w:lvlJc w:val="left"/>
      <w:pPr>
        <w:ind w:left="1080" w:hanging="360"/>
      </w:pPr>
      <w:rPr>
        <w:rFonts w:ascii="Century Gothic" w:eastAsiaTheme="minorEastAsia" w:hAnsi="Century Gothic" w:cs="Aria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5364684A"/>
    <w:multiLevelType w:val="hybridMultilevel"/>
    <w:tmpl w:val="5CD6FA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54825480"/>
    <w:multiLevelType w:val="hybridMultilevel"/>
    <w:tmpl w:val="FC7A6768"/>
    <w:lvl w:ilvl="0" w:tplc="9F9C8D0E">
      <w:start w:val="8"/>
      <w:numFmt w:val="bullet"/>
      <w:lvlText w:val="-"/>
      <w:lvlJc w:val="left"/>
      <w:pPr>
        <w:ind w:left="1080" w:hanging="360"/>
      </w:pPr>
      <w:rPr>
        <w:rFonts w:ascii="Century Gothic" w:eastAsiaTheme="minorEastAsia" w:hAnsi="Century Gothic" w:cs="Aria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54E464B2"/>
    <w:multiLevelType w:val="hybridMultilevel"/>
    <w:tmpl w:val="540CB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3A6302E"/>
    <w:multiLevelType w:val="hybridMultilevel"/>
    <w:tmpl w:val="F4667918"/>
    <w:lvl w:ilvl="0" w:tplc="9F9C8D0E">
      <w:start w:val="8"/>
      <w:numFmt w:val="bullet"/>
      <w:lvlText w:val="-"/>
      <w:lvlJc w:val="left"/>
      <w:pPr>
        <w:ind w:left="420" w:hanging="360"/>
      </w:pPr>
      <w:rPr>
        <w:rFonts w:ascii="Century Gothic" w:eastAsiaTheme="minorEastAsia" w:hAnsi="Century Gothic"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3">
    <w:nsid w:val="6ED10C04"/>
    <w:multiLevelType w:val="hybridMultilevel"/>
    <w:tmpl w:val="10EA61A0"/>
    <w:lvl w:ilvl="0" w:tplc="ADF40054">
      <w:start w:val="5"/>
      <w:numFmt w:val="bullet"/>
      <w:lvlText w:val="-"/>
      <w:lvlJc w:val="left"/>
      <w:pPr>
        <w:ind w:left="420" w:hanging="360"/>
      </w:pPr>
      <w:rPr>
        <w:rFonts w:ascii="Century Gothic" w:eastAsiaTheme="minorEastAsia" w:hAnsi="Century Gothic" w:cs="Arial" w:hint="default"/>
      </w:rPr>
    </w:lvl>
    <w:lvl w:ilvl="1" w:tplc="04090003" w:tentative="1">
      <w:start w:val="1"/>
      <w:numFmt w:val="bullet"/>
      <w:lvlText w:val="o"/>
      <w:lvlJc w:val="left"/>
      <w:pPr>
        <w:ind w:left="1140" w:hanging="360"/>
      </w:pPr>
      <w:rPr>
        <w:rFonts w:ascii="Courier New" w:hAnsi="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4">
    <w:nsid w:val="75B44E10"/>
    <w:multiLevelType w:val="hybridMultilevel"/>
    <w:tmpl w:val="2032A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7182565"/>
    <w:multiLevelType w:val="hybridMultilevel"/>
    <w:tmpl w:val="B1186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81A5808"/>
    <w:multiLevelType w:val="hybridMultilevel"/>
    <w:tmpl w:val="E2405912"/>
    <w:lvl w:ilvl="0" w:tplc="0122F6E4">
      <w:numFmt w:val="bullet"/>
      <w:lvlText w:val="-"/>
      <w:lvlJc w:val="left"/>
      <w:pPr>
        <w:ind w:left="1080" w:hanging="360"/>
      </w:pPr>
      <w:rPr>
        <w:rFonts w:ascii="Century Gothic" w:eastAsiaTheme="minorEastAsia" w:hAnsi="Century Gothic"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2"/>
  </w:num>
  <w:num w:numId="2">
    <w:abstractNumId w:val="2"/>
  </w:num>
  <w:num w:numId="3">
    <w:abstractNumId w:val="1"/>
  </w:num>
  <w:num w:numId="4">
    <w:abstractNumId w:val="8"/>
  </w:num>
  <w:num w:numId="5">
    <w:abstractNumId w:val="13"/>
  </w:num>
  <w:num w:numId="6">
    <w:abstractNumId w:val="7"/>
  </w:num>
  <w:num w:numId="7">
    <w:abstractNumId w:val="9"/>
  </w:num>
  <w:num w:numId="8">
    <w:abstractNumId w:val="4"/>
  </w:num>
  <w:num w:numId="9">
    <w:abstractNumId w:val="16"/>
  </w:num>
  <w:num w:numId="10">
    <w:abstractNumId w:val="10"/>
  </w:num>
  <w:num w:numId="11">
    <w:abstractNumId w:val="5"/>
  </w:num>
  <w:num w:numId="12">
    <w:abstractNumId w:val="3"/>
  </w:num>
  <w:num w:numId="13">
    <w:abstractNumId w:val="0"/>
  </w:num>
  <w:num w:numId="14">
    <w:abstractNumId w:val="15"/>
  </w:num>
  <w:num w:numId="15">
    <w:abstractNumId w:val="14"/>
  </w:num>
  <w:num w:numId="16">
    <w:abstractNumId w:val="6"/>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6E4C"/>
    <w:rsid w:val="00000A2C"/>
    <w:rsid w:val="000053AA"/>
    <w:rsid w:val="000109EF"/>
    <w:rsid w:val="00023270"/>
    <w:rsid w:val="00030496"/>
    <w:rsid w:val="00036678"/>
    <w:rsid w:val="0005600F"/>
    <w:rsid w:val="000562FE"/>
    <w:rsid w:val="00081365"/>
    <w:rsid w:val="0009003B"/>
    <w:rsid w:val="00090836"/>
    <w:rsid w:val="00093A82"/>
    <w:rsid w:val="000B6A32"/>
    <w:rsid w:val="000B7A37"/>
    <w:rsid w:val="000F6541"/>
    <w:rsid w:val="000F75F3"/>
    <w:rsid w:val="00112DCD"/>
    <w:rsid w:val="00145B2A"/>
    <w:rsid w:val="001532F9"/>
    <w:rsid w:val="001B2A3B"/>
    <w:rsid w:val="001F1946"/>
    <w:rsid w:val="001F5D9A"/>
    <w:rsid w:val="001F7A1D"/>
    <w:rsid w:val="00220D0C"/>
    <w:rsid w:val="00226154"/>
    <w:rsid w:val="002275FA"/>
    <w:rsid w:val="00246B2E"/>
    <w:rsid w:val="00257F38"/>
    <w:rsid w:val="00275AD1"/>
    <w:rsid w:val="0027663E"/>
    <w:rsid w:val="0028664F"/>
    <w:rsid w:val="002A01D6"/>
    <w:rsid w:val="002B5AE4"/>
    <w:rsid w:val="002C3865"/>
    <w:rsid w:val="00307569"/>
    <w:rsid w:val="003222D0"/>
    <w:rsid w:val="00324B0F"/>
    <w:rsid w:val="00327C3C"/>
    <w:rsid w:val="003407A6"/>
    <w:rsid w:val="00352731"/>
    <w:rsid w:val="00366331"/>
    <w:rsid w:val="00387745"/>
    <w:rsid w:val="0039456C"/>
    <w:rsid w:val="003A18FD"/>
    <w:rsid w:val="003C6339"/>
    <w:rsid w:val="003D48B1"/>
    <w:rsid w:val="003D4D33"/>
    <w:rsid w:val="00411680"/>
    <w:rsid w:val="004206A0"/>
    <w:rsid w:val="004220AD"/>
    <w:rsid w:val="00445E3A"/>
    <w:rsid w:val="0045246E"/>
    <w:rsid w:val="00495B59"/>
    <w:rsid w:val="004A346F"/>
    <w:rsid w:val="004E37BD"/>
    <w:rsid w:val="0051005F"/>
    <w:rsid w:val="005467FE"/>
    <w:rsid w:val="005500BE"/>
    <w:rsid w:val="00551C70"/>
    <w:rsid w:val="005570F9"/>
    <w:rsid w:val="00567412"/>
    <w:rsid w:val="005826C4"/>
    <w:rsid w:val="00584630"/>
    <w:rsid w:val="00585603"/>
    <w:rsid w:val="00590ACD"/>
    <w:rsid w:val="005B205E"/>
    <w:rsid w:val="005B75D5"/>
    <w:rsid w:val="005C1BE2"/>
    <w:rsid w:val="005C449B"/>
    <w:rsid w:val="005E0FF8"/>
    <w:rsid w:val="006024F7"/>
    <w:rsid w:val="00603E01"/>
    <w:rsid w:val="00636C88"/>
    <w:rsid w:val="0065722B"/>
    <w:rsid w:val="0067024A"/>
    <w:rsid w:val="00671EDC"/>
    <w:rsid w:val="00673478"/>
    <w:rsid w:val="0067623A"/>
    <w:rsid w:val="00684CB6"/>
    <w:rsid w:val="0068532C"/>
    <w:rsid w:val="006937BA"/>
    <w:rsid w:val="00697029"/>
    <w:rsid w:val="006A3772"/>
    <w:rsid w:val="006A7181"/>
    <w:rsid w:val="006B3265"/>
    <w:rsid w:val="006C2813"/>
    <w:rsid w:val="006E78EC"/>
    <w:rsid w:val="006E7DCC"/>
    <w:rsid w:val="006F2176"/>
    <w:rsid w:val="006F32A4"/>
    <w:rsid w:val="00700282"/>
    <w:rsid w:val="007018A3"/>
    <w:rsid w:val="00727D82"/>
    <w:rsid w:val="007320CB"/>
    <w:rsid w:val="00733892"/>
    <w:rsid w:val="00734BDA"/>
    <w:rsid w:val="00745688"/>
    <w:rsid w:val="00763121"/>
    <w:rsid w:val="00766058"/>
    <w:rsid w:val="00767C07"/>
    <w:rsid w:val="00781125"/>
    <w:rsid w:val="007B3BC0"/>
    <w:rsid w:val="007C5F5C"/>
    <w:rsid w:val="007C6DCB"/>
    <w:rsid w:val="007D05E7"/>
    <w:rsid w:val="007D6736"/>
    <w:rsid w:val="007E4EC5"/>
    <w:rsid w:val="00816E03"/>
    <w:rsid w:val="00834960"/>
    <w:rsid w:val="00841691"/>
    <w:rsid w:val="0085470E"/>
    <w:rsid w:val="00874707"/>
    <w:rsid w:val="00875243"/>
    <w:rsid w:val="0089308E"/>
    <w:rsid w:val="008A595D"/>
    <w:rsid w:val="008A6002"/>
    <w:rsid w:val="008B3A6F"/>
    <w:rsid w:val="008B412B"/>
    <w:rsid w:val="008C3F48"/>
    <w:rsid w:val="008C7C7E"/>
    <w:rsid w:val="008D3ECB"/>
    <w:rsid w:val="008E2122"/>
    <w:rsid w:val="008E5AE2"/>
    <w:rsid w:val="008E6004"/>
    <w:rsid w:val="008F31CC"/>
    <w:rsid w:val="00905E00"/>
    <w:rsid w:val="009176F3"/>
    <w:rsid w:val="00945EF1"/>
    <w:rsid w:val="009560B4"/>
    <w:rsid w:val="00990CDC"/>
    <w:rsid w:val="009A41CC"/>
    <w:rsid w:val="009B0402"/>
    <w:rsid w:val="00A03EC1"/>
    <w:rsid w:val="00A20AEA"/>
    <w:rsid w:val="00A26600"/>
    <w:rsid w:val="00A26D20"/>
    <w:rsid w:val="00A32A7C"/>
    <w:rsid w:val="00A36B49"/>
    <w:rsid w:val="00A371CB"/>
    <w:rsid w:val="00A37312"/>
    <w:rsid w:val="00A43D43"/>
    <w:rsid w:val="00A50EAD"/>
    <w:rsid w:val="00A64E11"/>
    <w:rsid w:val="00A76AAE"/>
    <w:rsid w:val="00A80F4A"/>
    <w:rsid w:val="00A84008"/>
    <w:rsid w:val="00AC76A6"/>
    <w:rsid w:val="00AE1689"/>
    <w:rsid w:val="00AF3CA3"/>
    <w:rsid w:val="00B02FFA"/>
    <w:rsid w:val="00B03989"/>
    <w:rsid w:val="00B073E1"/>
    <w:rsid w:val="00B13C71"/>
    <w:rsid w:val="00B3174E"/>
    <w:rsid w:val="00B5131B"/>
    <w:rsid w:val="00B57EB8"/>
    <w:rsid w:val="00B909FD"/>
    <w:rsid w:val="00BA3E12"/>
    <w:rsid w:val="00BB474F"/>
    <w:rsid w:val="00BC7451"/>
    <w:rsid w:val="00BF347F"/>
    <w:rsid w:val="00C116F2"/>
    <w:rsid w:val="00C21F92"/>
    <w:rsid w:val="00C2608E"/>
    <w:rsid w:val="00C455DC"/>
    <w:rsid w:val="00C6463E"/>
    <w:rsid w:val="00C85521"/>
    <w:rsid w:val="00C93C66"/>
    <w:rsid w:val="00CB51B1"/>
    <w:rsid w:val="00CB73CE"/>
    <w:rsid w:val="00CB754B"/>
    <w:rsid w:val="00CC038F"/>
    <w:rsid w:val="00CC0405"/>
    <w:rsid w:val="00CC20C9"/>
    <w:rsid w:val="00CF08A1"/>
    <w:rsid w:val="00D06EC5"/>
    <w:rsid w:val="00D12D8C"/>
    <w:rsid w:val="00D21988"/>
    <w:rsid w:val="00D229DC"/>
    <w:rsid w:val="00D306AD"/>
    <w:rsid w:val="00D34152"/>
    <w:rsid w:val="00D34F7B"/>
    <w:rsid w:val="00D520EB"/>
    <w:rsid w:val="00D64DD5"/>
    <w:rsid w:val="00D75313"/>
    <w:rsid w:val="00D75F0B"/>
    <w:rsid w:val="00DB2CBF"/>
    <w:rsid w:val="00DD6B30"/>
    <w:rsid w:val="00DE2950"/>
    <w:rsid w:val="00DF4A06"/>
    <w:rsid w:val="00E030E7"/>
    <w:rsid w:val="00E04544"/>
    <w:rsid w:val="00E339E3"/>
    <w:rsid w:val="00E45EB5"/>
    <w:rsid w:val="00E47342"/>
    <w:rsid w:val="00E61B24"/>
    <w:rsid w:val="00E710BE"/>
    <w:rsid w:val="00E72987"/>
    <w:rsid w:val="00E74DC7"/>
    <w:rsid w:val="00E90AAB"/>
    <w:rsid w:val="00EF56B4"/>
    <w:rsid w:val="00F019B7"/>
    <w:rsid w:val="00F03D45"/>
    <w:rsid w:val="00F1467B"/>
    <w:rsid w:val="00F22E9B"/>
    <w:rsid w:val="00F2766C"/>
    <w:rsid w:val="00F641FB"/>
    <w:rsid w:val="00F64480"/>
    <w:rsid w:val="00F70289"/>
    <w:rsid w:val="00F93229"/>
    <w:rsid w:val="00FA30E9"/>
    <w:rsid w:val="00FB5BCF"/>
    <w:rsid w:val="00FB6A34"/>
    <w:rsid w:val="00FD4BE0"/>
    <w:rsid w:val="00FE3DE4"/>
    <w:rsid w:val="00FF3382"/>
    <w:rsid w:val="00FF6E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52CB98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Gothic" w:eastAsiaTheme="minorEastAsia" w:hAnsi="Century Gothic" w:cs="Arial"/>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6E4C"/>
    <w:pPr>
      <w:tabs>
        <w:tab w:val="center" w:pos="4320"/>
        <w:tab w:val="right" w:pos="8640"/>
      </w:tabs>
    </w:pPr>
  </w:style>
  <w:style w:type="character" w:customStyle="1" w:styleId="HeaderChar">
    <w:name w:val="Header Char"/>
    <w:basedOn w:val="DefaultParagraphFont"/>
    <w:link w:val="Header"/>
    <w:uiPriority w:val="99"/>
    <w:rsid w:val="00FF6E4C"/>
  </w:style>
  <w:style w:type="paragraph" w:styleId="Footer">
    <w:name w:val="footer"/>
    <w:basedOn w:val="Normal"/>
    <w:link w:val="FooterChar"/>
    <w:unhideWhenUsed/>
    <w:rsid w:val="00FF6E4C"/>
    <w:pPr>
      <w:tabs>
        <w:tab w:val="center" w:pos="4320"/>
        <w:tab w:val="right" w:pos="8640"/>
      </w:tabs>
    </w:pPr>
  </w:style>
  <w:style w:type="character" w:customStyle="1" w:styleId="FooterChar">
    <w:name w:val="Footer Char"/>
    <w:basedOn w:val="DefaultParagraphFont"/>
    <w:link w:val="Footer"/>
    <w:rsid w:val="00FF6E4C"/>
  </w:style>
  <w:style w:type="paragraph" w:styleId="Title">
    <w:name w:val="Title"/>
    <w:basedOn w:val="Normal"/>
    <w:link w:val="TitleChar"/>
    <w:qFormat/>
    <w:rsid w:val="00FF6E4C"/>
    <w:pPr>
      <w:jc w:val="center"/>
    </w:pPr>
    <w:rPr>
      <w:rFonts w:ascii="Times New Roman" w:eastAsia="Times New Roman" w:hAnsi="Times New Roman" w:cs="Times New Roman"/>
      <w:b/>
      <w:bCs/>
    </w:rPr>
  </w:style>
  <w:style w:type="character" w:customStyle="1" w:styleId="TitleChar">
    <w:name w:val="Title Char"/>
    <w:basedOn w:val="DefaultParagraphFont"/>
    <w:link w:val="Title"/>
    <w:rsid w:val="00FF6E4C"/>
    <w:rPr>
      <w:rFonts w:ascii="Times New Roman" w:eastAsia="Times New Roman" w:hAnsi="Times New Roman" w:cs="Times New Roman"/>
      <w:b/>
      <w:bCs/>
    </w:rPr>
  </w:style>
  <w:style w:type="paragraph" w:styleId="BodyText2">
    <w:name w:val="Body Text 2"/>
    <w:basedOn w:val="Normal"/>
    <w:link w:val="BodyText2Char"/>
    <w:rsid w:val="00FF6E4C"/>
    <w:pPr>
      <w:jc w:val="center"/>
    </w:pPr>
    <w:rPr>
      <w:rFonts w:ascii="Times New Roman" w:eastAsia="Times New Roman" w:hAnsi="Times New Roman" w:cs="Times New Roman"/>
      <w:b/>
      <w:bCs/>
    </w:rPr>
  </w:style>
  <w:style w:type="character" w:customStyle="1" w:styleId="BodyText2Char">
    <w:name w:val="Body Text 2 Char"/>
    <w:basedOn w:val="DefaultParagraphFont"/>
    <w:link w:val="BodyText2"/>
    <w:rsid w:val="00FF6E4C"/>
    <w:rPr>
      <w:rFonts w:ascii="Times New Roman" w:eastAsia="Times New Roman" w:hAnsi="Times New Roman" w:cs="Times New Roman"/>
      <w:b/>
      <w:bCs/>
    </w:rPr>
  </w:style>
  <w:style w:type="table" w:styleId="TableGrid">
    <w:name w:val="Table Grid"/>
    <w:basedOn w:val="TableNormal"/>
    <w:uiPriority w:val="59"/>
    <w:rsid w:val="00FF6E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57F38"/>
    <w:pPr>
      <w:ind w:left="720"/>
      <w:contextualSpacing/>
    </w:pPr>
  </w:style>
  <w:style w:type="paragraph" w:styleId="BalloonText">
    <w:name w:val="Balloon Text"/>
    <w:basedOn w:val="Normal"/>
    <w:link w:val="BalloonTextChar"/>
    <w:uiPriority w:val="99"/>
    <w:semiHidden/>
    <w:unhideWhenUsed/>
    <w:rsid w:val="00A03EC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03EC1"/>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Gothic" w:eastAsiaTheme="minorEastAsia" w:hAnsi="Century Gothic" w:cs="Arial"/>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6E4C"/>
    <w:pPr>
      <w:tabs>
        <w:tab w:val="center" w:pos="4320"/>
        <w:tab w:val="right" w:pos="8640"/>
      </w:tabs>
    </w:pPr>
  </w:style>
  <w:style w:type="character" w:customStyle="1" w:styleId="HeaderChar">
    <w:name w:val="Header Char"/>
    <w:basedOn w:val="DefaultParagraphFont"/>
    <w:link w:val="Header"/>
    <w:uiPriority w:val="99"/>
    <w:rsid w:val="00FF6E4C"/>
  </w:style>
  <w:style w:type="paragraph" w:styleId="Footer">
    <w:name w:val="footer"/>
    <w:basedOn w:val="Normal"/>
    <w:link w:val="FooterChar"/>
    <w:unhideWhenUsed/>
    <w:rsid w:val="00FF6E4C"/>
    <w:pPr>
      <w:tabs>
        <w:tab w:val="center" w:pos="4320"/>
        <w:tab w:val="right" w:pos="8640"/>
      </w:tabs>
    </w:pPr>
  </w:style>
  <w:style w:type="character" w:customStyle="1" w:styleId="FooterChar">
    <w:name w:val="Footer Char"/>
    <w:basedOn w:val="DefaultParagraphFont"/>
    <w:link w:val="Footer"/>
    <w:rsid w:val="00FF6E4C"/>
  </w:style>
  <w:style w:type="paragraph" w:styleId="Title">
    <w:name w:val="Title"/>
    <w:basedOn w:val="Normal"/>
    <w:link w:val="TitleChar"/>
    <w:qFormat/>
    <w:rsid w:val="00FF6E4C"/>
    <w:pPr>
      <w:jc w:val="center"/>
    </w:pPr>
    <w:rPr>
      <w:rFonts w:ascii="Times New Roman" w:eastAsia="Times New Roman" w:hAnsi="Times New Roman" w:cs="Times New Roman"/>
      <w:b/>
      <w:bCs/>
    </w:rPr>
  </w:style>
  <w:style w:type="character" w:customStyle="1" w:styleId="TitleChar">
    <w:name w:val="Title Char"/>
    <w:basedOn w:val="DefaultParagraphFont"/>
    <w:link w:val="Title"/>
    <w:rsid w:val="00FF6E4C"/>
    <w:rPr>
      <w:rFonts w:ascii="Times New Roman" w:eastAsia="Times New Roman" w:hAnsi="Times New Roman" w:cs="Times New Roman"/>
      <w:b/>
      <w:bCs/>
    </w:rPr>
  </w:style>
  <w:style w:type="paragraph" w:styleId="BodyText2">
    <w:name w:val="Body Text 2"/>
    <w:basedOn w:val="Normal"/>
    <w:link w:val="BodyText2Char"/>
    <w:rsid w:val="00FF6E4C"/>
    <w:pPr>
      <w:jc w:val="center"/>
    </w:pPr>
    <w:rPr>
      <w:rFonts w:ascii="Times New Roman" w:eastAsia="Times New Roman" w:hAnsi="Times New Roman" w:cs="Times New Roman"/>
      <w:b/>
      <w:bCs/>
    </w:rPr>
  </w:style>
  <w:style w:type="character" w:customStyle="1" w:styleId="BodyText2Char">
    <w:name w:val="Body Text 2 Char"/>
    <w:basedOn w:val="DefaultParagraphFont"/>
    <w:link w:val="BodyText2"/>
    <w:rsid w:val="00FF6E4C"/>
    <w:rPr>
      <w:rFonts w:ascii="Times New Roman" w:eastAsia="Times New Roman" w:hAnsi="Times New Roman" w:cs="Times New Roman"/>
      <w:b/>
      <w:bCs/>
    </w:rPr>
  </w:style>
  <w:style w:type="table" w:styleId="TableGrid">
    <w:name w:val="Table Grid"/>
    <w:basedOn w:val="TableNormal"/>
    <w:uiPriority w:val="59"/>
    <w:rsid w:val="00FF6E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57F38"/>
    <w:pPr>
      <w:ind w:left="720"/>
      <w:contextualSpacing/>
    </w:pPr>
  </w:style>
  <w:style w:type="paragraph" w:styleId="BalloonText">
    <w:name w:val="Balloon Text"/>
    <w:basedOn w:val="Normal"/>
    <w:link w:val="BalloonTextChar"/>
    <w:uiPriority w:val="99"/>
    <w:semiHidden/>
    <w:unhideWhenUsed/>
    <w:rsid w:val="00A03EC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03EC1"/>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5542354">
      <w:bodyDiv w:val="1"/>
      <w:marLeft w:val="0"/>
      <w:marRight w:val="0"/>
      <w:marTop w:val="0"/>
      <w:marBottom w:val="0"/>
      <w:divBdr>
        <w:top w:val="none" w:sz="0" w:space="0" w:color="auto"/>
        <w:left w:val="none" w:sz="0" w:space="0" w:color="auto"/>
        <w:bottom w:val="none" w:sz="0" w:space="0" w:color="auto"/>
        <w:right w:val="none" w:sz="0" w:space="0" w:color="auto"/>
      </w:divBdr>
    </w:div>
    <w:div w:id="1301686655">
      <w:bodyDiv w:val="1"/>
      <w:marLeft w:val="0"/>
      <w:marRight w:val="0"/>
      <w:marTop w:val="0"/>
      <w:marBottom w:val="0"/>
      <w:divBdr>
        <w:top w:val="none" w:sz="0" w:space="0" w:color="auto"/>
        <w:left w:val="none" w:sz="0" w:space="0" w:color="auto"/>
        <w:bottom w:val="none" w:sz="0" w:space="0" w:color="auto"/>
        <w:right w:val="none" w:sz="0" w:space="0" w:color="auto"/>
      </w:divBdr>
    </w:div>
    <w:div w:id="1590382564">
      <w:bodyDiv w:val="1"/>
      <w:marLeft w:val="0"/>
      <w:marRight w:val="0"/>
      <w:marTop w:val="0"/>
      <w:marBottom w:val="0"/>
      <w:divBdr>
        <w:top w:val="none" w:sz="0" w:space="0" w:color="auto"/>
        <w:left w:val="none" w:sz="0" w:space="0" w:color="auto"/>
        <w:bottom w:val="none" w:sz="0" w:space="0" w:color="auto"/>
        <w:right w:val="none" w:sz="0" w:space="0" w:color="auto"/>
      </w:divBdr>
    </w:div>
    <w:div w:id="1668820156">
      <w:bodyDiv w:val="1"/>
      <w:marLeft w:val="0"/>
      <w:marRight w:val="0"/>
      <w:marTop w:val="0"/>
      <w:marBottom w:val="0"/>
      <w:divBdr>
        <w:top w:val="none" w:sz="0" w:space="0" w:color="auto"/>
        <w:left w:val="none" w:sz="0" w:space="0" w:color="auto"/>
        <w:bottom w:val="none" w:sz="0" w:space="0" w:color="auto"/>
        <w:right w:val="none" w:sz="0" w:space="0" w:color="auto"/>
      </w:divBdr>
    </w:div>
    <w:div w:id="170860287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 Id="rId2"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497B4B-A250-514F-87DF-4E16DEA26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6</Pages>
  <Words>958</Words>
  <Characters>5462</Characters>
  <Application>Microsoft Macintosh Word</Application>
  <DocSecurity>0</DocSecurity>
  <Lines>45</Lines>
  <Paragraphs>12</Paragraphs>
  <ScaleCrop>false</ScaleCrop>
  <Company>Coalition of Local Health Officials</Company>
  <LinksUpToDate>false</LinksUpToDate>
  <CharactersWithSpaces>6408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D. Cowling</dc:creator>
  <cp:keywords/>
  <dc:description/>
  <cp:lastModifiedBy>Morgan D. Cowling</cp:lastModifiedBy>
  <cp:revision>5</cp:revision>
  <cp:lastPrinted>2018-01-12T00:45:00Z</cp:lastPrinted>
  <dcterms:created xsi:type="dcterms:W3CDTF">2018-03-15T21:21:00Z</dcterms:created>
  <dcterms:modified xsi:type="dcterms:W3CDTF">2018-03-19T18:07:00Z</dcterms:modified>
</cp:coreProperties>
</file>