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CEDC0" w14:textId="356137F3" w:rsidR="00F31D80" w:rsidRPr="00A57E35" w:rsidRDefault="003378FC" w:rsidP="003378FC">
      <w:pPr>
        <w:pStyle w:val="Title"/>
        <w:ind w:firstLine="720"/>
        <w:jc w:val="both"/>
        <w:rPr>
          <w:rFonts w:ascii="Times" w:hAnsi="Times"/>
        </w:rPr>
      </w:pPr>
      <w:r>
        <w:rPr>
          <w:noProof/>
        </w:rPr>
        <mc:AlternateContent>
          <mc:Choice Requires="wpg">
            <w:drawing>
              <wp:anchor distT="0" distB="0" distL="114300" distR="114300" simplePos="0" relativeHeight="251659264" behindDoc="0" locked="0" layoutInCell="1" allowOverlap="1" wp14:anchorId="02B1372D" wp14:editId="727BAE67">
                <wp:simplePos x="0" y="0"/>
                <wp:positionH relativeFrom="column">
                  <wp:posOffset>-914400</wp:posOffset>
                </wp:positionH>
                <wp:positionV relativeFrom="paragraph">
                  <wp:posOffset>-457200</wp:posOffset>
                </wp:positionV>
                <wp:extent cx="1828800" cy="1036955"/>
                <wp:effectExtent l="0" t="0" r="0" b="4445"/>
                <wp:wrapThrough wrapText="bothSides">
                  <wp:wrapPolygon edited="0">
                    <wp:start x="4500" y="0"/>
                    <wp:lineTo x="3600" y="15873"/>
                    <wp:lineTo x="300" y="17460"/>
                    <wp:lineTo x="300" y="21164"/>
                    <wp:lineTo x="21000" y="21164"/>
                    <wp:lineTo x="21300" y="17460"/>
                    <wp:lineTo x="19500" y="16931"/>
                    <wp:lineTo x="14700" y="16931"/>
                    <wp:lineTo x="15900" y="14814"/>
                    <wp:lineTo x="15900" y="1587"/>
                    <wp:lineTo x="14400" y="0"/>
                    <wp:lineTo x="7200" y="0"/>
                    <wp:lineTo x="4500" y="0"/>
                  </wp:wrapPolygon>
                </wp:wrapThrough>
                <wp:docPr id="4" name="Group 4"/>
                <wp:cNvGraphicFramePr/>
                <a:graphic xmlns:a="http://schemas.openxmlformats.org/drawingml/2006/main">
                  <a:graphicData uri="http://schemas.microsoft.com/office/word/2010/wordprocessingGroup">
                    <wpg:wgp>
                      <wpg:cNvGrpSpPr/>
                      <wpg:grpSpPr>
                        <a:xfrm>
                          <a:off x="0" y="0"/>
                          <a:ext cx="1828800" cy="1036955"/>
                          <a:chOff x="-265528" y="102675"/>
                          <a:chExt cx="2124222" cy="1016679"/>
                        </a:xfrm>
                      </wpg:grpSpPr>
                      <pic:pic xmlns:pic="http://schemas.openxmlformats.org/drawingml/2006/picture">
                        <pic:nvPicPr>
                          <pic:cNvPr id="2" name="Picture 2"/>
                          <pic:cNvPicPr>
                            <a:picLocks noChangeAspect="1"/>
                          </pic:cNvPicPr>
                        </pic:nvPicPr>
                        <pic:blipFill>
                          <a:blip r:embed="rId9"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FE8C9" w14:textId="77777777" w:rsidR="00EB563C" w:rsidRPr="00726A3E" w:rsidRDefault="00EB563C" w:rsidP="003378FC">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71.95pt;margin-top:-35.95pt;width:2in;height:81.65pt;z-index:251659264;mso-width-relative:margin;mso-height-relative:margin" coordorigin="-265528,102675" coordsize="2124222,101667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v7KyRFgQAANkJAAAOAAAAZHJzL2Uyb0RvYy54bWykVttu4zYQfS/QfxD0&#10;rugSSbaEOIvEjoMF0jbobj+AliiLWIlUSTp2tui/95CUrynQbGogCq/DOWfODHnzadd33guVigk+&#10;8+OryPcor0TN+Hrm//F1GUx9T2nCa9IJTmf+K1X+p9uff7rZDiVNRCu6mkoPRrgqt8PMb7UeyjBU&#10;VUt7oq7EQDkmGyF7otGV67CWZAvrfRcmUZSHWyHrQYqKKoXRhZv0b639pqGV/q1pFNVeN/Phm7Zf&#10;ab8r8w1vb0i5lmRoWTW6QT7gRU8Yx6EHUwuiibeR7I2pnlVSKNHoq0r0oWgaVlGLAWji6ALNoxSb&#10;wWJZl9v1cKAJ1F7w9GGz1a8vz9Jj9cxPfY+THiGyp3qpoWY7rEuseJTDl+FZjgNr1zNod43szX/g&#10;8HaW1NcDqXSnvQqD8TSZTiNwX2Eujq7zIssc7VWL2Jh9QZJnWQKl2BVJPjkseBiNJHGSJkmyNxLn&#10;+aQwRsK9D6Fx9eDZwKoSfyNhaL0h7L+FhV16I6k/GunfZaMn8ttmCBDbgWi2Yh3Tr1aniKJxir88&#10;s+pZus6RewBz3GPWHOolBpzZYNa4HcQgehLVN+VxMW8JX9M7NUDgYNVScb48NN2z41YdG5as60zA&#10;THsEhmS4ENO/cOOEuhDVpqdcu8yTtANGwVXLBuV7sqT9ikJI8nMdI1DIeg01DZJx7eKtZPU7/AUy&#10;Uiotqa5a02zg0ziOcB4mLICjzwaOggi91fYXUcMw2WhhU+5ChPF1Mskh5gstHeQYx9N8cu2UBF1O&#10;LoQEmqXSj1T0nmkADly255CXJ2Wch5P7JcZ9LgypFlTHve3ML7IksxtOZnqmUeY61s98nImfY6Sl&#10;pH7gtd2sCetcGwd0HOfsIY9NdE1Gok6qfezQexO9HyoFX1oyUDhrzB7lCHacHL8a1u7FzulxXGRK&#10;gad3GDbKs8EcLnQppdgabPDOafNkqzvsXaE8rQtFdJ1mtiiRch/Ls6qQxFnheD0UhWOgPhLLs+CO&#10;MbFnQwZmznhhS/xfRVQ8TB+maZAm+UOQRnUd3C3naZAv40m2uF7M54v4b8NUnJYtq2vKjWTG/MPg&#10;+2I4XnzuojhcOEp0rN6ntZLr1byT3gvBdbe0P1sakFbHZeG5G1bQwHIBCQU3uk+KYJlPJ0HapFlQ&#10;TKJpEMXFfZFHaZEulueQnhin/x/SWQKdOA0Ep9hsDtkkQmDOlv1gph0iYtw/UgGroMQGGjeLspXH&#10;CVfvVjvkqxlcifoVqSAFqgTuN7yC0GiF/O57W7woZr76c0PMDdJ95siEIk5T8wSxnTSbJOjI05nV&#10;6QzhFUzNfO17rjnX7tmyQUVdtzjJ5R4XdyiEDbOV6egVoJgOSoVt2feDhTe+dcwD5bRvVx1fZLf/&#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EXLDLnhAAAACwEAAA8AAABkcnMvZG93&#10;bnJldi54bWxMj8FOwkAQhu8mvsNmTLzBdqUq1G4JIeqJkAgmxNvQDm1Dd7fpLm15e4eT3v7JfPnn&#10;m3Q5mkb01PnaWQ1qGoEgm7uitqWG7/3HZA7CB7QFNs6Shit5WGb3dykmhRvsF/W7UAousT5BDVUI&#10;bSKlzysy6KeuJcu7k+sMBh67UhYdDlxuGvkURS/SYG35QoUtrSvKz7uL0fA54LCaqfd+cz6trz/7&#10;5+1ho0jrx4dx9QYi0Bj+YLjpszpk7HR0F1t40WiYqHi2YJbTq+JwQ+JYgThqWKgYZJbK/z9kvwAA&#10;AP//AwBQSwMEFAAGAAgAAAAhAJ4T6KNUDQAA1BkAABQAAABkcnMvbWVkaWEvaW1hZ2UxLmVtZuxZ&#10;e3hURZY/CZHwCoSE7r638+h0dx6dR5OGdMBgv4QqBCGQoIU8HBQW8DGQgSgBRDCIizoqaGRB15Vx&#10;GVeZmqigECEoRAUhEoTIQ0Vh8DmCL5Bh5H33V7fTTJbP2flm9o/d+Xbq48ev6lTdU49z6px7O3FE&#10;NA2YdQVRBdAlmciRRKTZiOZZic4NIvJcSZTFywcTxdE+nWgIxncA2pemFKJvNKKdEHaPa99D1KR3&#10;oI6OBIICKgKyAKgrjIvEUTrqyUBcctNHIBoTH4UaeyNQAaixrkgCdUNdlUw8F6tnt6s7I4mX5L5I&#10;vKk3wXyiNpwQoUt9SrcHUHNfw4YOwpSX9t81mSgN+1fFXENnrAFQayiIEGVDjm2i1IZNuqzeKUId&#10;NIzvBph7ajsLY9BsLvtp3PinuzgtdnKznaBx0Tybi9YSbnwI3lbKjefBE8F753CR34/Li3dzcVuA&#10;y8NzOQ0uN1k8Wc6NXXMxbkRUPmAkN55C+wS4P/jrCm647+R0cyU3xt/BxcJKLj+eycVItKfPMPvl&#10;d1VcbKzgYudULlehf/EETucruBw1msuDFRxW5vQE2nWDuMio5OJJf5SvK44+B1bjxCeeqPxkDpfd&#10;MK4wJ6on120yuZwmC1tWtP1serTfp0f5ohaVL+tuslh7jim9ctwhptZPQ15j5rpywVMhn7CJycwR&#10;nDY0MnUOomcjo17lWOurTC4Zfonlqg1M9BiGtYHvGcrlveuZfA57mvwSE4mMy3c3MmEEuDi0lsmO&#10;ZZweXcNkSn8uXn+RiVv8nL56mYnOJTjTBkZn1V6h//oiLvtiXuyZ0jcxsSiPiw/RfgN7/uB1RgGc&#10;wYLNTDZkc2rZwuSobC6+3cKo3s1FZRMTQReX1U1MkpPL+DcZbXVweuBNJmsyo3wkg0vXNkbTwMe2&#10;MVmRzuWIt5koTePyZXBnOxen3mbyGRsXj4GHWLgob2bEUjmNeYdRYzIXXox7MAn7eoeJM125LGhh&#10;ZO3CxfQWJvt24vIHcKgjpzWQD0jAvpuZeOw0Exd2Men6kYn83cwYeYqJR3YzGf8HnMkeJr49weiJ&#10;PVjnUQB8+AgTGa2Mbv0AulqZ+Nn7jDzvMRqy/xLLju9h3HazLZc3MrkK47wvMLEQvF+aekj7LaMN&#10;e5lIQnvlQSam1DORA52uekZjPmO0uh42/YLRjBeYfPGrKK86xkwb9fwG9nwJZ/w9k+/BdjGu/oGJ&#10;8jXMGH/SZJF0ismXMe/YM+Zzam9yBNre04x24HnrGaZsL8rPMeULMZYXzzOas44ZHxnwv1eZuJq4&#10;CML33iZOviZGDWiP3c5Eaxx8ZSeTD8Tj/r7LqLoDp49xli8mcHWGYmFHLr7AWXkSuZi1l8kJnaFn&#10;H5N+2AptqurGxRU4txt7wFdbmZzWAz6MM1a8BzZYCTn00DfJXDbuYnQkxWQ5opc5r8izcFnVzGRt&#10;Ly7/FT4w2Wr6hDgKPrqD0R9sXA78E4v8DFMutkRZLndy0/bfuaP6W3Lh82pej+krVFGAuAW9p/Oi&#10;vvRNftS3bvJycfVORr/sw+US+NLHuDPKB7uXcvke1pNZyqkIvoVYRjsw/wHIsQ5xoh/uGM6tjWlz&#10;GZfPQT60jIt/3sHk8gFcPL2VyQUhTgx34Dvc0eZt8OkwJ20rE5URxKS3cAevNu9MjFWcops3MPoS&#10;jLsoWocjloG3jOTKjjIwFOfdyChhDBcvbGTkGwu7bGCy0zjzblP2eC5TcMePTTBjhrF0EuIR2qOn&#10;mjHFKLkN8bgBd3cal1+ux7qqzJhidEBc3baeGY/cgfN6hcnes2CvBmZ8Ad74KjPjPGJGjMVDiOOn&#10;EQseQ3xHTDAWzTfb8sYF5r4Mfg+nbm/D78Dq3BJro+dpqzXPXfpqTbtTGdq40zQK7TnwizYWHsjh&#10;L+p5ZUfRusD0J/H+/Kj/qXns7zMzr3z7ATOWzuOi7BCTy7COrz5nRuE86PuSyYF3IUZ+zYwH7+Zy&#10;5Umm8ousw935HOt+/QwzDLTvOsPkYuS1gWeZKAHjzojdNVzMPc+MV2Zx4/cXmAjP4nIScTFzFid7&#10;nJmX5JI4LoYhL+3EnZkP3pLAZfdqTv4ruHBUc9kxkRvF1YitnXBGkNd34cZE8J2IZxEw7ow8AE5I&#10;Mp+XMgn5ogY6uiOPYR0HwMdmc/oBd+cmrDepJ+4qzn0dWJ3/tSncXL8r1ZSLZvApjPP2MvOxulsq&#10;Lys2fge99YizaKu7pfKyrLIhHmO8RTOZFtij8yKXyevxXEuUxVzk+7a8Tx3+X5dFvSJUm4x3JfU+&#10;ZuCfE9wJmASodzn1mqTerRSIakMmXVZX72l5gHr/anutQg3aUHKAmJ7UdvWrUFfzCCBdTd5WjLai&#10;FO0OdstdEbrZsztIuSeCJ4tOBWd4vwre4C0JPegNhfXimlBFSU1oSkl1aAV4V8mU0LmS4aEyf2Jw&#10;tH9/4CZ/TWCU3x4o8zde5fWvLbvF/0z/oP/x0lL/xT7Z/s98g/053sH+vYVeoNTfv2Cwf17+QP/Q&#10;/KB/hyfovwZIAPLygv5huUF/CPi1O+if5Sj1y7TR/vttQf8im+a/3ba4RNimlFxtG1RywuoykWp7&#10;s2+8bULfl6yevl9bqM+VtlDxAGukd7L1Le8Bi+Ydb32j6JD1QuFZa69CbutfMMn2u/xxtl/kb7SV&#10;579rK8o/bUvNP2876umsLfEkaWFPWPs+b6T2b8DsvF9rY/Ne01Lzdmgtufu1hbmHtN/ntGqVOR59&#10;d/ZQ3Zu9VZvoHqdfcN2n3+d6WO/qelpf4lymJzl9ek/HZv2zzM/11ZnH9Xsy4+yBzJ52b0aS3Z7u&#10;sndNy7Ufsw+yP28ibD+rDbJX2krsz1qK7WMtSfaJlln2iGVU2kOWDmmLLLelP25Zk15v6ZVRb7ku&#10;44BlYcZJy9EM3apQntnJejvwTOZ6S4HjgGV15mpLguNHi9ORbL3VMcDESscj1rOOi9YeWVNtvqwE&#10;rSjrmHZH1jz937Pe1z/KatQLnMf1Xzmvsu9wTrePdi22d8uebre7f2Xf73bZD7p7Aqf1L93H9bLs&#10;Br0BSMmZpw/JKdIdOaP0FTiJjTnp+rmcRBND89L1KmCyZ7N+1tOgr82/oOcWPK3XFXD9fP59+tyC&#10;cfrowlv0iUWP6qXeofpAb5k+2Jut3+C16Xd6E/VN3j9qClW9U/XK3j30Z3vXaSuLn9cGFG/QPile&#10;qKX6ZmqzfbAM8Jmvi+20b6OtpOQ3tu9KHrGO6FtuM0r9tmv7pdkW9jtr3d7vE+vG/vG2VVdetC4r&#10;O2EdNmCr1Riwydp41UvWcOBV66eB+dZrg3usc4J/tO4OcpvCxFCG5g511m4KZ2jLwzO1PeEm7VTY&#10;psdHyvQukXG6LTJPT4s8rOdFXjCRGjmunwpf0F8J97TfGZ5uXx7+1B4Kp6d9GnoubXL4qfTm0K70&#10;paE5Gc5wdeaU0NrMK0P9HAtCvR1Hgtc4dgZXOl4OLnH8PLjJMSJoyxof5FmJwUlZrYG1WYcDvZ33&#10;BoY5FweanL8MlLoeD/zGtSLwkWtpwO5eFwi7Dwduc/9L8F73keA695ngObc1NDBbhH6ePTH0WPaC&#10;0HbUT2QHQl1yTgRTTDQEbwevyCkJHcwpDCXkFoZW5h4JhnL3BfsCGbnq7gcQE1SMUEFHxZb238J2&#10;fAu2jyexOINhte3iVQTttlIbidVUvHIBKi6pcKO+J9OBZEB9TyZEon1omt+avcBqHeqbVH1fq/Ee&#10;QD0T+079WUeiVcA7GFjZBR0oatzlz46CbAZim1qD+4IRDZKoq/KaEqoSIddomkLVNJkmUhXwt5Wb&#10;Mc/XeHQNMAZYFtOP+p6qOjNW73sjhTwL62gGWMnM8mYKPfBQnYmogOjAgjp6AmMevrvZt/rDOF/F&#10;4et9I5vifFnbU+gZQLsV/dPraFp1nblnojp6DXrUeR3HczXXtfg+qI3qV7LzkKnxqzFG8ZyZ0fW0&#10;YC3Jb6WY0x7ss96n+nZAZwB7ad835u46Sr83qk/ZItYfj/oY6JxcY5rsUv5RciugbK4BagZVh1qz&#10;repwhfjrwQpPwZYbgHrYsy/sqcYJcX/khmn3R1Tfk+p3BMiGA+1LW/oyKiAcBKRg4ti8alzMT7vD&#10;T9W61bxqbYMB1U4HYj61GHPfkki0GfNbuqIDRY37h0/9ffrUVthzPuy5HPb88TKfUn0T2mT/nU+p&#10;vr1wvL/Vp67DHLWYqw/iZ7FyPpR/+NTfb5x6FPZcAXuegi17Au3jlOqbg7jxl+LUEPjA1P9BnFqH&#10;eZciHv62B3J1u99o//fi1Fu+Ymxa7TtWVIxlyDkqJ/1U7iua0ezbhxyn4rfKfSovqrFKhxqv6i2Q&#10;/bncF5snyil0I8arovJUFurfT2v2qboqCWhrQDfg/2LuOw17/gfsORX2VH9zUGcQy32qb3Gbnw03&#10;d/On/9rnvpEQ/+Kv8Ck/xnuAP/N7fi26APO3fbPuhABu/1++U9V6JgM1V0T/ZtI5mUjH+mPtZbgP&#10;7yD+5pPEqFj56b8XxHovZxcE2P5PvjfGR6J96Cbk97b3oOh7pboL/wkAAP//AwBQSwECLQAUAAYA&#10;CAAAACEAIX7lLQkBAAAVAgAAEwAAAAAAAAAAAAAAAAAAAAAAW0NvbnRlbnRfVHlwZXNdLnhtbFBL&#10;AQItABQABgAIAAAAIQAjsmrh1wAAAJQBAAALAAAAAAAAAAAAAAAAADoBAABfcmVscy8ucmVsc1BL&#10;AQItABQABgAIAAAAIQDv7KyRFgQAANkJAAAOAAAAAAAAAAAAAAAAADoCAABkcnMvZTJvRG9jLnht&#10;bFBLAQItABQABgAIAAAAIQCOIglCugAAACEBAAAZAAAAAAAAAAAAAAAAAHwGAABkcnMvX3JlbHMv&#10;ZTJvRG9jLnhtbC5yZWxzUEsBAi0AFAAGAAgAAAAhAEXLDLnhAAAACwEAAA8AAAAAAAAAAAAAAAAA&#10;bQcAAGRycy9kb3ducmV2LnhtbFBLAQItABQABgAIAAAAIQCeE+ijVA0AANQZAAAUAAAAAAAAAAAA&#10;AAAAAHsIAABkcnMvbWVkaWEvaW1hZ2UxLmVtZlBLBQYAAAAABgAGAHwBAAAB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64;top:102675;width:1118673;height:8007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SD&#10;FBLDAAAA2gAAAA8AAABkcnMvZG93bnJldi54bWxEj0FrwkAUhO+F/oflFXqrGwOKRFcpYqnVk9aL&#10;t0f2mcRm38bdNYn/3hWEHoeZ+YaZLXpTi5acrywrGA4SEMS51RUXCg6/Xx8TED4ga6wtk4IbeVjM&#10;X19mmGnb8Y7afShEhLDPUEEZQpNJ6fOSDPqBbYijd7LOYIjSFVI77CLc1DJNkrE0WHFcKLGhZUn5&#10;3/5qFCRteu1+ztvv1cF1yzDEy3EzGiv1/tZ/TkEE6sN/+NleawUpPK7EGyDn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IMUEsMAAADaAAAADwAAAAAAAAAAAAAAAACcAgAA&#10;ZHJzL2Rvd25yZXYueG1sUEsFBgAAAAAEAAQA9wAAAIwDAAAAAA==&#10;">
                  <v:imagedata r:id="rId10" o:title=""/>
                  <v:path arrowok="t"/>
                </v:shape>
                <v:shapetype id="_x0000_t202" coordsize="21600,21600" o:spt="202" path="m0,0l0,21600,21600,21600,21600,0xe">
                  <v:stroke joinstyle="miter"/>
                  <v:path gradientshapeok="t" o:connecttype="rect"/>
                </v:shapetype>
                <v:shape id="Text Box 2" o:spid="_x0000_s1028" type="#_x0000_t202" style="position:absolute;left:-265528;top:903454;width:2124222;height:215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528FE8C9" w14:textId="77777777" w:rsidR="003A27A2" w:rsidRPr="00726A3E" w:rsidRDefault="003A27A2" w:rsidP="003378FC">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r w:rsidR="00F31D80" w:rsidRPr="00A57E35">
        <w:rPr>
          <w:rFonts w:ascii="Times" w:hAnsi="Times"/>
        </w:rPr>
        <w:t>CONFERENCE OF LOCAL HEALTH OFFICIALS</w:t>
      </w:r>
    </w:p>
    <w:p w14:paraId="00A4EF34" w14:textId="3FD6F355" w:rsidR="00F31D80" w:rsidRPr="00A57E35" w:rsidRDefault="00F31D80" w:rsidP="00DD4CA3">
      <w:pPr>
        <w:ind w:firstLine="720"/>
        <w:rPr>
          <w:rFonts w:ascii="Times" w:eastAsia="Times New Roman" w:hAnsi="Times" w:cs="Times New Roman"/>
          <w:b/>
        </w:rPr>
      </w:pPr>
      <w:r w:rsidRPr="00A57E35">
        <w:rPr>
          <w:rFonts w:ascii="Times" w:hAnsi="Times"/>
          <w:b/>
        </w:rPr>
        <w:t>Meeting Minutes</w:t>
      </w:r>
    </w:p>
    <w:p w14:paraId="5279527D" w14:textId="77777777" w:rsidR="00F31D80" w:rsidRDefault="00F31D80" w:rsidP="00F31D80">
      <w:pPr>
        <w:pStyle w:val="BodyText2"/>
        <w:jc w:val="left"/>
      </w:pPr>
    </w:p>
    <w:p w14:paraId="79CFD143" w14:textId="77777777" w:rsidR="0074590D" w:rsidRDefault="0074590D" w:rsidP="00661E3D">
      <w:pPr>
        <w:ind w:right="-720"/>
        <w:rPr>
          <w:sz w:val="20"/>
          <w:szCs w:val="20"/>
        </w:rPr>
      </w:pPr>
    </w:p>
    <w:p w14:paraId="135E72E2" w14:textId="55E1A3F3" w:rsidR="00F31D80" w:rsidRPr="00661E3D" w:rsidRDefault="00F31D80" w:rsidP="00661E3D">
      <w:pPr>
        <w:ind w:right="-720"/>
        <w:rPr>
          <w:sz w:val="20"/>
          <w:szCs w:val="20"/>
        </w:rPr>
      </w:pPr>
      <w:r w:rsidRPr="008D5A67">
        <w:rPr>
          <w:sz w:val="20"/>
          <w:szCs w:val="20"/>
        </w:rPr>
        <w:t xml:space="preserve">In attendance: Nancy Staten (Baker), </w:t>
      </w:r>
      <w:r w:rsidR="00CC06C2">
        <w:rPr>
          <w:sz w:val="20"/>
          <w:szCs w:val="20"/>
        </w:rPr>
        <w:t xml:space="preserve">Charlie </w:t>
      </w:r>
      <w:proofErr w:type="spellStart"/>
      <w:r w:rsidR="00CC06C2">
        <w:rPr>
          <w:sz w:val="20"/>
          <w:szCs w:val="20"/>
        </w:rPr>
        <w:t>Fautin</w:t>
      </w:r>
      <w:proofErr w:type="spellEnd"/>
      <w:r w:rsidR="00172BBB">
        <w:rPr>
          <w:sz w:val="20"/>
          <w:szCs w:val="20"/>
        </w:rPr>
        <w:t xml:space="preserve"> (Benton)</w:t>
      </w:r>
      <w:r w:rsidR="00CC06C2">
        <w:rPr>
          <w:sz w:val="20"/>
          <w:szCs w:val="20"/>
        </w:rPr>
        <w:t xml:space="preserve">, Dawn </w:t>
      </w:r>
      <w:proofErr w:type="spellStart"/>
      <w:r w:rsidR="00CC06C2">
        <w:rPr>
          <w:sz w:val="20"/>
          <w:szCs w:val="20"/>
        </w:rPr>
        <w:t>Emerick</w:t>
      </w:r>
      <w:proofErr w:type="spellEnd"/>
      <w:r w:rsidR="00172BBB">
        <w:rPr>
          <w:sz w:val="20"/>
          <w:szCs w:val="20"/>
        </w:rPr>
        <w:t xml:space="preserve"> (Clackamas)</w:t>
      </w:r>
      <w:r w:rsidR="00CC06C2">
        <w:rPr>
          <w:sz w:val="20"/>
          <w:szCs w:val="20"/>
        </w:rPr>
        <w:t xml:space="preserve">, </w:t>
      </w:r>
      <w:r w:rsidR="00F90053">
        <w:rPr>
          <w:sz w:val="20"/>
          <w:szCs w:val="20"/>
        </w:rPr>
        <w:t>Sherrie</w:t>
      </w:r>
      <w:r w:rsidR="00172BBB">
        <w:rPr>
          <w:sz w:val="20"/>
          <w:szCs w:val="20"/>
        </w:rPr>
        <w:t xml:space="preserve"> Ford</w:t>
      </w:r>
      <w:r w:rsidR="00F90053">
        <w:rPr>
          <w:sz w:val="20"/>
          <w:szCs w:val="20"/>
        </w:rPr>
        <w:t xml:space="preserve"> </w:t>
      </w:r>
      <w:r w:rsidR="00172BBB">
        <w:rPr>
          <w:sz w:val="20"/>
          <w:szCs w:val="20"/>
        </w:rPr>
        <w:t>(</w:t>
      </w:r>
      <w:r w:rsidR="00F90053">
        <w:rPr>
          <w:sz w:val="20"/>
          <w:szCs w:val="20"/>
        </w:rPr>
        <w:t>C</w:t>
      </w:r>
      <w:r w:rsidR="006D5EC8">
        <w:rPr>
          <w:sz w:val="20"/>
          <w:szCs w:val="20"/>
        </w:rPr>
        <w:t>olumbia</w:t>
      </w:r>
      <w:r w:rsidR="00172BBB">
        <w:rPr>
          <w:sz w:val="20"/>
          <w:szCs w:val="20"/>
        </w:rPr>
        <w:t>)</w:t>
      </w:r>
      <w:r w:rsidR="00F90053">
        <w:rPr>
          <w:sz w:val="20"/>
          <w:szCs w:val="20"/>
        </w:rPr>
        <w:t xml:space="preserve">, </w:t>
      </w:r>
      <w:r w:rsidRPr="008D5A67">
        <w:rPr>
          <w:sz w:val="20"/>
          <w:szCs w:val="20"/>
        </w:rPr>
        <w:t xml:space="preserve">Muriel </w:t>
      </w:r>
      <w:proofErr w:type="spellStart"/>
      <w:r w:rsidRPr="008D5A67">
        <w:rPr>
          <w:sz w:val="20"/>
          <w:szCs w:val="20"/>
        </w:rPr>
        <w:t>DeLaVergne</w:t>
      </w:r>
      <w:proofErr w:type="spellEnd"/>
      <w:r w:rsidRPr="008D5A67">
        <w:rPr>
          <w:sz w:val="20"/>
          <w:szCs w:val="20"/>
        </w:rPr>
        <w:t>-Brown (Crook),</w:t>
      </w:r>
      <w:r w:rsidR="00114072">
        <w:rPr>
          <w:sz w:val="20"/>
          <w:szCs w:val="20"/>
        </w:rPr>
        <w:t xml:space="preserve"> </w:t>
      </w:r>
      <w:r w:rsidR="0074590D">
        <w:rPr>
          <w:sz w:val="20"/>
          <w:szCs w:val="20"/>
        </w:rPr>
        <w:t xml:space="preserve">Florence </w:t>
      </w:r>
      <w:proofErr w:type="spellStart"/>
      <w:r w:rsidR="0074590D">
        <w:rPr>
          <w:sz w:val="20"/>
          <w:szCs w:val="20"/>
        </w:rPr>
        <w:t>Pourtal</w:t>
      </w:r>
      <w:proofErr w:type="spellEnd"/>
      <w:r w:rsidR="0074590D">
        <w:rPr>
          <w:sz w:val="20"/>
          <w:szCs w:val="20"/>
        </w:rPr>
        <w:t xml:space="preserve"> – Stevens (Coos), </w:t>
      </w:r>
      <w:r w:rsidR="006D5EC8">
        <w:rPr>
          <w:sz w:val="20"/>
          <w:szCs w:val="20"/>
        </w:rPr>
        <w:t xml:space="preserve">Hilary </w:t>
      </w:r>
      <w:proofErr w:type="spellStart"/>
      <w:r w:rsidR="006D5EC8">
        <w:rPr>
          <w:sz w:val="20"/>
          <w:szCs w:val="20"/>
        </w:rPr>
        <w:t>Saraceno</w:t>
      </w:r>
      <w:proofErr w:type="spellEnd"/>
      <w:r w:rsidR="006D5EC8">
        <w:rPr>
          <w:sz w:val="20"/>
          <w:szCs w:val="20"/>
        </w:rPr>
        <w:t xml:space="preserve"> (Deschutes);</w:t>
      </w:r>
      <w:r w:rsidR="00CC06C2">
        <w:rPr>
          <w:sz w:val="20"/>
          <w:szCs w:val="20"/>
        </w:rPr>
        <w:t xml:space="preserve"> </w:t>
      </w:r>
      <w:r w:rsidR="00F15DA5">
        <w:rPr>
          <w:sz w:val="20"/>
          <w:szCs w:val="20"/>
        </w:rPr>
        <w:t xml:space="preserve">Bob </w:t>
      </w:r>
      <w:proofErr w:type="spellStart"/>
      <w:r w:rsidR="00F15DA5">
        <w:rPr>
          <w:sz w:val="20"/>
          <w:szCs w:val="20"/>
        </w:rPr>
        <w:t>Dannenhoffer</w:t>
      </w:r>
      <w:proofErr w:type="spellEnd"/>
      <w:r w:rsidR="00F15DA5">
        <w:rPr>
          <w:sz w:val="20"/>
          <w:szCs w:val="20"/>
        </w:rPr>
        <w:t xml:space="preserve"> (</w:t>
      </w:r>
      <w:r w:rsidR="00661E3D" w:rsidRPr="00F15DA5">
        <w:rPr>
          <w:sz w:val="20"/>
          <w:szCs w:val="20"/>
        </w:rPr>
        <w:t>Douglas</w:t>
      </w:r>
      <w:r w:rsidR="00F15DA5">
        <w:rPr>
          <w:sz w:val="20"/>
          <w:szCs w:val="20"/>
        </w:rPr>
        <w:t>)</w:t>
      </w:r>
      <w:r w:rsidR="00661E3D">
        <w:rPr>
          <w:sz w:val="20"/>
          <w:szCs w:val="20"/>
        </w:rPr>
        <w:t xml:space="preserve">; </w:t>
      </w:r>
      <w:r w:rsidR="00F15DA5">
        <w:rPr>
          <w:sz w:val="20"/>
          <w:szCs w:val="20"/>
        </w:rPr>
        <w:t xml:space="preserve">Teri </w:t>
      </w:r>
      <w:proofErr w:type="spellStart"/>
      <w:r w:rsidR="00F15DA5">
        <w:rPr>
          <w:sz w:val="20"/>
          <w:szCs w:val="20"/>
        </w:rPr>
        <w:t>Thalhofer</w:t>
      </w:r>
      <w:proofErr w:type="spellEnd"/>
      <w:r w:rsidR="00F15DA5">
        <w:rPr>
          <w:sz w:val="20"/>
          <w:szCs w:val="20"/>
        </w:rPr>
        <w:t xml:space="preserve"> (</w:t>
      </w:r>
      <w:r w:rsidR="00661E3D" w:rsidRPr="00F15DA5">
        <w:rPr>
          <w:sz w:val="20"/>
          <w:szCs w:val="20"/>
        </w:rPr>
        <w:t>North Central</w:t>
      </w:r>
      <w:r w:rsidR="00F15DA5">
        <w:rPr>
          <w:sz w:val="20"/>
          <w:szCs w:val="20"/>
        </w:rPr>
        <w:t>)</w:t>
      </w:r>
      <w:r w:rsidR="00661E3D">
        <w:rPr>
          <w:sz w:val="20"/>
          <w:szCs w:val="20"/>
        </w:rPr>
        <w:t>;</w:t>
      </w:r>
      <w:r w:rsidR="0074590D">
        <w:rPr>
          <w:sz w:val="20"/>
          <w:szCs w:val="20"/>
        </w:rPr>
        <w:t xml:space="preserve"> </w:t>
      </w:r>
      <w:r w:rsidR="006D5EC8">
        <w:rPr>
          <w:sz w:val="20"/>
          <w:szCs w:val="20"/>
        </w:rPr>
        <w:t>Ellen Larsen (Hood River);</w:t>
      </w:r>
      <w:r w:rsidR="000F6F66">
        <w:rPr>
          <w:sz w:val="20"/>
          <w:szCs w:val="20"/>
        </w:rPr>
        <w:t xml:space="preserve"> </w:t>
      </w:r>
      <w:r w:rsidR="006D5EC8">
        <w:rPr>
          <w:sz w:val="20"/>
          <w:szCs w:val="20"/>
        </w:rPr>
        <w:t xml:space="preserve">Jackson </w:t>
      </w:r>
      <w:proofErr w:type="spellStart"/>
      <w:r w:rsidR="006D5EC8">
        <w:rPr>
          <w:sz w:val="20"/>
          <w:szCs w:val="20"/>
        </w:rPr>
        <w:t>Baures</w:t>
      </w:r>
      <w:proofErr w:type="spellEnd"/>
      <w:r w:rsidR="006D5EC8">
        <w:rPr>
          <w:sz w:val="20"/>
          <w:szCs w:val="20"/>
        </w:rPr>
        <w:t xml:space="preserve"> (Jackson);</w:t>
      </w:r>
      <w:r w:rsidRPr="008D5A67">
        <w:rPr>
          <w:sz w:val="20"/>
          <w:szCs w:val="20"/>
        </w:rPr>
        <w:t xml:space="preserve"> </w:t>
      </w:r>
      <w:r w:rsidR="006D5EC8">
        <w:rPr>
          <w:sz w:val="20"/>
          <w:szCs w:val="20"/>
        </w:rPr>
        <w:t>Mike Baker (Jefferson);</w:t>
      </w:r>
      <w:r w:rsidR="00114072">
        <w:rPr>
          <w:sz w:val="20"/>
          <w:szCs w:val="20"/>
        </w:rPr>
        <w:t xml:space="preserve"> </w:t>
      </w:r>
      <w:r w:rsidR="00CC06C2" w:rsidRPr="00F15DA5">
        <w:rPr>
          <w:sz w:val="20"/>
          <w:szCs w:val="20"/>
        </w:rPr>
        <w:t xml:space="preserve">Courtney </w:t>
      </w:r>
      <w:proofErr w:type="spellStart"/>
      <w:r w:rsidR="00CC06C2" w:rsidRPr="00F15DA5">
        <w:rPr>
          <w:sz w:val="20"/>
          <w:szCs w:val="20"/>
        </w:rPr>
        <w:t>Vanbragt</w:t>
      </w:r>
      <w:proofErr w:type="spellEnd"/>
      <w:r w:rsidR="00172BBB" w:rsidRPr="00F15DA5">
        <w:rPr>
          <w:sz w:val="20"/>
          <w:szCs w:val="20"/>
        </w:rPr>
        <w:t xml:space="preserve"> (Klamath)</w:t>
      </w:r>
      <w:r w:rsidR="006D5EC8" w:rsidRPr="00F15DA5">
        <w:rPr>
          <w:sz w:val="20"/>
          <w:szCs w:val="20"/>
        </w:rPr>
        <w:t>;</w:t>
      </w:r>
      <w:r w:rsidR="00CC06C2">
        <w:rPr>
          <w:sz w:val="20"/>
          <w:szCs w:val="20"/>
        </w:rPr>
        <w:t xml:space="preserve"> </w:t>
      </w:r>
      <w:r w:rsidR="00F15DA5">
        <w:rPr>
          <w:sz w:val="20"/>
          <w:szCs w:val="20"/>
        </w:rPr>
        <w:t>Beth Hadley (</w:t>
      </w:r>
      <w:r w:rsidR="00661E3D" w:rsidRPr="00F15DA5">
        <w:rPr>
          <w:sz w:val="20"/>
          <w:szCs w:val="20"/>
        </w:rPr>
        <w:t>Lake</w:t>
      </w:r>
      <w:r w:rsidR="00F15DA5">
        <w:rPr>
          <w:sz w:val="20"/>
          <w:szCs w:val="20"/>
        </w:rPr>
        <w:t>)</w:t>
      </w:r>
      <w:r w:rsidR="00661E3D">
        <w:rPr>
          <w:sz w:val="20"/>
          <w:szCs w:val="20"/>
        </w:rPr>
        <w:t xml:space="preserve"> </w:t>
      </w:r>
      <w:r w:rsidR="00F90053">
        <w:rPr>
          <w:sz w:val="20"/>
          <w:szCs w:val="20"/>
        </w:rPr>
        <w:t>Jocelyn Warren</w:t>
      </w:r>
      <w:r w:rsidR="00172BBB">
        <w:rPr>
          <w:sz w:val="20"/>
          <w:szCs w:val="20"/>
        </w:rPr>
        <w:t xml:space="preserve"> (Lane)</w:t>
      </w:r>
      <w:r w:rsidR="006D5EC8">
        <w:rPr>
          <w:sz w:val="20"/>
          <w:szCs w:val="20"/>
        </w:rPr>
        <w:t>; Rebecca Austen (Lincoln);</w:t>
      </w:r>
      <w:r w:rsidR="00F90053">
        <w:rPr>
          <w:sz w:val="20"/>
          <w:szCs w:val="20"/>
        </w:rPr>
        <w:t xml:space="preserve"> </w:t>
      </w:r>
      <w:r w:rsidR="00114072">
        <w:rPr>
          <w:sz w:val="20"/>
          <w:szCs w:val="20"/>
        </w:rPr>
        <w:t xml:space="preserve">Angie </w:t>
      </w:r>
      <w:proofErr w:type="spellStart"/>
      <w:r w:rsidR="006D5EC8">
        <w:rPr>
          <w:sz w:val="20"/>
          <w:szCs w:val="20"/>
        </w:rPr>
        <w:t>Gerrard</w:t>
      </w:r>
      <w:proofErr w:type="spellEnd"/>
      <w:r w:rsidR="006D5EC8">
        <w:rPr>
          <w:sz w:val="20"/>
          <w:szCs w:val="20"/>
        </w:rPr>
        <w:t xml:space="preserve"> (Malheur);</w:t>
      </w:r>
      <w:r w:rsidR="00084776">
        <w:rPr>
          <w:sz w:val="20"/>
          <w:szCs w:val="20"/>
        </w:rPr>
        <w:t xml:space="preserve"> </w:t>
      </w:r>
      <w:r w:rsidR="00F15DA5">
        <w:rPr>
          <w:sz w:val="20"/>
          <w:szCs w:val="20"/>
        </w:rPr>
        <w:t>Pam Hutchinson</w:t>
      </w:r>
      <w:r w:rsidR="00084776">
        <w:rPr>
          <w:sz w:val="20"/>
          <w:szCs w:val="20"/>
        </w:rPr>
        <w:t xml:space="preserve"> (Marion);</w:t>
      </w:r>
      <w:r w:rsidR="00114072">
        <w:rPr>
          <w:sz w:val="20"/>
          <w:szCs w:val="20"/>
        </w:rPr>
        <w:t xml:space="preserve"> (</w:t>
      </w:r>
      <w:proofErr w:type="spellStart"/>
      <w:r w:rsidR="00D22D8C">
        <w:rPr>
          <w:sz w:val="20"/>
          <w:szCs w:val="20"/>
        </w:rPr>
        <w:t>Sheree</w:t>
      </w:r>
      <w:proofErr w:type="spellEnd"/>
      <w:r w:rsidR="00D22D8C">
        <w:rPr>
          <w:sz w:val="20"/>
          <w:szCs w:val="20"/>
        </w:rPr>
        <w:t xml:space="preserve"> Smith (Morrow</w:t>
      </w:r>
      <w:r w:rsidR="006D5EC8">
        <w:rPr>
          <w:sz w:val="20"/>
          <w:szCs w:val="20"/>
        </w:rPr>
        <w:t>);</w:t>
      </w:r>
      <w:r w:rsidR="00114072">
        <w:rPr>
          <w:sz w:val="20"/>
          <w:szCs w:val="20"/>
        </w:rPr>
        <w:t xml:space="preserve"> </w:t>
      </w:r>
      <w:r w:rsidR="0074590D">
        <w:rPr>
          <w:sz w:val="20"/>
          <w:szCs w:val="20"/>
        </w:rPr>
        <w:t>Rachael Banks</w:t>
      </w:r>
      <w:r w:rsidR="006D5EC8">
        <w:rPr>
          <w:sz w:val="20"/>
          <w:szCs w:val="20"/>
        </w:rPr>
        <w:t xml:space="preserve"> (Multnomah);</w:t>
      </w:r>
      <w:r w:rsidR="00D22D8C">
        <w:rPr>
          <w:sz w:val="20"/>
          <w:szCs w:val="20"/>
        </w:rPr>
        <w:t xml:space="preserve"> </w:t>
      </w:r>
      <w:r w:rsidR="00CC06C2">
        <w:rPr>
          <w:sz w:val="20"/>
          <w:szCs w:val="20"/>
        </w:rPr>
        <w:t xml:space="preserve">Katrina </w:t>
      </w:r>
      <w:proofErr w:type="spellStart"/>
      <w:r w:rsidR="00CC06C2">
        <w:rPr>
          <w:sz w:val="20"/>
          <w:szCs w:val="20"/>
        </w:rPr>
        <w:t>Rothenberger</w:t>
      </w:r>
      <w:proofErr w:type="spellEnd"/>
      <w:r w:rsidR="00172BBB">
        <w:rPr>
          <w:sz w:val="20"/>
          <w:szCs w:val="20"/>
        </w:rPr>
        <w:t xml:space="preserve"> (Polk)</w:t>
      </w:r>
      <w:r w:rsidR="006D5EC8">
        <w:rPr>
          <w:sz w:val="20"/>
          <w:szCs w:val="20"/>
        </w:rPr>
        <w:t>;</w:t>
      </w:r>
      <w:r w:rsidR="00CC06C2">
        <w:rPr>
          <w:sz w:val="20"/>
          <w:szCs w:val="20"/>
        </w:rPr>
        <w:t xml:space="preserve"> </w:t>
      </w:r>
      <w:r w:rsidR="006D5EC8" w:rsidRPr="00F15DA5">
        <w:rPr>
          <w:sz w:val="20"/>
          <w:szCs w:val="20"/>
        </w:rPr>
        <w:t xml:space="preserve">Jim </w:t>
      </w:r>
      <w:proofErr w:type="spellStart"/>
      <w:r w:rsidR="006D5EC8" w:rsidRPr="00F15DA5">
        <w:rPr>
          <w:sz w:val="20"/>
          <w:szCs w:val="20"/>
        </w:rPr>
        <w:t>Setzer</w:t>
      </w:r>
      <w:proofErr w:type="spellEnd"/>
      <w:r w:rsidR="006D5EC8" w:rsidRPr="00F15DA5">
        <w:rPr>
          <w:sz w:val="20"/>
          <w:szCs w:val="20"/>
        </w:rPr>
        <w:t xml:space="preserve"> (Umatilla);</w:t>
      </w:r>
      <w:r w:rsidR="006D5EC8">
        <w:rPr>
          <w:sz w:val="20"/>
          <w:szCs w:val="20"/>
        </w:rPr>
        <w:t xml:space="preserve"> Carrie </w:t>
      </w:r>
      <w:proofErr w:type="spellStart"/>
      <w:r w:rsidR="006D5EC8">
        <w:rPr>
          <w:sz w:val="20"/>
          <w:szCs w:val="20"/>
        </w:rPr>
        <w:t>Brogoitti</w:t>
      </w:r>
      <w:proofErr w:type="spellEnd"/>
      <w:r w:rsidR="006D5EC8">
        <w:rPr>
          <w:sz w:val="20"/>
          <w:szCs w:val="20"/>
        </w:rPr>
        <w:t xml:space="preserve"> (Union);</w:t>
      </w:r>
      <w:r w:rsidR="00114072">
        <w:rPr>
          <w:sz w:val="20"/>
          <w:szCs w:val="20"/>
        </w:rPr>
        <w:t xml:space="preserve"> </w:t>
      </w:r>
      <w:r w:rsidR="006D5EC8">
        <w:rPr>
          <w:sz w:val="20"/>
          <w:szCs w:val="20"/>
        </w:rPr>
        <w:t xml:space="preserve">Tricia </w:t>
      </w:r>
      <w:proofErr w:type="spellStart"/>
      <w:r w:rsidR="006D5EC8">
        <w:rPr>
          <w:sz w:val="20"/>
          <w:szCs w:val="20"/>
        </w:rPr>
        <w:t>Mortell</w:t>
      </w:r>
      <w:proofErr w:type="spellEnd"/>
      <w:r w:rsidR="006D5EC8">
        <w:rPr>
          <w:sz w:val="20"/>
          <w:szCs w:val="20"/>
        </w:rPr>
        <w:t xml:space="preserve"> (Washington); </w:t>
      </w:r>
      <w:r w:rsidR="00F15DA5">
        <w:rPr>
          <w:sz w:val="20"/>
          <w:szCs w:val="20"/>
        </w:rPr>
        <w:t xml:space="preserve">Lindsey </w:t>
      </w:r>
      <w:proofErr w:type="spellStart"/>
      <w:r w:rsidR="00F15DA5">
        <w:rPr>
          <w:sz w:val="20"/>
          <w:szCs w:val="20"/>
        </w:rPr>
        <w:t>Manfrin</w:t>
      </w:r>
      <w:proofErr w:type="spellEnd"/>
      <w:r w:rsidR="00F15DA5">
        <w:rPr>
          <w:sz w:val="20"/>
          <w:szCs w:val="20"/>
        </w:rPr>
        <w:t xml:space="preserve"> (</w:t>
      </w:r>
      <w:r w:rsidR="00F15DA5" w:rsidRPr="00F15DA5">
        <w:rPr>
          <w:sz w:val="20"/>
          <w:szCs w:val="20"/>
        </w:rPr>
        <w:t>Yamhill)</w:t>
      </w:r>
      <w:r w:rsidR="00661E3D">
        <w:rPr>
          <w:sz w:val="20"/>
          <w:szCs w:val="20"/>
        </w:rPr>
        <w:t xml:space="preserve"> </w:t>
      </w:r>
      <w:r w:rsidR="006D5EC8">
        <w:rPr>
          <w:sz w:val="20"/>
          <w:szCs w:val="20"/>
        </w:rPr>
        <w:t>Karen Woods (Wheeler);</w:t>
      </w:r>
      <w:r w:rsidR="00F90053">
        <w:rPr>
          <w:sz w:val="20"/>
          <w:szCs w:val="20"/>
        </w:rPr>
        <w:t xml:space="preserve"> </w:t>
      </w:r>
      <w:r w:rsidR="000F6F66">
        <w:rPr>
          <w:sz w:val="20"/>
          <w:szCs w:val="20"/>
        </w:rPr>
        <w:t>Frank Brown</w:t>
      </w:r>
      <w:r w:rsidRPr="008D5A67">
        <w:rPr>
          <w:sz w:val="20"/>
          <w:szCs w:val="20"/>
        </w:rPr>
        <w:t xml:space="preserve"> (CLEHS), </w:t>
      </w:r>
      <w:r w:rsidR="0074590D">
        <w:rPr>
          <w:sz w:val="20"/>
          <w:szCs w:val="20"/>
        </w:rPr>
        <w:t xml:space="preserve">Pat </w:t>
      </w:r>
      <w:proofErr w:type="spellStart"/>
      <w:r w:rsidR="0074590D">
        <w:rPr>
          <w:sz w:val="20"/>
          <w:szCs w:val="20"/>
        </w:rPr>
        <w:t>Luedtke</w:t>
      </w:r>
      <w:proofErr w:type="spellEnd"/>
      <w:r w:rsidR="0074590D">
        <w:rPr>
          <w:sz w:val="20"/>
          <w:szCs w:val="20"/>
        </w:rPr>
        <w:t xml:space="preserve"> (HO Caucus)</w:t>
      </w:r>
    </w:p>
    <w:p w14:paraId="296A1581" w14:textId="77777777" w:rsidR="00F31D80" w:rsidRPr="008D5A67" w:rsidRDefault="00F31D80" w:rsidP="00F31D80">
      <w:pPr>
        <w:pStyle w:val="BodyText2"/>
        <w:jc w:val="left"/>
        <w:rPr>
          <w:rFonts w:ascii="Century Gothic" w:hAnsi="Century Gothic"/>
          <w:sz w:val="20"/>
          <w:szCs w:val="20"/>
        </w:rPr>
      </w:pPr>
    </w:p>
    <w:p w14:paraId="3B5E763F" w14:textId="5689D66E" w:rsidR="00F31D80" w:rsidRPr="008D5A67" w:rsidRDefault="00F31D80" w:rsidP="00F31D80">
      <w:pPr>
        <w:pStyle w:val="BodyText2"/>
        <w:jc w:val="left"/>
        <w:rPr>
          <w:rFonts w:ascii="Century Gothic" w:hAnsi="Century Gothic"/>
          <w:b w:val="0"/>
          <w:sz w:val="20"/>
          <w:szCs w:val="20"/>
        </w:rPr>
      </w:pPr>
      <w:r w:rsidRPr="008D5A67">
        <w:rPr>
          <w:rFonts w:ascii="Century Gothic" w:hAnsi="Century Gothic"/>
          <w:sz w:val="20"/>
          <w:szCs w:val="20"/>
        </w:rPr>
        <w:t>Public Health Division:</w:t>
      </w:r>
      <w:r w:rsidR="00D22D8C">
        <w:rPr>
          <w:rFonts w:ascii="Century Gothic" w:hAnsi="Century Gothic"/>
          <w:b w:val="0"/>
          <w:sz w:val="20"/>
          <w:szCs w:val="20"/>
        </w:rPr>
        <w:t xml:space="preserve"> </w:t>
      </w:r>
      <w:r w:rsidR="00CC06C2">
        <w:rPr>
          <w:rFonts w:ascii="Century Gothic" w:hAnsi="Century Gothic"/>
          <w:b w:val="0"/>
          <w:sz w:val="20"/>
          <w:szCs w:val="20"/>
        </w:rPr>
        <w:t xml:space="preserve">Sara </w:t>
      </w:r>
      <w:proofErr w:type="spellStart"/>
      <w:r w:rsidR="00CC06C2">
        <w:rPr>
          <w:rFonts w:ascii="Century Gothic" w:hAnsi="Century Gothic"/>
          <w:b w:val="0"/>
          <w:sz w:val="20"/>
          <w:szCs w:val="20"/>
        </w:rPr>
        <w:t>Beaudrault</w:t>
      </w:r>
      <w:proofErr w:type="spellEnd"/>
      <w:r w:rsidR="00CC06C2">
        <w:rPr>
          <w:rFonts w:ascii="Century Gothic" w:hAnsi="Century Gothic"/>
          <w:b w:val="0"/>
          <w:sz w:val="20"/>
          <w:szCs w:val="20"/>
        </w:rPr>
        <w:t xml:space="preserve">, Danna Drum, </w:t>
      </w:r>
      <w:r w:rsidR="006D5EC8">
        <w:rPr>
          <w:rFonts w:ascii="Century Gothic" w:hAnsi="Century Gothic"/>
          <w:b w:val="0"/>
          <w:sz w:val="20"/>
          <w:szCs w:val="20"/>
        </w:rPr>
        <w:t xml:space="preserve">Tim </w:t>
      </w:r>
      <w:proofErr w:type="spellStart"/>
      <w:r w:rsidR="006D5EC8">
        <w:rPr>
          <w:rFonts w:ascii="Century Gothic" w:hAnsi="Century Gothic"/>
          <w:b w:val="0"/>
          <w:sz w:val="20"/>
          <w:szCs w:val="20"/>
        </w:rPr>
        <w:t>Noe</w:t>
      </w:r>
      <w:proofErr w:type="spellEnd"/>
      <w:r w:rsidR="00481EE5">
        <w:rPr>
          <w:rFonts w:ascii="Century Gothic" w:hAnsi="Century Gothic"/>
          <w:b w:val="0"/>
          <w:sz w:val="20"/>
          <w:szCs w:val="20"/>
        </w:rPr>
        <w:t>,</w:t>
      </w:r>
      <w:r w:rsidR="00FE6B59">
        <w:rPr>
          <w:rFonts w:ascii="Century Gothic" w:hAnsi="Century Gothic"/>
          <w:b w:val="0"/>
          <w:sz w:val="20"/>
          <w:szCs w:val="20"/>
        </w:rPr>
        <w:t xml:space="preserve"> </w:t>
      </w:r>
      <w:r w:rsidR="00F15DA5">
        <w:rPr>
          <w:rFonts w:ascii="Century Gothic" w:hAnsi="Century Gothic"/>
          <w:b w:val="0"/>
          <w:sz w:val="20"/>
          <w:szCs w:val="20"/>
        </w:rPr>
        <w:t>Kim La</w:t>
      </w:r>
      <w:r w:rsidR="00661E3D">
        <w:rPr>
          <w:rFonts w:ascii="Century Gothic" w:hAnsi="Century Gothic"/>
          <w:b w:val="0"/>
          <w:sz w:val="20"/>
          <w:szCs w:val="20"/>
        </w:rPr>
        <w:t xml:space="preserve"> Croix, Andre</w:t>
      </w:r>
      <w:r w:rsidR="0074590D">
        <w:rPr>
          <w:rFonts w:ascii="Century Gothic" w:hAnsi="Century Gothic"/>
          <w:b w:val="0"/>
          <w:sz w:val="20"/>
          <w:szCs w:val="20"/>
        </w:rPr>
        <w:t xml:space="preserve"> </w:t>
      </w:r>
      <w:proofErr w:type="spellStart"/>
      <w:r w:rsidR="0074590D">
        <w:rPr>
          <w:rFonts w:ascii="Century Gothic" w:hAnsi="Century Gothic"/>
          <w:b w:val="0"/>
          <w:sz w:val="20"/>
          <w:szCs w:val="20"/>
        </w:rPr>
        <w:t>Orso</w:t>
      </w:r>
      <w:proofErr w:type="spellEnd"/>
      <w:r w:rsidR="0074590D">
        <w:rPr>
          <w:rFonts w:ascii="Century Gothic" w:hAnsi="Century Gothic"/>
          <w:b w:val="0"/>
          <w:sz w:val="20"/>
          <w:szCs w:val="20"/>
        </w:rPr>
        <w:t xml:space="preserve">, </w:t>
      </w:r>
      <w:proofErr w:type="gramStart"/>
      <w:r w:rsidR="0074590D">
        <w:rPr>
          <w:rFonts w:ascii="Century Gothic" w:hAnsi="Century Gothic"/>
          <w:b w:val="0"/>
          <w:sz w:val="20"/>
          <w:szCs w:val="20"/>
        </w:rPr>
        <w:t>Karen</w:t>
      </w:r>
      <w:proofErr w:type="gramEnd"/>
      <w:r w:rsidR="0074590D">
        <w:rPr>
          <w:rFonts w:ascii="Century Gothic" w:hAnsi="Century Gothic"/>
          <w:b w:val="0"/>
          <w:sz w:val="20"/>
          <w:szCs w:val="20"/>
        </w:rPr>
        <w:t xml:space="preserve"> Gira</w:t>
      </w:r>
      <w:r w:rsidR="00661E3D">
        <w:rPr>
          <w:rFonts w:ascii="Century Gothic" w:hAnsi="Century Gothic"/>
          <w:b w:val="0"/>
          <w:sz w:val="20"/>
          <w:szCs w:val="20"/>
        </w:rPr>
        <w:t>rd</w:t>
      </w:r>
    </w:p>
    <w:p w14:paraId="3EBD7677" w14:textId="23723EF5" w:rsidR="00F31D80" w:rsidRDefault="00F31D80" w:rsidP="003378FC">
      <w:pPr>
        <w:pStyle w:val="BodyText2"/>
        <w:jc w:val="left"/>
        <w:rPr>
          <w:rFonts w:ascii="Century Gothic" w:hAnsi="Century Gothic"/>
          <w:b w:val="0"/>
          <w:sz w:val="20"/>
          <w:szCs w:val="20"/>
        </w:rPr>
      </w:pPr>
      <w:r w:rsidRPr="008D5A67">
        <w:rPr>
          <w:rFonts w:ascii="Century Gothic" w:hAnsi="Century Gothic"/>
          <w:sz w:val="20"/>
          <w:szCs w:val="20"/>
        </w:rPr>
        <w:t>CLHO:</w:t>
      </w:r>
      <w:r w:rsidRPr="008D5A67">
        <w:rPr>
          <w:rFonts w:ascii="Century Gothic" w:hAnsi="Century Gothic"/>
          <w:b w:val="0"/>
          <w:sz w:val="20"/>
          <w:szCs w:val="20"/>
        </w:rPr>
        <w:t xml:space="preserve"> </w:t>
      </w:r>
      <w:r>
        <w:rPr>
          <w:rFonts w:ascii="Century Gothic" w:hAnsi="Century Gothic"/>
          <w:b w:val="0"/>
          <w:sz w:val="20"/>
          <w:szCs w:val="20"/>
        </w:rPr>
        <w:t xml:space="preserve">Morgan Cowling, </w:t>
      </w:r>
      <w:r w:rsidR="00661E3D">
        <w:rPr>
          <w:rFonts w:ascii="Century Gothic" w:hAnsi="Century Gothic"/>
          <w:b w:val="0"/>
          <w:sz w:val="20"/>
          <w:szCs w:val="20"/>
        </w:rPr>
        <w:t>Caitlin Hill</w:t>
      </w:r>
    </w:p>
    <w:tbl>
      <w:tblPr>
        <w:tblStyle w:val="TableGrid"/>
        <w:tblpPr w:leftFromText="180" w:rightFromText="180" w:vertAnchor="text" w:horzAnchor="page" w:tblpX="649" w:tblpY="726"/>
        <w:tblW w:w="1078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818"/>
        <w:gridCol w:w="1341"/>
        <w:gridCol w:w="7627"/>
      </w:tblGrid>
      <w:tr w:rsidR="00D2506D" w:rsidRPr="003A18FD" w14:paraId="75D03F87" w14:textId="77777777" w:rsidTr="00D2506D">
        <w:trPr>
          <w:trHeight w:val="360"/>
        </w:trPr>
        <w:tc>
          <w:tcPr>
            <w:tcW w:w="1818" w:type="dxa"/>
          </w:tcPr>
          <w:p w14:paraId="7F8CD4AE" w14:textId="51221E65" w:rsidR="00D2506D" w:rsidRPr="00D2506D" w:rsidRDefault="00D2506D" w:rsidP="00D2506D">
            <w:pPr>
              <w:rPr>
                <w:b/>
                <w:sz w:val="22"/>
                <w:szCs w:val="22"/>
              </w:rPr>
            </w:pPr>
            <w:r w:rsidRPr="00D2506D">
              <w:rPr>
                <w:b/>
                <w:sz w:val="22"/>
                <w:szCs w:val="22"/>
              </w:rPr>
              <w:t>Item</w:t>
            </w:r>
          </w:p>
        </w:tc>
        <w:tc>
          <w:tcPr>
            <w:tcW w:w="1341" w:type="dxa"/>
          </w:tcPr>
          <w:p w14:paraId="58C812EB" w14:textId="24F4E860" w:rsidR="00D2506D" w:rsidRPr="00D2506D" w:rsidRDefault="00D2506D" w:rsidP="00D2506D">
            <w:pPr>
              <w:rPr>
                <w:b/>
                <w:sz w:val="22"/>
                <w:szCs w:val="22"/>
              </w:rPr>
            </w:pPr>
            <w:r w:rsidRPr="00D2506D">
              <w:rPr>
                <w:b/>
                <w:sz w:val="22"/>
                <w:szCs w:val="22"/>
              </w:rPr>
              <w:t>How</w:t>
            </w:r>
          </w:p>
        </w:tc>
        <w:tc>
          <w:tcPr>
            <w:tcW w:w="7627" w:type="dxa"/>
          </w:tcPr>
          <w:p w14:paraId="0E8A9704" w14:textId="628382FD" w:rsidR="00D2506D" w:rsidRPr="00D2506D" w:rsidRDefault="00D2506D" w:rsidP="00D2506D">
            <w:pPr>
              <w:rPr>
                <w:b/>
                <w:sz w:val="20"/>
                <w:szCs w:val="20"/>
              </w:rPr>
            </w:pPr>
            <w:r w:rsidRPr="00D2506D">
              <w:rPr>
                <w:b/>
                <w:sz w:val="20"/>
                <w:szCs w:val="20"/>
              </w:rPr>
              <w:t>Notes</w:t>
            </w:r>
          </w:p>
        </w:tc>
      </w:tr>
      <w:tr w:rsidR="00D2506D" w:rsidRPr="003A18FD" w14:paraId="5381EACE" w14:textId="77777777" w:rsidTr="007F2B11">
        <w:trPr>
          <w:trHeight w:val="1262"/>
        </w:trPr>
        <w:tc>
          <w:tcPr>
            <w:tcW w:w="1818" w:type="dxa"/>
          </w:tcPr>
          <w:p w14:paraId="7F331A84" w14:textId="24E9B08F" w:rsidR="00D2506D" w:rsidRPr="003A18FD" w:rsidRDefault="00D2506D" w:rsidP="00D2506D">
            <w:pPr>
              <w:rPr>
                <w:sz w:val="22"/>
                <w:szCs w:val="22"/>
              </w:rPr>
            </w:pPr>
            <w:r>
              <w:rPr>
                <w:sz w:val="22"/>
                <w:szCs w:val="22"/>
              </w:rPr>
              <w:t>Convene and Introduce</w:t>
            </w:r>
          </w:p>
        </w:tc>
        <w:tc>
          <w:tcPr>
            <w:tcW w:w="1341" w:type="dxa"/>
          </w:tcPr>
          <w:p w14:paraId="668D25B3" w14:textId="3565D861" w:rsidR="00D2506D" w:rsidRPr="002275FA" w:rsidRDefault="00D2506D" w:rsidP="00D2506D">
            <w:pPr>
              <w:rPr>
                <w:sz w:val="22"/>
                <w:szCs w:val="22"/>
              </w:rPr>
            </w:pPr>
          </w:p>
        </w:tc>
        <w:tc>
          <w:tcPr>
            <w:tcW w:w="7627" w:type="dxa"/>
          </w:tcPr>
          <w:p w14:paraId="316D91DF" w14:textId="62B4DFA9" w:rsidR="00D2506D" w:rsidRPr="00CC06C2" w:rsidRDefault="00D2506D" w:rsidP="00D2506D">
            <w:pPr>
              <w:rPr>
                <w:sz w:val="20"/>
                <w:szCs w:val="20"/>
              </w:rPr>
            </w:pPr>
          </w:p>
        </w:tc>
      </w:tr>
      <w:tr w:rsidR="00661E3D" w:rsidRPr="003A18FD" w14:paraId="0016BCAD" w14:textId="77777777" w:rsidTr="007F2B11">
        <w:trPr>
          <w:trHeight w:val="622"/>
        </w:trPr>
        <w:tc>
          <w:tcPr>
            <w:tcW w:w="1818" w:type="dxa"/>
          </w:tcPr>
          <w:p w14:paraId="1479CB85" w14:textId="1601E6D1" w:rsidR="00661E3D" w:rsidRPr="003A18FD" w:rsidRDefault="00661E3D" w:rsidP="00F90053">
            <w:pPr>
              <w:rPr>
                <w:sz w:val="22"/>
                <w:szCs w:val="22"/>
              </w:rPr>
            </w:pPr>
            <w:r>
              <w:t xml:space="preserve">Minutes </w:t>
            </w:r>
          </w:p>
        </w:tc>
        <w:tc>
          <w:tcPr>
            <w:tcW w:w="1341" w:type="dxa"/>
          </w:tcPr>
          <w:p w14:paraId="1F816D88" w14:textId="4A772FD9" w:rsidR="00661E3D" w:rsidRPr="003A18FD" w:rsidRDefault="00661E3D" w:rsidP="00084776">
            <w:pPr>
              <w:rPr>
                <w:sz w:val="22"/>
                <w:szCs w:val="22"/>
              </w:rPr>
            </w:pPr>
            <w:r w:rsidRPr="00C214F1">
              <w:rPr>
                <w:sz w:val="20"/>
                <w:szCs w:val="20"/>
              </w:rPr>
              <w:t>APPROVE</w:t>
            </w:r>
          </w:p>
        </w:tc>
        <w:tc>
          <w:tcPr>
            <w:tcW w:w="7627" w:type="dxa"/>
          </w:tcPr>
          <w:p w14:paraId="3F5AC872" w14:textId="77777777" w:rsidR="00661E3D" w:rsidRDefault="00661E3D" w:rsidP="00661E3D">
            <w:pPr>
              <w:rPr>
                <w:sz w:val="20"/>
                <w:szCs w:val="20"/>
              </w:rPr>
            </w:pPr>
            <w:r>
              <w:rPr>
                <w:sz w:val="20"/>
                <w:szCs w:val="20"/>
              </w:rPr>
              <w:t>August minutes were posted on website</w:t>
            </w:r>
          </w:p>
          <w:p w14:paraId="18C89CA7" w14:textId="212D6B9A" w:rsidR="00661E3D" w:rsidRPr="0074590D" w:rsidRDefault="00661E3D" w:rsidP="00661E3D">
            <w:pPr>
              <w:rPr>
                <w:b/>
                <w:sz w:val="20"/>
                <w:szCs w:val="20"/>
              </w:rPr>
            </w:pPr>
            <w:r w:rsidRPr="0074590D">
              <w:rPr>
                <w:b/>
                <w:sz w:val="20"/>
                <w:szCs w:val="20"/>
              </w:rPr>
              <w:t>Approved Pat</w:t>
            </w:r>
            <w:r w:rsidR="0074590D" w:rsidRPr="0074590D">
              <w:rPr>
                <w:b/>
                <w:sz w:val="20"/>
                <w:szCs w:val="20"/>
              </w:rPr>
              <w:t xml:space="preserve"> </w:t>
            </w:r>
            <w:proofErr w:type="spellStart"/>
            <w:r w:rsidR="0074590D" w:rsidRPr="0074590D">
              <w:rPr>
                <w:b/>
                <w:sz w:val="20"/>
                <w:szCs w:val="20"/>
              </w:rPr>
              <w:t>Luedtke</w:t>
            </w:r>
            <w:proofErr w:type="spellEnd"/>
            <w:r w:rsidRPr="0074590D">
              <w:rPr>
                <w:b/>
                <w:sz w:val="20"/>
                <w:szCs w:val="20"/>
              </w:rPr>
              <w:t xml:space="preserve"> and Ellen Larson</w:t>
            </w:r>
            <w:r w:rsidR="0074590D" w:rsidRPr="0074590D">
              <w:rPr>
                <w:b/>
                <w:sz w:val="20"/>
                <w:szCs w:val="20"/>
              </w:rPr>
              <w:t xml:space="preserve"> – All in Favor. </w:t>
            </w:r>
          </w:p>
          <w:p w14:paraId="4353C76F" w14:textId="5973824E" w:rsidR="00661E3D" w:rsidRPr="008D5A67" w:rsidRDefault="00661E3D" w:rsidP="00EB1301">
            <w:pPr>
              <w:rPr>
                <w:sz w:val="20"/>
                <w:szCs w:val="20"/>
              </w:rPr>
            </w:pPr>
          </w:p>
        </w:tc>
      </w:tr>
      <w:tr w:rsidR="00661E3D" w:rsidRPr="003A18FD" w14:paraId="3904ED0D" w14:textId="77777777" w:rsidTr="007F2B11">
        <w:trPr>
          <w:trHeight w:val="311"/>
        </w:trPr>
        <w:tc>
          <w:tcPr>
            <w:tcW w:w="1818" w:type="dxa"/>
          </w:tcPr>
          <w:p w14:paraId="2EDA0435" w14:textId="3A87EFCF" w:rsidR="00661E3D" w:rsidRDefault="00661E3D" w:rsidP="00F31D80">
            <w:pPr>
              <w:rPr>
                <w:sz w:val="22"/>
                <w:szCs w:val="22"/>
              </w:rPr>
            </w:pPr>
            <w:r>
              <w:t>Appointments</w:t>
            </w:r>
          </w:p>
        </w:tc>
        <w:tc>
          <w:tcPr>
            <w:tcW w:w="1341" w:type="dxa"/>
          </w:tcPr>
          <w:p w14:paraId="7CE02790" w14:textId="1F2AC8F2" w:rsidR="00661E3D" w:rsidRPr="00D75F0B" w:rsidRDefault="00585AA9" w:rsidP="00F31D80">
            <w:pPr>
              <w:rPr>
                <w:sz w:val="22"/>
                <w:szCs w:val="22"/>
              </w:rPr>
            </w:pPr>
            <w:r>
              <w:rPr>
                <w:sz w:val="22"/>
                <w:szCs w:val="22"/>
              </w:rPr>
              <w:t>Appoint</w:t>
            </w:r>
          </w:p>
        </w:tc>
        <w:tc>
          <w:tcPr>
            <w:tcW w:w="7627" w:type="dxa"/>
          </w:tcPr>
          <w:p w14:paraId="3E5AB600" w14:textId="18EC38A8" w:rsidR="00661E3D" w:rsidRPr="008D5A67" w:rsidRDefault="0074590D" w:rsidP="00F9178A">
            <w:pPr>
              <w:rPr>
                <w:sz w:val="20"/>
                <w:szCs w:val="20"/>
              </w:rPr>
            </w:pPr>
            <w:r>
              <w:rPr>
                <w:sz w:val="20"/>
                <w:szCs w:val="20"/>
              </w:rPr>
              <w:t>Morgan Fields, Deschutes County, appointed to CLHO Preparedness</w:t>
            </w:r>
          </w:p>
        </w:tc>
      </w:tr>
      <w:tr w:rsidR="00661E3D" w:rsidRPr="003A18FD" w14:paraId="01010118" w14:textId="77777777" w:rsidTr="007F2B11">
        <w:trPr>
          <w:trHeight w:val="931"/>
        </w:trPr>
        <w:tc>
          <w:tcPr>
            <w:tcW w:w="1818" w:type="dxa"/>
          </w:tcPr>
          <w:p w14:paraId="1FB828AE" w14:textId="77777777" w:rsidR="00D2506D" w:rsidRDefault="00D2506D" w:rsidP="00D2506D">
            <w:r>
              <w:t>Public Health Advisory</w:t>
            </w:r>
          </w:p>
          <w:p w14:paraId="0D06D767" w14:textId="76FD5CEC" w:rsidR="00661E3D" w:rsidRDefault="00D2506D" w:rsidP="00D2506D">
            <w:pPr>
              <w:rPr>
                <w:sz w:val="22"/>
                <w:szCs w:val="22"/>
              </w:rPr>
            </w:pPr>
            <w:r>
              <w:t>Board Open Seat</w:t>
            </w:r>
          </w:p>
        </w:tc>
        <w:tc>
          <w:tcPr>
            <w:tcW w:w="1341" w:type="dxa"/>
          </w:tcPr>
          <w:p w14:paraId="5A824F6D" w14:textId="080E9E16" w:rsidR="00661E3D" w:rsidRDefault="00661E3D" w:rsidP="000622C2">
            <w:pPr>
              <w:rPr>
                <w:sz w:val="22"/>
                <w:szCs w:val="22"/>
              </w:rPr>
            </w:pPr>
          </w:p>
        </w:tc>
        <w:tc>
          <w:tcPr>
            <w:tcW w:w="7627" w:type="dxa"/>
          </w:tcPr>
          <w:p w14:paraId="5E2A9403" w14:textId="02614933" w:rsidR="0074590D" w:rsidRDefault="00661E3D" w:rsidP="0074590D">
            <w:pPr>
              <w:rPr>
                <w:sz w:val="20"/>
                <w:szCs w:val="20"/>
              </w:rPr>
            </w:pPr>
            <w:r>
              <w:rPr>
                <w:sz w:val="20"/>
                <w:szCs w:val="20"/>
              </w:rPr>
              <w:t>Tricia</w:t>
            </w:r>
            <w:r w:rsidR="0074590D">
              <w:rPr>
                <w:sz w:val="20"/>
                <w:szCs w:val="20"/>
              </w:rPr>
              <w:t xml:space="preserve"> Tillman is no longer serving on the</w:t>
            </w:r>
            <w:r>
              <w:rPr>
                <w:sz w:val="20"/>
                <w:szCs w:val="20"/>
              </w:rPr>
              <w:t xml:space="preserve"> P</w:t>
            </w:r>
            <w:r w:rsidR="0074590D">
              <w:rPr>
                <w:sz w:val="20"/>
                <w:szCs w:val="20"/>
              </w:rPr>
              <w:t xml:space="preserve">ublic </w:t>
            </w:r>
            <w:r>
              <w:rPr>
                <w:sz w:val="20"/>
                <w:szCs w:val="20"/>
              </w:rPr>
              <w:t>H</w:t>
            </w:r>
            <w:r w:rsidR="0074590D">
              <w:rPr>
                <w:sz w:val="20"/>
                <w:szCs w:val="20"/>
              </w:rPr>
              <w:t xml:space="preserve">ealth </w:t>
            </w:r>
            <w:r>
              <w:rPr>
                <w:sz w:val="20"/>
                <w:szCs w:val="20"/>
              </w:rPr>
              <w:t>A</w:t>
            </w:r>
            <w:r w:rsidR="0074590D">
              <w:rPr>
                <w:sz w:val="20"/>
                <w:szCs w:val="20"/>
              </w:rPr>
              <w:t xml:space="preserve">dvisory </w:t>
            </w:r>
            <w:r>
              <w:rPr>
                <w:sz w:val="20"/>
                <w:szCs w:val="20"/>
              </w:rPr>
              <w:t>B</w:t>
            </w:r>
            <w:r w:rsidR="0074590D">
              <w:rPr>
                <w:sz w:val="20"/>
                <w:szCs w:val="20"/>
              </w:rPr>
              <w:t>oard</w:t>
            </w:r>
            <w:r>
              <w:rPr>
                <w:sz w:val="20"/>
                <w:szCs w:val="20"/>
              </w:rPr>
              <w:t xml:space="preserve"> anymore. Tricia</w:t>
            </w:r>
            <w:r w:rsidR="0074590D">
              <w:rPr>
                <w:sz w:val="20"/>
                <w:szCs w:val="20"/>
              </w:rPr>
              <w:t xml:space="preserve"> </w:t>
            </w:r>
            <w:proofErr w:type="spellStart"/>
            <w:r w:rsidR="0074590D">
              <w:rPr>
                <w:sz w:val="20"/>
                <w:szCs w:val="20"/>
              </w:rPr>
              <w:t>Mortell</w:t>
            </w:r>
            <w:proofErr w:type="spellEnd"/>
            <w:r w:rsidR="0074590D">
              <w:rPr>
                <w:sz w:val="20"/>
                <w:szCs w:val="20"/>
              </w:rPr>
              <w:t>, representing Washington County, has discussed serving with the other larger Counties.  She</w:t>
            </w:r>
            <w:r>
              <w:rPr>
                <w:sz w:val="20"/>
                <w:szCs w:val="20"/>
              </w:rPr>
              <w:t xml:space="preserve"> will complete application and will put in paperwork</w:t>
            </w:r>
            <w:r w:rsidR="0074590D">
              <w:rPr>
                <w:sz w:val="20"/>
                <w:szCs w:val="20"/>
              </w:rPr>
              <w:t xml:space="preserve"> to be appointed by the Governor</w:t>
            </w:r>
            <w:r>
              <w:rPr>
                <w:sz w:val="20"/>
                <w:szCs w:val="20"/>
              </w:rPr>
              <w:t>.</w:t>
            </w:r>
            <w:r w:rsidR="0074590D">
              <w:rPr>
                <w:sz w:val="20"/>
                <w:szCs w:val="20"/>
              </w:rPr>
              <w:t xml:space="preserve"> </w:t>
            </w:r>
          </w:p>
          <w:p w14:paraId="542DED9A" w14:textId="2101676F" w:rsidR="00661E3D" w:rsidRPr="0074590D" w:rsidRDefault="0074590D" w:rsidP="0074590D">
            <w:pPr>
              <w:rPr>
                <w:b/>
                <w:sz w:val="20"/>
                <w:szCs w:val="20"/>
              </w:rPr>
            </w:pPr>
            <w:r w:rsidRPr="0074590D">
              <w:rPr>
                <w:b/>
                <w:sz w:val="20"/>
                <w:szCs w:val="20"/>
              </w:rPr>
              <w:t xml:space="preserve">Dr. </w:t>
            </w:r>
            <w:proofErr w:type="spellStart"/>
            <w:r w:rsidRPr="0074590D">
              <w:rPr>
                <w:b/>
                <w:sz w:val="20"/>
                <w:szCs w:val="20"/>
              </w:rPr>
              <w:t>Dannonhoffer</w:t>
            </w:r>
            <w:proofErr w:type="spellEnd"/>
            <w:r w:rsidRPr="0074590D">
              <w:rPr>
                <w:b/>
                <w:sz w:val="20"/>
                <w:szCs w:val="20"/>
              </w:rPr>
              <w:t xml:space="preserve"> and Lindsey </w:t>
            </w:r>
            <w:proofErr w:type="spellStart"/>
            <w:r w:rsidRPr="0074590D">
              <w:rPr>
                <w:b/>
                <w:sz w:val="20"/>
                <w:szCs w:val="20"/>
              </w:rPr>
              <w:t>Manfrin</w:t>
            </w:r>
            <w:proofErr w:type="spellEnd"/>
            <w:r w:rsidRPr="0074590D">
              <w:rPr>
                <w:b/>
                <w:sz w:val="20"/>
                <w:szCs w:val="20"/>
              </w:rPr>
              <w:t xml:space="preserve"> motioned support. </w:t>
            </w:r>
            <w:r w:rsidR="00661E3D" w:rsidRPr="0074590D">
              <w:rPr>
                <w:b/>
                <w:sz w:val="20"/>
                <w:szCs w:val="20"/>
              </w:rPr>
              <w:t xml:space="preserve"> A</w:t>
            </w:r>
            <w:r w:rsidRPr="0074590D">
              <w:rPr>
                <w:b/>
                <w:sz w:val="20"/>
                <w:szCs w:val="20"/>
              </w:rPr>
              <w:t>ll in Favor</w:t>
            </w:r>
          </w:p>
        </w:tc>
      </w:tr>
      <w:tr w:rsidR="00661E3D" w:rsidRPr="003A18FD" w14:paraId="4E4FC851" w14:textId="77777777" w:rsidTr="007F2B11">
        <w:trPr>
          <w:trHeight w:val="931"/>
        </w:trPr>
        <w:tc>
          <w:tcPr>
            <w:tcW w:w="1818" w:type="dxa"/>
          </w:tcPr>
          <w:p w14:paraId="091148E5" w14:textId="77777777" w:rsidR="00D2506D" w:rsidRDefault="00D2506D" w:rsidP="00D2506D">
            <w:r>
              <w:t>Reproductive Health Next</w:t>
            </w:r>
          </w:p>
          <w:p w14:paraId="2C2D0FFF" w14:textId="77262D30" w:rsidR="00661E3D" w:rsidRDefault="00D2506D" w:rsidP="00D2506D">
            <w:pPr>
              <w:rPr>
                <w:sz w:val="22"/>
                <w:szCs w:val="22"/>
              </w:rPr>
            </w:pPr>
            <w:proofErr w:type="gramStart"/>
            <w:r>
              <w:t>steps</w:t>
            </w:r>
            <w:proofErr w:type="gramEnd"/>
            <w:r>
              <w:t xml:space="preserve"> (HB 3391 &amp; PE 41)</w:t>
            </w:r>
          </w:p>
        </w:tc>
        <w:tc>
          <w:tcPr>
            <w:tcW w:w="1341" w:type="dxa"/>
          </w:tcPr>
          <w:p w14:paraId="57CB6222" w14:textId="3178C435" w:rsidR="00661E3D" w:rsidRDefault="00D2506D" w:rsidP="00D2506D">
            <w:pPr>
              <w:rPr>
                <w:sz w:val="22"/>
                <w:szCs w:val="22"/>
              </w:rPr>
            </w:pPr>
            <w:r>
              <w:rPr>
                <w:sz w:val="20"/>
                <w:szCs w:val="20"/>
              </w:rPr>
              <w:t>Discuss</w:t>
            </w:r>
            <w:r w:rsidR="00661E3D" w:rsidRPr="00C214F1">
              <w:rPr>
                <w:sz w:val="20"/>
                <w:szCs w:val="20"/>
              </w:rPr>
              <w:t xml:space="preserve"> </w:t>
            </w:r>
          </w:p>
        </w:tc>
        <w:tc>
          <w:tcPr>
            <w:tcW w:w="7627" w:type="dxa"/>
          </w:tcPr>
          <w:p w14:paraId="0A277933" w14:textId="4A4BC46A" w:rsidR="00D2506D" w:rsidRDefault="00661E3D" w:rsidP="00661E3D">
            <w:pPr>
              <w:rPr>
                <w:sz w:val="20"/>
                <w:szCs w:val="20"/>
              </w:rPr>
            </w:pPr>
            <w:r>
              <w:rPr>
                <w:sz w:val="20"/>
                <w:szCs w:val="20"/>
              </w:rPr>
              <w:t xml:space="preserve">HB 3391 passed </w:t>
            </w:r>
            <w:r w:rsidR="00D2506D">
              <w:rPr>
                <w:sz w:val="20"/>
                <w:szCs w:val="20"/>
              </w:rPr>
              <w:t xml:space="preserve">which creates </w:t>
            </w:r>
            <w:r w:rsidR="0074590D">
              <w:rPr>
                <w:sz w:val="20"/>
                <w:szCs w:val="20"/>
              </w:rPr>
              <w:t xml:space="preserve">funding to better </w:t>
            </w:r>
            <w:r>
              <w:rPr>
                <w:sz w:val="20"/>
                <w:szCs w:val="20"/>
              </w:rPr>
              <w:t>provide services to underserved women. Nothing in HB 3391 has any implications to PE 41, but it brings in questions of clinics wanting to provide services. State is moving to fee for service</w:t>
            </w:r>
            <w:r w:rsidR="0074590D">
              <w:rPr>
                <w:sz w:val="20"/>
                <w:szCs w:val="20"/>
              </w:rPr>
              <w:t xml:space="preserve"> model for funding services provided under HB 3391</w:t>
            </w:r>
            <w:r>
              <w:rPr>
                <w:sz w:val="20"/>
                <w:szCs w:val="20"/>
              </w:rPr>
              <w:t xml:space="preserve">. </w:t>
            </w:r>
            <w:r w:rsidR="0074590D">
              <w:rPr>
                <w:sz w:val="20"/>
                <w:szCs w:val="20"/>
              </w:rPr>
              <w:t xml:space="preserve">There will be two workgroups: Clinical Services workgroup &amp; CLHO workgroup. </w:t>
            </w:r>
          </w:p>
          <w:p w14:paraId="5B1BCDCD" w14:textId="77777777" w:rsidR="00D2506D" w:rsidRDefault="00D2506D" w:rsidP="00661E3D">
            <w:pPr>
              <w:rPr>
                <w:sz w:val="20"/>
                <w:szCs w:val="20"/>
              </w:rPr>
            </w:pPr>
          </w:p>
          <w:p w14:paraId="5DE4EBD5" w14:textId="77777777" w:rsidR="00F21252" w:rsidRDefault="00F21252" w:rsidP="00661E3D">
            <w:pPr>
              <w:rPr>
                <w:sz w:val="20"/>
                <w:szCs w:val="20"/>
              </w:rPr>
            </w:pPr>
          </w:p>
          <w:p w14:paraId="2E8C8A4C" w14:textId="7D48A49D" w:rsidR="00661E3D" w:rsidRDefault="00661E3D" w:rsidP="00661E3D">
            <w:pPr>
              <w:rPr>
                <w:sz w:val="20"/>
                <w:szCs w:val="20"/>
              </w:rPr>
            </w:pPr>
            <w:r>
              <w:rPr>
                <w:sz w:val="20"/>
                <w:szCs w:val="20"/>
              </w:rPr>
              <w:t>Repro</w:t>
            </w:r>
            <w:r w:rsidR="00F21252">
              <w:rPr>
                <w:sz w:val="20"/>
                <w:szCs w:val="20"/>
              </w:rPr>
              <w:t>ductive</w:t>
            </w:r>
            <w:r>
              <w:rPr>
                <w:sz w:val="20"/>
                <w:szCs w:val="20"/>
              </w:rPr>
              <w:t xml:space="preserve"> health program at state is using the workgroup that has been </w:t>
            </w:r>
            <w:r w:rsidR="00F21252">
              <w:rPr>
                <w:sz w:val="20"/>
                <w:szCs w:val="20"/>
              </w:rPr>
              <w:t xml:space="preserve">in </w:t>
            </w:r>
            <w:r>
              <w:rPr>
                <w:sz w:val="20"/>
                <w:szCs w:val="20"/>
              </w:rPr>
              <w:t>existence for a long time</w:t>
            </w:r>
            <w:r w:rsidR="0074590D">
              <w:rPr>
                <w:sz w:val="20"/>
                <w:szCs w:val="20"/>
              </w:rPr>
              <w:t xml:space="preserve"> to help provide guidance in this issue as well</w:t>
            </w:r>
            <w:r>
              <w:rPr>
                <w:sz w:val="20"/>
                <w:szCs w:val="20"/>
              </w:rPr>
              <w:t>.</w:t>
            </w:r>
            <w:r w:rsidR="0074590D">
              <w:rPr>
                <w:sz w:val="20"/>
                <w:szCs w:val="20"/>
              </w:rPr>
              <w:t xml:space="preserve">  The important part will be to ensure that Health Administrators are connecting to the Reproductive Health coordinators. </w:t>
            </w:r>
            <w:r>
              <w:rPr>
                <w:sz w:val="20"/>
                <w:szCs w:val="20"/>
              </w:rPr>
              <w:t xml:space="preserve"> Continued with group because many service providers are not local health authorities. A group that has historically managed these items. </w:t>
            </w:r>
          </w:p>
          <w:p w14:paraId="60A24FA3" w14:textId="77777777" w:rsidR="00661E3D" w:rsidRDefault="00661E3D" w:rsidP="00661E3D">
            <w:pPr>
              <w:rPr>
                <w:sz w:val="20"/>
                <w:szCs w:val="20"/>
              </w:rPr>
            </w:pPr>
          </w:p>
          <w:p w14:paraId="4DD60BBD" w14:textId="77777777" w:rsidR="00661E3D" w:rsidRDefault="00661E3D" w:rsidP="00661E3D">
            <w:pPr>
              <w:rPr>
                <w:sz w:val="20"/>
                <w:szCs w:val="20"/>
              </w:rPr>
            </w:pPr>
            <w:r>
              <w:rPr>
                <w:sz w:val="20"/>
                <w:szCs w:val="20"/>
              </w:rPr>
              <w:t>Changes to PE 41 will come back to CLHO.</w:t>
            </w:r>
          </w:p>
          <w:p w14:paraId="278D1E3D" w14:textId="77777777" w:rsidR="00661E3D" w:rsidRDefault="00661E3D" w:rsidP="00661E3D">
            <w:pPr>
              <w:rPr>
                <w:sz w:val="20"/>
                <w:szCs w:val="20"/>
              </w:rPr>
            </w:pPr>
          </w:p>
          <w:p w14:paraId="6BCDD60F" w14:textId="77777777" w:rsidR="00661E3D" w:rsidRDefault="00661E3D" w:rsidP="00661E3D">
            <w:pPr>
              <w:rPr>
                <w:sz w:val="20"/>
                <w:szCs w:val="20"/>
              </w:rPr>
            </w:pPr>
            <w:r>
              <w:rPr>
                <w:sz w:val="20"/>
                <w:szCs w:val="20"/>
              </w:rPr>
              <w:t xml:space="preserve">Karen (Wheeler) Base funding needs to be maintained </w:t>
            </w:r>
          </w:p>
          <w:p w14:paraId="5299FDBA" w14:textId="77777777" w:rsidR="00661E3D" w:rsidRDefault="00661E3D" w:rsidP="00661E3D">
            <w:pPr>
              <w:rPr>
                <w:sz w:val="20"/>
                <w:szCs w:val="20"/>
              </w:rPr>
            </w:pPr>
          </w:p>
          <w:p w14:paraId="78A7A135" w14:textId="66E0213B" w:rsidR="00661E3D" w:rsidRDefault="00661E3D" w:rsidP="00661E3D">
            <w:pPr>
              <w:rPr>
                <w:sz w:val="20"/>
                <w:szCs w:val="20"/>
              </w:rPr>
            </w:pPr>
            <w:r>
              <w:rPr>
                <w:sz w:val="20"/>
                <w:szCs w:val="20"/>
              </w:rPr>
              <w:t>Thanks to Lindsey and Danna for working on this and keeping administrators up to date</w:t>
            </w:r>
            <w:r w:rsidR="0074590D">
              <w:rPr>
                <w:sz w:val="20"/>
                <w:szCs w:val="20"/>
              </w:rPr>
              <w:t xml:space="preserve"> and in the loop. </w:t>
            </w:r>
          </w:p>
          <w:p w14:paraId="51E069E3" w14:textId="77777777" w:rsidR="00661E3D" w:rsidRDefault="00661E3D" w:rsidP="00661E3D">
            <w:pPr>
              <w:rPr>
                <w:sz w:val="20"/>
                <w:szCs w:val="20"/>
              </w:rPr>
            </w:pPr>
          </w:p>
          <w:p w14:paraId="30808A8B" w14:textId="5F5F5832" w:rsidR="00661E3D" w:rsidRDefault="00661E3D" w:rsidP="00EB1301">
            <w:pPr>
              <w:rPr>
                <w:sz w:val="20"/>
                <w:szCs w:val="20"/>
              </w:rPr>
            </w:pPr>
          </w:p>
        </w:tc>
      </w:tr>
      <w:tr w:rsidR="00661E3D" w:rsidRPr="003A18FD" w14:paraId="52C57A6A" w14:textId="77777777" w:rsidTr="007F2B11">
        <w:trPr>
          <w:trHeight w:val="1492"/>
        </w:trPr>
        <w:tc>
          <w:tcPr>
            <w:tcW w:w="1818" w:type="dxa"/>
          </w:tcPr>
          <w:p w14:paraId="4F044932" w14:textId="77777777" w:rsidR="00D2506D" w:rsidRPr="00D2506D" w:rsidRDefault="00D2506D" w:rsidP="00D2506D">
            <w:pPr>
              <w:rPr>
                <w:sz w:val="22"/>
                <w:szCs w:val="22"/>
              </w:rPr>
            </w:pPr>
            <w:r w:rsidRPr="00D2506D">
              <w:rPr>
                <w:sz w:val="22"/>
                <w:szCs w:val="22"/>
              </w:rPr>
              <w:lastRenderedPageBreak/>
              <w:t>Public Health</w:t>
            </w:r>
          </w:p>
          <w:p w14:paraId="7278D7C1" w14:textId="77777777" w:rsidR="00D2506D" w:rsidRPr="00D2506D" w:rsidRDefault="00D2506D" w:rsidP="00D2506D">
            <w:pPr>
              <w:rPr>
                <w:sz w:val="22"/>
                <w:szCs w:val="22"/>
              </w:rPr>
            </w:pPr>
            <w:r w:rsidRPr="00D2506D">
              <w:rPr>
                <w:sz w:val="22"/>
                <w:szCs w:val="22"/>
              </w:rPr>
              <w:t>Modernization - Process</w:t>
            </w:r>
          </w:p>
          <w:p w14:paraId="21B4D601" w14:textId="20FA0A17" w:rsidR="00661E3D" w:rsidRPr="00D75F0B" w:rsidRDefault="00D2506D" w:rsidP="00D2506D">
            <w:pPr>
              <w:rPr>
                <w:rFonts w:eastAsia="Times New Roman" w:cs="Times New Roman"/>
                <w:sz w:val="20"/>
                <w:szCs w:val="20"/>
              </w:rPr>
            </w:pPr>
            <w:r w:rsidRPr="00D2506D">
              <w:rPr>
                <w:sz w:val="22"/>
                <w:szCs w:val="22"/>
              </w:rPr>
              <w:t>Measures</w:t>
            </w:r>
          </w:p>
        </w:tc>
        <w:tc>
          <w:tcPr>
            <w:tcW w:w="1341" w:type="dxa"/>
          </w:tcPr>
          <w:p w14:paraId="5FA7834C" w14:textId="77777777" w:rsidR="00661E3D" w:rsidRPr="00CF08A1" w:rsidRDefault="00661E3D" w:rsidP="00661E3D">
            <w:pPr>
              <w:ind w:right="-720"/>
            </w:pPr>
            <w:r w:rsidRPr="00CF08A1">
              <w:t xml:space="preserve">Update </w:t>
            </w:r>
          </w:p>
          <w:p w14:paraId="3182A19E" w14:textId="3C212C26" w:rsidR="00661E3D" w:rsidRPr="003A18FD" w:rsidRDefault="00661E3D" w:rsidP="00C818D7">
            <w:pPr>
              <w:rPr>
                <w:sz w:val="22"/>
                <w:szCs w:val="22"/>
              </w:rPr>
            </w:pPr>
          </w:p>
        </w:tc>
        <w:tc>
          <w:tcPr>
            <w:tcW w:w="7627" w:type="dxa"/>
          </w:tcPr>
          <w:p w14:paraId="7B7F03E6" w14:textId="4F6A9077" w:rsidR="00661E3D" w:rsidRPr="00DD4CA3" w:rsidRDefault="00661E3D" w:rsidP="0074590D">
            <w:pPr>
              <w:rPr>
                <w:sz w:val="20"/>
              </w:rPr>
            </w:pPr>
            <w:r>
              <w:rPr>
                <w:sz w:val="20"/>
                <w:szCs w:val="20"/>
              </w:rPr>
              <w:t>If you are on a CLHO committee you have been asked to identify process measures. Committee work is underway. October 3</w:t>
            </w:r>
            <w:r w:rsidRPr="00C530EF">
              <w:rPr>
                <w:sz w:val="20"/>
                <w:szCs w:val="20"/>
                <w:vertAlign w:val="superscript"/>
              </w:rPr>
              <w:t>rd</w:t>
            </w:r>
            <w:r>
              <w:rPr>
                <w:sz w:val="20"/>
                <w:szCs w:val="20"/>
              </w:rPr>
              <w:t xml:space="preserve"> webinar, public comment process. Will allow for feedback to be given to PHAB. Health outcome measures are already </w:t>
            </w:r>
            <w:proofErr w:type="gramStart"/>
            <w:r>
              <w:rPr>
                <w:sz w:val="20"/>
                <w:szCs w:val="20"/>
              </w:rPr>
              <w:t>identified,</w:t>
            </w:r>
            <w:proofErr w:type="gramEnd"/>
            <w:r>
              <w:rPr>
                <w:sz w:val="20"/>
                <w:szCs w:val="20"/>
              </w:rPr>
              <w:t xml:space="preserve"> state and local public health to move that </w:t>
            </w:r>
            <w:r w:rsidR="0074590D">
              <w:rPr>
                <w:sz w:val="20"/>
                <w:szCs w:val="20"/>
              </w:rPr>
              <w:t xml:space="preserve">and ensure that there is an additional feedback opportunity. </w:t>
            </w:r>
          </w:p>
        </w:tc>
      </w:tr>
      <w:tr w:rsidR="00661E3D" w:rsidRPr="003A18FD" w14:paraId="362FFA44" w14:textId="77777777" w:rsidTr="00836C5C">
        <w:trPr>
          <w:trHeight w:val="2060"/>
        </w:trPr>
        <w:tc>
          <w:tcPr>
            <w:tcW w:w="1818" w:type="dxa"/>
          </w:tcPr>
          <w:p w14:paraId="785BBB2E" w14:textId="4544FF7B" w:rsidR="00661E3D" w:rsidRDefault="00661E3D" w:rsidP="00F31D80">
            <w:pPr>
              <w:rPr>
                <w:sz w:val="22"/>
                <w:szCs w:val="22"/>
              </w:rPr>
            </w:pPr>
            <w:r>
              <w:t>State Health Assessment</w:t>
            </w:r>
            <w:r w:rsidR="00D2506D">
              <w:t xml:space="preserve"> – Community Engagement</w:t>
            </w:r>
          </w:p>
        </w:tc>
        <w:tc>
          <w:tcPr>
            <w:tcW w:w="1341" w:type="dxa"/>
          </w:tcPr>
          <w:p w14:paraId="230C8C30" w14:textId="77777777" w:rsidR="00661E3D" w:rsidRPr="00CF08A1" w:rsidRDefault="00661E3D" w:rsidP="00661E3D">
            <w:pPr>
              <w:ind w:right="-720"/>
            </w:pPr>
            <w:r w:rsidRPr="00CF08A1">
              <w:t xml:space="preserve">Update </w:t>
            </w:r>
          </w:p>
          <w:p w14:paraId="7228D629" w14:textId="5E5CA400" w:rsidR="00661E3D" w:rsidRDefault="00661E3D" w:rsidP="00C818D7">
            <w:pPr>
              <w:rPr>
                <w:sz w:val="22"/>
                <w:szCs w:val="22"/>
              </w:rPr>
            </w:pPr>
          </w:p>
        </w:tc>
        <w:tc>
          <w:tcPr>
            <w:tcW w:w="7627" w:type="dxa"/>
          </w:tcPr>
          <w:p w14:paraId="336ACE67" w14:textId="168B7C34" w:rsidR="00661E3D" w:rsidRDefault="00661E3D" w:rsidP="00661E3D">
            <w:pPr>
              <w:ind w:right="-108"/>
              <w:rPr>
                <w:sz w:val="20"/>
                <w:szCs w:val="20"/>
              </w:rPr>
            </w:pPr>
            <w:r>
              <w:rPr>
                <w:sz w:val="20"/>
                <w:szCs w:val="20"/>
              </w:rPr>
              <w:t>Danna emailed out</w:t>
            </w:r>
            <w:r w:rsidR="0074590D">
              <w:rPr>
                <w:sz w:val="20"/>
                <w:szCs w:val="20"/>
              </w:rPr>
              <w:t xml:space="preserve"> information about the engagement process</w:t>
            </w:r>
            <w:r>
              <w:rPr>
                <w:sz w:val="20"/>
                <w:szCs w:val="20"/>
              </w:rPr>
              <w:t xml:space="preserve">. </w:t>
            </w:r>
            <w:r w:rsidR="0074590D">
              <w:rPr>
                <w:sz w:val="20"/>
                <w:szCs w:val="20"/>
              </w:rPr>
              <w:t>The Public Health Division is w</w:t>
            </w:r>
            <w:r>
              <w:rPr>
                <w:sz w:val="20"/>
                <w:szCs w:val="20"/>
              </w:rPr>
              <w:t>orking on state</w:t>
            </w:r>
            <w:r w:rsidR="0074590D">
              <w:rPr>
                <w:sz w:val="20"/>
                <w:szCs w:val="20"/>
              </w:rPr>
              <w:t xml:space="preserve"> health</w:t>
            </w:r>
            <w:r>
              <w:rPr>
                <w:sz w:val="20"/>
                <w:szCs w:val="20"/>
              </w:rPr>
              <w:t xml:space="preserve"> </w:t>
            </w:r>
            <w:proofErr w:type="gramStart"/>
            <w:r>
              <w:rPr>
                <w:sz w:val="20"/>
                <w:szCs w:val="20"/>
              </w:rPr>
              <w:t>assessment which</w:t>
            </w:r>
            <w:proofErr w:type="gramEnd"/>
            <w:r>
              <w:rPr>
                <w:sz w:val="20"/>
                <w:szCs w:val="20"/>
              </w:rPr>
              <w:t xml:space="preserve"> will inform the next health improvement plan. </w:t>
            </w:r>
            <w:r w:rsidR="0074590D">
              <w:rPr>
                <w:sz w:val="20"/>
                <w:szCs w:val="20"/>
              </w:rPr>
              <w:t xml:space="preserve"> The s</w:t>
            </w:r>
            <w:r w:rsidR="005E156E">
              <w:rPr>
                <w:sz w:val="20"/>
                <w:szCs w:val="20"/>
              </w:rPr>
              <w:t xml:space="preserve">teering </w:t>
            </w:r>
            <w:r>
              <w:rPr>
                <w:sz w:val="20"/>
                <w:szCs w:val="20"/>
              </w:rPr>
              <w:t>C</w:t>
            </w:r>
            <w:r w:rsidR="005E156E">
              <w:rPr>
                <w:sz w:val="20"/>
                <w:szCs w:val="20"/>
              </w:rPr>
              <w:t>ommittee</w:t>
            </w:r>
            <w:r>
              <w:rPr>
                <w:sz w:val="20"/>
                <w:szCs w:val="20"/>
              </w:rPr>
              <w:t xml:space="preserve"> is multi-disciplinary and has prioritized health equity. Working with community groups that serve culturally specific groups. </w:t>
            </w:r>
            <w:r w:rsidR="0074590D">
              <w:rPr>
                <w:sz w:val="20"/>
                <w:szCs w:val="20"/>
              </w:rPr>
              <w:t>See below for l</w:t>
            </w:r>
            <w:r>
              <w:rPr>
                <w:sz w:val="20"/>
                <w:szCs w:val="20"/>
              </w:rPr>
              <w:t xml:space="preserve">ink to flyers, share with partners, sample outreach letter to customize. </w:t>
            </w:r>
          </w:p>
          <w:p w14:paraId="237D0B67" w14:textId="77777777" w:rsidR="00661E3D" w:rsidRDefault="00661E3D" w:rsidP="00661E3D">
            <w:pPr>
              <w:ind w:right="-108"/>
              <w:rPr>
                <w:sz w:val="20"/>
                <w:szCs w:val="20"/>
              </w:rPr>
            </w:pPr>
          </w:p>
          <w:p w14:paraId="0F2B3AEC" w14:textId="505F90F9" w:rsidR="00661E3D" w:rsidRDefault="0074590D" w:rsidP="00661E3D">
            <w:pPr>
              <w:ind w:right="-108"/>
              <w:rPr>
                <w:sz w:val="20"/>
                <w:szCs w:val="20"/>
              </w:rPr>
            </w:pPr>
            <w:r>
              <w:rPr>
                <w:sz w:val="20"/>
                <w:szCs w:val="20"/>
              </w:rPr>
              <w:t>CLHO members asked, “how is d</w:t>
            </w:r>
            <w:r w:rsidR="00661E3D">
              <w:rPr>
                <w:sz w:val="20"/>
                <w:szCs w:val="20"/>
              </w:rPr>
              <w:t>ata from any local health assessments being used?</w:t>
            </w:r>
            <w:r>
              <w:rPr>
                <w:sz w:val="20"/>
                <w:szCs w:val="20"/>
              </w:rPr>
              <w:t>” Danna suggested that staff reviewed the t</w:t>
            </w:r>
            <w:r w:rsidR="00661E3D">
              <w:rPr>
                <w:sz w:val="20"/>
                <w:szCs w:val="20"/>
              </w:rPr>
              <w:t xml:space="preserve">hemes and strengths committee has gleaned from the assessments what the highest needs and priorities are. </w:t>
            </w:r>
          </w:p>
          <w:p w14:paraId="088034AC" w14:textId="77777777" w:rsidR="00661E3D" w:rsidRDefault="00661E3D" w:rsidP="00661E3D">
            <w:pPr>
              <w:ind w:right="-108"/>
              <w:rPr>
                <w:sz w:val="20"/>
                <w:szCs w:val="20"/>
              </w:rPr>
            </w:pPr>
          </w:p>
          <w:p w14:paraId="23ACC5E0" w14:textId="39716228" w:rsidR="00661E3D" w:rsidRDefault="00661E3D" w:rsidP="00C818D7">
            <w:pPr>
              <w:rPr>
                <w:sz w:val="20"/>
              </w:rPr>
            </w:pPr>
            <w:r>
              <w:rPr>
                <w:sz w:val="20"/>
                <w:szCs w:val="20"/>
              </w:rPr>
              <w:t>EH as a topic – healthoregon.org/CHA</w:t>
            </w:r>
          </w:p>
        </w:tc>
      </w:tr>
      <w:tr w:rsidR="00661E3D" w:rsidRPr="003A18FD" w14:paraId="6BE22BE5" w14:textId="77777777" w:rsidTr="00836C5C">
        <w:trPr>
          <w:trHeight w:val="2060"/>
        </w:trPr>
        <w:tc>
          <w:tcPr>
            <w:tcW w:w="1818" w:type="dxa"/>
          </w:tcPr>
          <w:p w14:paraId="2E5979E2" w14:textId="2A271AE7" w:rsidR="00661E3D" w:rsidRDefault="00661E3D" w:rsidP="00F31D80">
            <w:pPr>
              <w:rPr>
                <w:sz w:val="22"/>
                <w:szCs w:val="22"/>
              </w:rPr>
            </w:pPr>
            <w:r>
              <w:t>Proposed TPEP Budget Reduction</w:t>
            </w:r>
          </w:p>
        </w:tc>
        <w:tc>
          <w:tcPr>
            <w:tcW w:w="1341" w:type="dxa"/>
          </w:tcPr>
          <w:p w14:paraId="39A59676" w14:textId="010C03E4" w:rsidR="00661E3D" w:rsidRPr="005C4A8C" w:rsidRDefault="00D2506D" w:rsidP="00C818D7">
            <w:r w:rsidRPr="005C4A8C">
              <w:t>Discuss and Recommend</w:t>
            </w:r>
          </w:p>
        </w:tc>
        <w:tc>
          <w:tcPr>
            <w:tcW w:w="7627" w:type="dxa"/>
          </w:tcPr>
          <w:p w14:paraId="5F9F1B32" w14:textId="4E6A48E6" w:rsidR="00661E3D" w:rsidRDefault="00661E3D" w:rsidP="00661E3D">
            <w:pPr>
              <w:rPr>
                <w:sz w:val="20"/>
                <w:szCs w:val="20"/>
              </w:rPr>
            </w:pPr>
            <w:r>
              <w:rPr>
                <w:sz w:val="20"/>
                <w:szCs w:val="20"/>
              </w:rPr>
              <w:t>Reduction in tobacco funding</w:t>
            </w:r>
            <w:r w:rsidR="005A3095">
              <w:rPr>
                <w:sz w:val="20"/>
                <w:szCs w:val="20"/>
              </w:rPr>
              <w:t xml:space="preserve"> caused by the Oregon Legislature reducing the resources to tobacco prevention</w:t>
            </w:r>
            <w:r>
              <w:rPr>
                <w:sz w:val="20"/>
                <w:szCs w:val="20"/>
              </w:rPr>
              <w:t>.</w:t>
            </w:r>
            <w:r w:rsidR="005A3095">
              <w:rPr>
                <w:sz w:val="20"/>
                <w:szCs w:val="20"/>
              </w:rPr>
              <w:t xml:space="preserve">  There have been quite a few </w:t>
            </w:r>
            <w:r w:rsidR="005C4A8C">
              <w:rPr>
                <w:sz w:val="20"/>
                <w:szCs w:val="20"/>
              </w:rPr>
              <w:t xml:space="preserve">conversations about this budget reduction but the state and locals are not able to get to resolution or consensus. </w:t>
            </w:r>
          </w:p>
          <w:p w14:paraId="255B3938" w14:textId="77777777" w:rsidR="00661E3D" w:rsidRDefault="00661E3D" w:rsidP="00661E3D">
            <w:pPr>
              <w:rPr>
                <w:sz w:val="20"/>
                <w:szCs w:val="20"/>
              </w:rPr>
            </w:pPr>
          </w:p>
          <w:p w14:paraId="37AED463" w14:textId="6518E92B" w:rsidR="00661E3D" w:rsidRDefault="005C4A8C" w:rsidP="00661E3D">
            <w:pPr>
              <w:rPr>
                <w:sz w:val="20"/>
                <w:szCs w:val="20"/>
              </w:rPr>
            </w:pPr>
            <w:r>
              <w:rPr>
                <w:sz w:val="20"/>
                <w:szCs w:val="20"/>
              </w:rPr>
              <w:t>The PHD did provide several options for looking at the reduction</w:t>
            </w:r>
            <w:r w:rsidR="006D60DF">
              <w:rPr>
                <w:sz w:val="20"/>
                <w:szCs w:val="20"/>
              </w:rPr>
              <w:t xml:space="preserve"> to local health departments</w:t>
            </w:r>
            <w:r w:rsidR="00572B35">
              <w:rPr>
                <w:sz w:val="20"/>
                <w:szCs w:val="20"/>
              </w:rPr>
              <w:t xml:space="preserve"> and keeping the Sustainable Relationships for Community Health (SRCH) and Strategies for Policy and Environmental Change (</w:t>
            </w:r>
            <w:proofErr w:type="spellStart"/>
            <w:r w:rsidR="00572B35">
              <w:rPr>
                <w:sz w:val="20"/>
                <w:szCs w:val="20"/>
              </w:rPr>
              <w:t>SPArC</w:t>
            </w:r>
            <w:proofErr w:type="spellEnd"/>
            <w:r w:rsidR="00572B35">
              <w:rPr>
                <w:sz w:val="20"/>
                <w:szCs w:val="20"/>
              </w:rPr>
              <w:t xml:space="preserve">) Request for </w:t>
            </w:r>
            <w:r w:rsidR="006D60DF">
              <w:rPr>
                <w:sz w:val="20"/>
                <w:szCs w:val="20"/>
              </w:rPr>
              <w:t>Proposals</w:t>
            </w:r>
            <w:r w:rsidR="00572B35">
              <w:rPr>
                <w:sz w:val="20"/>
                <w:szCs w:val="20"/>
              </w:rPr>
              <w:t xml:space="preserve"> instead of investing in the “core” TPEP funding which is allocated to all loc</w:t>
            </w:r>
            <w:r w:rsidR="006D60DF">
              <w:rPr>
                <w:sz w:val="20"/>
                <w:szCs w:val="20"/>
              </w:rPr>
              <w:t xml:space="preserve">al health departments.  Jocelyn Warren gave a brief update of the conversations and let the Board know that she thought the committee and the PHD program were at an impasse.  </w:t>
            </w:r>
          </w:p>
          <w:p w14:paraId="07B5FD0D" w14:textId="77777777" w:rsidR="006D60DF" w:rsidRDefault="006D60DF" w:rsidP="00661E3D">
            <w:pPr>
              <w:rPr>
                <w:sz w:val="20"/>
                <w:szCs w:val="20"/>
              </w:rPr>
            </w:pPr>
          </w:p>
          <w:p w14:paraId="6BB99ACF" w14:textId="3B4B7F59" w:rsidR="006D60DF" w:rsidRDefault="006D60DF" w:rsidP="00661E3D">
            <w:pPr>
              <w:rPr>
                <w:sz w:val="20"/>
                <w:szCs w:val="20"/>
              </w:rPr>
            </w:pPr>
            <w:r>
              <w:rPr>
                <w:sz w:val="20"/>
                <w:szCs w:val="20"/>
              </w:rPr>
              <w:t xml:space="preserve">Charlie </w:t>
            </w:r>
            <w:proofErr w:type="spellStart"/>
            <w:r>
              <w:rPr>
                <w:sz w:val="20"/>
                <w:szCs w:val="20"/>
              </w:rPr>
              <w:t>Fautin</w:t>
            </w:r>
            <w:proofErr w:type="spellEnd"/>
            <w:r>
              <w:rPr>
                <w:sz w:val="20"/>
                <w:szCs w:val="20"/>
              </w:rPr>
              <w:t xml:space="preserve"> really </w:t>
            </w:r>
            <w:r w:rsidR="00ED52EC">
              <w:rPr>
                <w:sz w:val="20"/>
                <w:szCs w:val="20"/>
              </w:rPr>
              <w:t xml:space="preserve">focused the conversation on how to move forward.  Jocelyn suggested that the group needed a facilitator or additional outside perspective. </w:t>
            </w:r>
          </w:p>
          <w:p w14:paraId="4916B8E6" w14:textId="77777777" w:rsidR="00661E3D" w:rsidRDefault="00661E3D" w:rsidP="00661E3D">
            <w:pPr>
              <w:rPr>
                <w:sz w:val="20"/>
                <w:szCs w:val="20"/>
              </w:rPr>
            </w:pPr>
          </w:p>
          <w:p w14:paraId="07C02EB8" w14:textId="4B4A58F7" w:rsidR="00661E3D" w:rsidRDefault="00ED52EC" w:rsidP="00661E3D">
            <w:pPr>
              <w:rPr>
                <w:sz w:val="20"/>
                <w:szCs w:val="20"/>
              </w:rPr>
            </w:pPr>
            <w:r>
              <w:rPr>
                <w:sz w:val="20"/>
                <w:szCs w:val="20"/>
              </w:rPr>
              <w:t xml:space="preserve">A Motion was made to pull together a group of local Public Health Administrators with Public Health Division partners with a mediator. </w:t>
            </w:r>
            <w:r w:rsidR="00194FE2">
              <w:rPr>
                <w:sz w:val="20"/>
                <w:szCs w:val="20"/>
              </w:rPr>
              <w:t xml:space="preserve">Administrators representing small, medium and large counties will be recruited.  </w:t>
            </w:r>
            <w:r w:rsidR="00FA39A4">
              <w:rPr>
                <w:sz w:val="20"/>
                <w:szCs w:val="20"/>
              </w:rPr>
              <w:t>Danna Cara, Tim</w:t>
            </w:r>
            <w:r>
              <w:rPr>
                <w:sz w:val="20"/>
                <w:szCs w:val="20"/>
              </w:rPr>
              <w:t xml:space="preserve"> </w:t>
            </w:r>
            <w:proofErr w:type="spellStart"/>
            <w:r>
              <w:rPr>
                <w:sz w:val="20"/>
                <w:szCs w:val="20"/>
              </w:rPr>
              <w:t>Noe</w:t>
            </w:r>
            <w:proofErr w:type="spellEnd"/>
            <w:r>
              <w:rPr>
                <w:sz w:val="20"/>
                <w:szCs w:val="20"/>
              </w:rPr>
              <w:t xml:space="preserve"> and</w:t>
            </w:r>
            <w:r w:rsidR="00FA39A4">
              <w:rPr>
                <w:sz w:val="20"/>
                <w:szCs w:val="20"/>
              </w:rPr>
              <w:t xml:space="preserve"> Joc</w:t>
            </w:r>
            <w:r w:rsidR="00661E3D">
              <w:rPr>
                <w:sz w:val="20"/>
                <w:szCs w:val="20"/>
              </w:rPr>
              <w:t>elyn will follow up with scheduling.</w:t>
            </w:r>
          </w:p>
          <w:p w14:paraId="208A1206" w14:textId="393FCCC3" w:rsidR="00661E3D" w:rsidRPr="00FA39A4" w:rsidRDefault="00661E3D" w:rsidP="00FA39A4">
            <w:pPr>
              <w:rPr>
                <w:sz w:val="20"/>
              </w:rPr>
            </w:pPr>
          </w:p>
        </w:tc>
      </w:tr>
      <w:tr w:rsidR="00661E3D" w:rsidRPr="003A18FD" w14:paraId="37B0559C" w14:textId="77777777" w:rsidTr="007F2B11">
        <w:trPr>
          <w:trHeight w:val="1492"/>
        </w:trPr>
        <w:tc>
          <w:tcPr>
            <w:tcW w:w="1818" w:type="dxa"/>
          </w:tcPr>
          <w:p w14:paraId="37D862AD" w14:textId="61AE30F8" w:rsidR="00661E3D" w:rsidRDefault="00661E3D" w:rsidP="00F31D80">
            <w:pPr>
              <w:rPr>
                <w:sz w:val="22"/>
                <w:szCs w:val="22"/>
              </w:rPr>
            </w:pPr>
            <w:r>
              <w:t>Committee Structure – Next steps</w:t>
            </w:r>
          </w:p>
        </w:tc>
        <w:tc>
          <w:tcPr>
            <w:tcW w:w="1341" w:type="dxa"/>
          </w:tcPr>
          <w:p w14:paraId="7299785A" w14:textId="601707B8" w:rsidR="00661E3D" w:rsidRPr="00CF08A1" w:rsidRDefault="00D2506D" w:rsidP="00661E3D">
            <w:pPr>
              <w:ind w:right="-720"/>
            </w:pPr>
            <w:r>
              <w:t>Discuss</w:t>
            </w:r>
          </w:p>
          <w:p w14:paraId="034E6051" w14:textId="77777777" w:rsidR="00661E3D" w:rsidRDefault="00661E3D" w:rsidP="00C818D7">
            <w:pPr>
              <w:rPr>
                <w:sz w:val="22"/>
                <w:szCs w:val="22"/>
              </w:rPr>
            </w:pPr>
          </w:p>
        </w:tc>
        <w:tc>
          <w:tcPr>
            <w:tcW w:w="7627" w:type="dxa"/>
          </w:tcPr>
          <w:p w14:paraId="04AB01DF" w14:textId="4EBC185B" w:rsidR="00661E3D" w:rsidRDefault="00661E3D" w:rsidP="00661E3D">
            <w:pPr>
              <w:ind w:right="-108"/>
              <w:rPr>
                <w:sz w:val="20"/>
                <w:szCs w:val="20"/>
              </w:rPr>
            </w:pPr>
            <w:r>
              <w:rPr>
                <w:sz w:val="20"/>
                <w:szCs w:val="20"/>
              </w:rPr>
              <w:t>Developed committee transition plans during retreat. Wanted to talk about some process feedback. When do we want to set a goal for when these committees will</w:t>
            </w:r>
            <w:r w:rsidR="00194FE2">
              <w:rPr>
                <w:sz w:val="20"/>
                <w:szCs w:val="20"/>
              </w:rPr>
              <w:t xml:space="preserve"> begin working?  Staff suggested a timeline with a January 1, 2018</w:t>
            </w:r>
            <w:r w:rsidR="00EB563C">
              <w:rPr>
                <w:sz w:val="20"/>
                <w:szCs w:val="20"/>
              </w:rPr>
              <w:t xml:space="preserve"> start date.  This would give us several months to transition and recruit local health officials to the new </w:t>
            </w:r>
            <w:r>
              <w:rPr>
                <w:sz w:val="20"/>
                <w:szCs w:val="20"/>
              </w:rPr>
              <w:t xml:space="preserve"> </w:t>
            </w:r>
          </w:p>
          <w:p w14:paraId="2F736E27" w14:textId="77777777" w:rsidR="00661E3D" w:rsidRDefault="00661E3D" w:rsidP="00661E3D">
            <w:pPr>
              <w:ind w:right="-108"/>
              <w:rPr>
                <w:sz w:val="20"/>
                <w:szCs w:val="20"/>
              </w:rPr>
            </w:pPr>
          </w:p>
          <w:p w14:paraId="55984195" w14:textId="77777777" w:rsidR="00661E3D" w:rsidRDefault="00661E3D" w:rsidP="00C818D7">
            <w:pPr>
              <w:rPr>
                <w:sz w:val="20"/>
                <w:szCs w:val="20"/>
              </w:rPr>
            </w:pPr>
            <w:r>
              <w:rPr>
                <w:sz w:val="20"/>
                <w:szCs w:val="20"/>
              </w:rPr>
              <w:t>Caitlin and Morgan will pull together the notes from the work sessions during retreat and bring to the next meeting</w:t>
            </w:r>
            <w:r w:rsidR="00FE7929">
              <w:rPr>
                <w:sz w:val="20"/>
                <w:szCs w:val="20"/>
              </w:rPr>
              <w:t xml:space="preserve"> to adopt a timeline and process for transition to the new committee structure</w:t>
            </w:r>
            <w:r>
              <w:rPr>
                <w:sz w:val="20"/>
                <w:szCs w:val="20"/>
              </w:rPr>
              <w:t xml:space="preserve">. </w:t>
            </w:r>
          </w:p>
          <w:p w14:paraId="4D18CB91" w14:textId="77777777" w:rsidR="00FE7929" w:rsidRDefault="00FE7929" w:rsidP="00C818D7">
            <w:pPr>
              <w:rPr>
                <w:sz w:val="20"/>
                <w:szCs w:val="20"/>
              </w:rPr>
            </w:pPr>
          </w:p>
          <w:p w14:paraId="3102D8C7" w14:textId="77777777" w:rsidR="00FE7929" w:rsidRDefault="00FE7929" w:rsidP="00C818D7">
            <w:pPr>
              <w:rPr>
                <w:sz w:val="20"/>
                <w:szCs w:val="20"/>
              </w:rPr>
            </w:pPr>
            <w:r>
              <w:rPr>
                <w:sz w:val="20"/>
                <w:szCs w:val="20"/>
              </w:rPr>
              <w:t>October meeting – approve new structure</w:t>
            </w:r>
          </w:p>
          <w:p w14:paraId="4C148FE8" w14:textId="239D2DF9" w:rsidR="00FE7929" w:rsidRDefault="00FE7929" w:rsidP="00C818D7">
            <w:pPr>
              <w:rPr>
                <w:sz w:val="20"/>
                <w:szCs w:val="20"/>
              </w:rPr>
            </w:pPr>
            <w:r>
              <w:rPr>
                <w:sz w:val="20"/>
                <w:szCs w:val="20"/>
              </w:rPr>
              <w:t>November – recruitment</w:t>
            </w:r>
          </w:p>
          <w:p w14:paraId="4E9E3F18" w14:textId="77777777" w:rsidR="00FE7929" w:rsidRDefault="00FE7929" w:rsidP="00C818D7">
            <w:pPr>
              <w:rPr>
                <w:sz w:val="20"/>
                <w:szCs w:val="20"/>
              </w:rPr>
            </w:pPr>
            <w:r>
              <w:rPr>
                <w:sz w:val="20"/>
                <w:szCs w:val="20"/>
              </w:rPr>
              <w:t>December – appoint new members</w:t>
            </w:r>
          </w:p>
          <w:p w14:paraId="70D1B241" w14:textId="05ED6DA2" w:rsidR="00FE7929" w:rsidRDefault="00FE7929" w:rsidP="00C818D7">
            <w:pPr>
              <w:rPr>
                <w:sz w:val="20"/>
              </w:rPr>
            </w:pPr>
            <w:r>
              <w:rPr>
                <w:sz w:val="20"/>
                <w:szCs w:val="20"/>
              </w:rPr>
              <w:t xml:space="preserve">January 1, 2018 start new committees. </w:t>
            </w:r>
          </w:p>
        </w:tc>
      </w:tr>
      <w:tr w:rsidR="00661E3D" w:rsidRPr="003A18FD" w14:paraId="1F2060EF" w14:textId="77777777" w:rsidTr="007F2B11">
        <w:trPr>
          <w:trHeight w:val="1492"/>
        </w:trPr>
        <w:tc>
          <w:tcPr>
            <w:tcW w:w="1818" w:type="dxa"/>
          </w:tcPr>
          <w:p w14:paraId="5D16F845" w14:textId="6698814C" w:rsidR="00661E3D" w:rsidRDefault="00661E3D" w:rsidP="00FE7929">
            <w:r w:rsidRPr="00FE7929">
              <w:t>FY 17</w:t>
            </w:r>
            <w:r w:rsidRPr="00EB7454">
              <w:rPr>
                <w:strike/>
              </w:rPr>
              <w:t xml:space="preserve"> </w:t>
            </w:r>
            <w:r>
              <w:t>Expenditure Reporting</w:t>
            </w:r>
          </w:p>
        </w:tc>
        <w:tc>
          <w:tcPr>
            <w:tcW w:w="1341" w:type="dxa"/>
          </w:tcPr>
          <w:p w14:paraId="27AFDD1F" w14:textId="77777777" w:rsidR="00D2506D" w:rsidRDefault="00D2506D" w:rsidP="00661E3D">
            <w:pPr>
              <w:ind w:right="-720"/>
            </w:pPr>
            <w:r>
              <w:t xml:space="preserve">Update </w:t>
            </w:r>
          </w:p>
          <w:p w14:paraId="6A866A7F" w14:textId="77777777" w:rsidR="00D2506D" w:rsidRDefault="00D2506D" w:rsidP="00661E3D">
            <w:pPr>
              <w:ind w:right="-720"/>
            </w:pPr>
            <w:proofErr w:type="gramStart"/>
            <w:r>
              <w:t>and</w:t>
            </w:r>
            <w:proofErr w:type="gramEnd"/>
            <w:r>
              <w:t xml:space="preserve"> </w:t>
            </w:r>
          </w:p>
          <w:p w14:paraId="553F5C29" w14:textId="41B074E9" w:rsidR="00661E3D" w:rsidRPr="00CF08A1" w:rsidRDefault="00D2506D" w:rsidP="00661E3D">
            <w:pPr>
              <w:ind w:right="-720"/>
            </w:pPr>
            <w:proofErr w:type="gramStart"/>
            <w:r>
              <w:t>discuss</w:t>
            </w:r>
            <w:proofErr w:type="gramEnd"/>
          </w:p>
        </w:tc>
        <w:tc>
          <w:tcPr>
            <w:tcW w:w="7627" w:type="dxa"/>
          </w:tcPr>
          <w:p w14:paraId="27D221AE" w14:textId="744FCD45" w:rsidR="00661E3D" w:rsidRDefault="005E156E" w:rsidP="00661E3D">
            <w:pPr>
              <w:rPr>
                <w:sz w:val="20"/>
                <w:szCs w:val="20"/>
              </w:rPr>
            </w:pPr>
            <w:r>
              <w:rPr>
                <w:sz w:val="20"/>
                <w:szCs w:val="20"/>
              </w:rPr>
              <w:t xml:space="preserve">FY 2017 </w:t>
            </w:r>
            <w:r w:rsidR="00FE7929">
              <w:rPr>
                <w:sz w:val="20"/>
                <w:szCs w:val="20"/>
              </w:rPr>
              <w:t>Expenditure Reporting</w:t>
            </w:r>
            <w:r w:rsidR="00661E3D">
              <w:rPr>
                <w:sz w:val="20"/>
                <w:szCs w:val="20"/>
              </w:rPr>
              <w:t xml:space="preserve"> </w:t>
            </w:r>
          </w:p>
          <w:p w14:paraId="4362D286" w14:textId="77777777" w:rsidR="00661E3D" w:rsidRDefault="00661E3D" w:rsidP="00661E3D">
            <w:pPr>
              <w:rPr>
                <w:sz w:val="20"/>
                <w:szCs w:val="20"/>
              </w:rPr>
            </w:pPr>
          </w:p>
          <w:p w14:paraId="41332F01" w14:textId="15832699" w:rsidR="00661E3D" w:rsidRDefault="00661E3D" w:rsidP="00661E3D">
            <w:pPr>
              <w:rPr>
                <w:sz w:val="20"/>
                <w:szCs w:val="20"/>
              </w:rPr>
            </w:pPr>
            <w:r>
              <w:rPr>
                <w:sz w:val="20"/>
                <w:szCs w:val="20"/>
              </w:rPr>
              <w:t xml:space="preserve">Expenditures only, grouped by foundational programs, preparedness, </w:t>
            </w:r>
            <w:r w:rsidR="00FE7929">
              <w:rPr>
                <w:sz w:val="20"/>
                <w:szCs w:val="20"/>
              </w:rPr>
              <w:t xml:space="preserve">and </w:t>
            </w:r>
            <w:r>
              <w:rPr>
                <w:sz w:val="20"/>
                <w:szCs w:val="20"/>
              </w:rPr>
              <w:t>administration, there will be explanations</w:t>
            </w:r>
            <w:r w:rsidR="00FE7929">
              <w:rPr>
                <w:sz w:val="20"/>
                <w:szCs w:val="20"/>
              </w:rPr>
              <w:t xml:space="preserve"> on the sheet</w:t>
            </w:r>
            <w:r>
              <w:rPr>
                <w:sz w:val="20"/>
                <w:szCs w:val="20"/>
              </w:rPr>
              <w:t>. Format of pre-populated.</w:t>
            </w:r>
          </w:p>
          <w:p w14:paraId="639F0869" w14:textId="31A0E050" w:rsidR="00661E3D" w:rsidRDefault="00661E3D" w:rsidP="00661E3D">
            <w:pPr>
              <w:rPr>
                <w:sz w:val="20"/>
                <w:szCs w:val="20"/>
              </w:rPr>
            </w:pPr>
            <w:r>
              <w:rPr>
                <w:sz w:val="20"/>
                <w:szCs w:val="20"/>
              </w:rPr>
              <w:br/>
            </w:r>
            <w:r w:rsidR="00FE7929">
              <w:rPr>
                <w:sz w:val="20"/>
                <w:szCs w:val="20"/>
              </w:rPr>
              <w:t xml:space="preserve">There were quite a few questions about the expenditure reporting.  While there was not sufficient timing to answer all the questions during the meeting there will be a description in the </w:t>
            </w:r>
            <w:proofErr w:type="spellStart"/>
            <w:r w:rsidR="00FE7929">
              <w:rPr>
                <w:sz w:val="20"/>
                <w:szCs w:val="20"/>
              </w:rPr>
              <w:t>smartsheet</w:t>
            </w:r>
            <w:proofErr w:type="spellEnd"/>
            <w:r w:rsidR="00FE7929">
              <w:rPr>
                <w:sz w:val="20"/>
                <w:szCs w:val="20"/>
              </w:rPr>
              <w:t xml:space="preserve"> tool, and Public Health Division staff will be available for questions. </w:t>
            </w:r>
          </w:p>
          <w:p w14:paraId="6712962F" w14:textId="77777777" w:rsidR="00661E3D" w:rsidRDefault="00661E3D" w:rsidP="00661E3D">
            <w:pPr>
              <w:rPr>
                <w:sz w:val="20"/>
                <w:szCs w:val="20"/>
              </w:rPr>
            </w:pPr>
          </w:p>
          <w:p w14:paraId="7ABF7CB7" w14:textId="085CBFBA" w:rsidR="00661E3D" w:rsidRDefault="00FE7929" w:rsidP="00661E3D">
            <w:pPr>
              <w:ind w:right="-108"/>
              <w:rPr>
                <w:sz w:val="20"/>
                <w:szCs w:val="20"/>
              </w:rPr>
            </w:pPr>
            <w:proofErr w:type="spellStart"/>
            <w:r>
              <w:rPr>
                <w:sz w:val="20"/>
                <w:szCs w:val="20"/>
              </w:rPr>
              <w:t>Preiew</w:t>
            </w:r>
            <w:proofErr w:type="spellEnd"/>
            <w:r>
              <w:rPr>
                <w:sz w:val="20"/>
                <w:szCs w:val="20"/>
              </w:rPr>
              <w:t xml:space="preserve"> of the worksheet </w:t>
            </w:r>
            <w:r w:rsidR="00661E3D">
              <w:rPr>
                <w:sz w:val="20"/>
                <w:szCs w:val="20"/>
              </w:rPr>
              <w:t>won’t be sent until October 24</w:t>
            </w:r>
            <w:r w:rsidR="00661E3D" w:rsidRPr="00BF0625">
              <w:rPr>
                <w:sz w:val="20"/>
                <w:szCs w:val="20"/>
                <w:vertAlign w:val="superscript"/>
              </w:rPr>
              <w:t>th</w:t>
            </w:r>
            <w:r>
              <w:rPr>
                <w:sz w:val="20"/>
                <w:szCs w:val="20"/>
              </w:rPr>
              <w:t>. S</w:t>
            </w:r>
            <w:bookmarkStart w:id="0" w:name="_GoBack"/>
            <w:bookmarkEnd w:id="0"/>
            <w:r w:rsidR="00661E3D">
              <w:rPr>
                <w:sz w:val="20"/>
                <w:szCs w:val="20"/>
              </w:rPr>
              <w:t>ending link</w:t>
            </w:r>
          </w:p>
        </w:tc>
      </w:tr>
      <w:tr w:rsidR="00D2506D" w:rsidRPr="003A18FD" w14:paraId="6BFB19B3" w14:textId="77777777" w:rsidTr="007F2B11">
        <w:trPr>
          <w:trHeight w:val="1492"/>
        </w:trPr>
        <w:tc>
          <w:tcPr>
            <w:tcW w:w="1818" w:type="dxa"/>
          </w:tcPr>
          <w:p w14:paraId="7FCDA557" w14:textId="77777777" w:rsidR="00D2506D" w:rsidRPr="00EB7454" w:rsidRDefault="00D2506D" w:rsidP="00F31D80">
            <w:pPr>
              <w:rPr>
                <w:strike/>
              </w:rPr>
            </w:pPr>
          </w:p>
        </w:tc>
        <w:tc>
          <w:tcPr>
            <w:tcW w:w="1341" w:type="dxa"/>
          </w:tcPr>
          <w:p w14:paraId="0F4CEC20" w14:textId="77777777" w:rsidR="00D2506D" w:rsidRDefault="00D2506D" w:rsidP="00661E3D">
            <w:pPr>
              <w:ind w:right="-720"/>
            </w:pPr>
          </w:p>
        </w:tc>
        <w:tc>
          <w:tcPr>
            <w:tcW w:w="7627" w:type="dxa"/>
          </w:tcPr>
          <w:p w14:paraId="150B424C" w14:textId="77777777" w:rsidR="00D2506D" w:rsidRDefault="00D2506D" w:rsidP="00661E3D">
            <w:pPr>
              <w:rPr>
                <w:sz w:val="20"/>
                <w:szCs w:val="20"/>
              </w:rPr>
            </w:pPr>
          </w:p>
        </w:tc>
      </w:tr>
    </w:tbl>
    <w:p w14:paraId="4384C86A" w14:textId="3712401A" w:rsidR="00A50EAD" w:rsidRPr="003378FC" w:rsidRDefault="00A50EAD" w:rsidP="00C818D7">
      <w:pPr>
        <w:tabs>
          <w:tab w:val="left" w:pos="3471"/>
        </w:tabs>
      </w:pPr>
    </w:p>
    <w:sectPr w:rsidR="00A50EAD" w:rsidRPr="003378FC" w:rsidSect="00DB2CBF">
      <w:headerReference w:type="default" r:id="rId11"/>
      <w:pgSz w:w="12240" w:h="15840"/>
      <w:pgMar w:top="1080" w:right="1800" w:bottom="1260" w:left="1800" w:header="720" w:footer="2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B8769" w14:textId="77777777" w:rsidR="00EB563C" w:rsidRDefault="00EB563C" w:rsidP="00FF6E4C">
      <w:r>
        <w:separator/>
      </w:r>
    </w:p>
  </w:endnote>
  <w:endnote w:type="continuationSeparator" w:id="0">
    <w:p w14:paraId="35134EAE" w14:textId="77777777" w:rsidR="00EB563C" w:rsidRDefault="00EB563C" w:rsidP="00FF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68477" w14:textId="77777777" w:rsidR="00EB563C" w:rsidRDefault="00EB563C" w:rsidP="00FF6E4C">
      <w:r>
        <w:separator/>
      </w:r>
    </w:p>
  </w:footnote>
  <w:footnote w:type="continuationSeparator" w:id="0">
    <w:p w14:paraId="355608FA" w14:textId="77777777" w:rsidR="00EB563C" w:rsidRDefault="00EB563C" w:rsidP="00FF6E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9F06B" w14:textId="7D725B64" w:rsidR="00EB563C" w:rsidRDefault="00EB563C" w:rsidP="00FF6E4C">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7DE9"/>
    <w:multiLevelType w:val="hybridMultilevel"/>
    <w:tmpl w:val="09B4B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10931"/>
    <w:multiLevelType w:val="hybridMultilevel"/>
    <w:tmpl w:val="89809970"/>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B0C1B"/>
    <w:multiLevelType w:val="hybridMultilevel"/>
    <w:tmpl w:val="5492D76C"/>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09483E"/>
    <w:multiLevelType w:val="hybridMultilevel"/>
    <w:tmpl w:val="9030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21B70"/>
    <w:multiLevelType w:val="hybridMultilevel"/>
    <w:tmpl w:val="2488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7D5D0C"/>
    <w:multiLevelType w:val="hybridMultilevel"/>
    <w:tmpl w:val="1276B44C"/>
    <w:lvl w:ilvl="0" w:tplc="700E28A2">
      <w:start w:val="1"/>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83DB8"/>
    <w:multiLevelType w:val="hybridMultilevel"/>
    <w:tmpl w:val="DC1CA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A0769B"/>
    <w:multiLevelType w:val="hybridMultilevel"/>
    <w:tmpl w:val="D84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A62AD5"/>
    <w:multiLevelType w:val="hybridMultilevel"/>
    <w:tmpl w:val="F5C05E82"/>
    <w:lvl w:ilvl="0" w:tplc="0122F6E4">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18E775D"/>
    <w:multiLevelType w:val="hybridMultilevel"/>
    <w:tmpl w:val="0860A25C"/>
    <w:lvl w:ilvl="0" w:tplc="700E28A2">
      <w:start w:val="1"/>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A6302E"/>
    <w:multiLevelType w:val="hybridMultilevel"/>
    <w:tmpl w:val="F4667918"/>
    <w:lvl w:ilvl="0" w:tplc="9F9C8D0E">
      <w:start w:val="8"/>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674C2856"/>
    <w:multiLevelType w:val="multilevel"/>
    <w:tmpl w:val="56D83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D10C04"/>
    <w:multiLevelType w:val="hybridMultilevel"/>
    <w:tmpl w:val="10EA61A0"/>
    <w:lvl w:ilvl="0" w:tplc="ADF40054">
      <w:start w:val="5"/>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nsid w:val="792674E2"/>
    <w:multiLevelType w:val="hybridMultilevel"/>
    <w:tmpl w:val="A4FA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
  </w:num>
  <w:num w:numId="4">
    <w:abstractNumId w:val="9"/>
  </w:num>
  <w:num w:numId="5">
    <w:abstractNumId w:val="13"/>
  </w:num>
  <w:num w:numId="6">
    <w:abstractNumId w:val="6"/>
  </w:num>
  <w:num w:numId="7">
    <w:abstractNumId w:val="0"/>
  </w:num>
  <w:num w:numId="8">
    <w:abstractNumId w:val="7"/>
  </w:num>
  <w:num w:numId="9">
    <w:abstractNumId w:val="12"/>
  </w:num>
  <w:num w:numId="10">
    <w:abstractNumId w:val="14"/>
  </w:num>
  <w:num w:numId="11">
    <w:abstractNumId w:val="8"/>
  </w:num>
  <w:num w:numId="12">
    <w:abstractNumId w:val="5"/>
  </w:num>
  <w:num w:numId="13">
    <w:abstractNumId w:val="10"/>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E4C"/>
    <w:rsid w:val="000053AA"/>
    <w:rsid w:val="000622C2"/>
    <w:rsid w:val="0008148E"/>
    <w:rsid w:val="00084776"/>
    <w:rsid w:val="00090836"/>
    <w:rsid w:val="000F29A9"/>
    <w:rsid w:val="000F6F66"/>
    <w:rsid w:val="000F75F3"/>
    <w:rsid w:val="00114072"/>
    <w:rsid w:val="00172BBB"/>
    <w:rsid w:val="00181DED"/>
    <w:rsid w:val="00194FE2"/>
    <w:rsid w:val="001A6C52"/>
    <w:rsid w:val="001B6991"/>
    <w:rsid w:val="001C4133"/>
    <w:rsid w:val="00220D0C"/>
    <w:rsid w:val="002275FA"/>
    <w:rsid w:val="00246B2E"/>
    <w:rsid w:val="00257F38"/>
    <w:rsid w:val="00291541"/>
    <w:rsid w:val="002A01D6"/>
    <w:rsid w:val="002D6300"/>
    <w:rsid w:val="00307569"/>
    <w:rsid w:val="00324B0F"/>
    <w:rsid w:val="00331AF9"/>
    <w:rsid w:val="00335A51"/>
    <w:rsid w:val="003378FC"/>
    <w:rsid w:val="00352731"/>
    <w:rsid w:val="00370E57"/>
    <w:rsid w:val="00374A75"/>
    <w:rsid w:val="00387745"/>
    <w:rsid w:val="003A18FD"/>
    <w:rsid w:val="003A27A2"/>
    <w:rsid w:val="003A6143"/>
    <w:rsid w:val="003C6339"/>
    <w:rsid w:val="003F044C"/>
    <w:rsid w:val="00420810"/>
    <w:rsid w:val="004220AD"/>
    <w:rsid w:val="004361FC"/>
    <w:rsid w:val="0044543E"/>
    <w:rsid w:val="0045246E"/>
    <w:rsid w:val="00481EE5"/>
    <w:rsid w:val="00482948"/>
    <w:rsid w:val="004832AE"/>
    <w:rsid w:val="004C629A"/>
    <w:rsid w:val="005160E8"/>
    <w:rsid w:val="005570F9"/>
    <w:rsid w:val="00572B35"/>
    <w:rsid w:val="005826C4"/>
    <w:rsid w:val="00585AA9"/>
    <w:rsid w:val="00590ACD"/>
    <w:rsid w:val="005923AB"/>
    <w:rsid w:val="005A3095"/>
    <w:rsid w:val="005C1BE2"/>
    <w:rsid w:val="005C4A8C"/>
    <w:rsid w:val="005D43A7"/>
    <w:rsid w:val="005E0FF8"/>
    <w:rsid w:val="005E156E"/>
    <w:rsid w:val="00605435"/>
    <w:rsid w:val="0061162C"/>
    <w:rsid w:val="00636C88"/>
    <w:rsid w:val="00653131"/>
    <w:rsid w:val="00661E3D"/>
    <w:rsid w:val="0067024A"/>
    <w:rsid w:val="00673478"/>
    <w:rsid w:val="00683F84"/>
    <w:rsid w:val="006937BA"/>
    <w:rsid w:val="006A3772"/>
    <w:rsid w:val="006B3265"/>
    <w:rsid w:val="006D5EC8"/>
    <w:rsid w:val="006D60DF"/>
    <w:rsid w:val="006E7DCC"/>
    <w:rsid w:val="00700282"/>
    <w:rsid w:val="0074590D"/>
    <w:rsid w:val="00767C07"/>
    <w:rsid w:val="007829A8"/>
    <w:rsid w:val="007D05E7"/>
    <w:rsid w:val="007F2B11"/>
    <w:rsid w:val="00816E03"/>
    <w:rsid w:val="00836C5C"/>
    <w:rsid w:val="008461C9"/>
    <w:rsid w:val="0085470E"/>
    <w:rsid w:val="008B3A6F"/>
    <w:rsid w:val="008B61BF"/>
    <w:rsid w:val="008C3F48"/>
    <w:rsid w:val="008D3CB9"/>
    <w:rsid w:val="008D5A67"/>
    <w:rsid w:val="008F31CC"/>
    <w:rsid w:val="0092231D"/>
    <w:rsid w:val="00977B34"/>
    <w:rsid w:val="00985304"/>
    <w:rsid w:val="009A41CC"/>
    <w:rsid w:val="00A03EC1"/>
    <w:rsid w:val="00A26D20"/>
    <w:rsid w:val="00A32A7C"/>
    <w:rsid w:val="00A41130"/>
    <w:rsid w:val="00A43B27"/>
    <w:rsid w:val="00A50EAD"/>
    <w:rsid w:val="00A57E35"/>
    <w:rsid w:val="00A64E11"/>
    <w:rsid w:val="00A9240F"/>
    <w:rsid w:val="00AC1230"/>
    <w:rsid w:val="00B051B7"/>
    <w:rsid w:val="00B14CA2"/>
    <w:rsid w:val="00B450D8"/>
    <w:rsid w:val="00B5131B"/>
    <w:rsid w:val="00B61A16"/>
    <w:rsid w:val="00BA3E12"/>
    <w:rsid w:val="00BC5A86"/>
    <w:rsid w:val="00BC7451"/>
    <w:rsid w:val="00BD6054"/>
    <w:rsid w:val="00BF347F"/>
    <w:rsid w:val="00C03FB4"/>
    <w:rsid w:val="00C116F2"/>
    <w:rsid w:val="00C2608E"/>
    <w:rsid w:val="00C818D7"/>
    <w:rsid w:val="00C96A00"/>
    <w:rsid w:val="00CB51B1"/>
    <w:rsid w:val="00CB73CE"/>
    <w:rsid w:val="00CB7DD4"/>
    <w:rsid w:val="00CC038F"/>
    <w:rsid w:val="00CC06C2"/>
    <w:rsid w:val="00CF08A1"/>
    <w:rsid w:val="00D03896"/>
    <w:rsid w:val="00D20479"/>
    <w:rsid w:val="00D229DC"/>
    <w:rsid w:val="00D22D8C"/>
    <w:rsid w:val="00D2506D"/>
    <w:rsid w:val="00D306AD"/>
    <w:rsid w:val="00D34152"/>
    <w:rsid w:val="00D34F7B"/>
    <w:rsid w:val="00D51F86"/>
    <w:rsid w:val="00D61236"/>
    <w:rsid w:val="00D75F0B"/>
    <w:rsid w:val="00DB2CBF"/>
    <w:rsid w:val="00DD4225"/>
    <w:rsid w:val="00DD4CA3"/>
    <w:rsid w:val="00DE2950"/>
    <w:rsid w:val="00E04544"/>
    <w:rsid w:val="00E45EB5"/>
    <w:rsid w:val="00E72987"/>
    <w:rsid w:val="00E76149"/>
    <w:rsid w:val="00E90D56"/>
    <w:rsid w:val="00EB1301"/>
    <w:rsid w:val="00EB563C"/>
    <w:rsid w:val="00ED52EC"/>
    <w:rsid w:val="00EF56B4"/>
    <w:rsid w:val="00F14B7F"/>
    <w:rsid w:val="00F15DA5"/>
    <w:rsid w:val="00F21252"/>
    <w:rsid w:val="00F31D80"/>
    <w:rsid w:val="00F70289"/>
    <w:rsid w:val="00F90053"/>
    <w:rsid w:val="00F9178A"/>
    <w:rsid w:val="00F976EA"/>
    <w:rsid w:val="00FA30E9"/>
    <w:rsid w:val="00FA39A4"/>
    <w:rsid w:val="00FB4AE2"/>
    <w:rsid w:val="00FE6B59"/>
    <w:rsid w:val="00FE7929"/>
    <w:rsid w:val="00FF3382"/>
    <w:rsid w:val="00FF6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2CB9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61517">
      <w:bodyDiv w:val="1"/>
      <w:marLeft w:val="0"/>
      <w:marRight w:val="0"/>
      <w:marTop w:val="0"/>
      <w:marBottom w:val="0"/>
      <w:divBdr>
        <w:top w:val="none" w:sz="0" w:space="0" w:color="auto"/>
        <w:left w:val="none" w:sz="0" w:space="0" w:color="auto"/>
        <w:bottom w:val="none" w:sz="0" w:space="0" w:color="auto"/>
        <w:right w:val="none" w:sz="0" w:space="0" w:color="auto"/>
      </w:divBdr>
    </w:div>
    <w:div w:id="584845202">
      <w:bodyDiv w:val="1"/>
      <w:marLeft w:val="0"/>
      <w:marRight w:val="0"/>
      <w:marTop w:val="0"/>
      <w:marBottom w:val="0"/>
      <w:divBdr>
        <w:top w:val="none" w:sz="0" w:space="0" w:color="auto"/>
        <w:left w:val="none" w:sz="0" w:space="0" w:color="auto"/>
        <w:bottom w:val="none" w:sz="0" w:space="0" w:color="auto"/>
        <w:right w:val="none" w:sz="0" w:space="0" w:color="auto"/>
      </w:divBdr>
      <w:divsChild>
        <w:div w:id="173157322">
          <w:marLeft w:val="0"/>
          <w:marRight w:val="0"/>
          <w:marTop w:val="0"/>
          <w:marBottom w:val="0"/>
          <w:divBdr>
            <w:top w:val="none" w:sz="0" w:space="0" w:color="auto"/>
            <w:left w:val="none" w:sz="0" w:space="0" w:color="auto"/>
            <w:bottom w:val="none" w:sz="0" w:space="0" w:color="auto"/>
            <w:right w:val="none" w:sz="0" w:space="0" w:color="auto"/>
          </w:divBdr>
        </w:div>
        <w:div w:id="882445201">
          <w:marLeft w:val="0"/>
          <w:marRight w:val="0"/>
          <w:marTop w:val="0"/>
          <w:marBottom w:val="0"/>
          <w:divBdr>
            <w:top w:val="none" w:sz="0" w:space="0" w:color="auto"/>
            <w:left w:val="none" w:sz="0" w:space="0" w:color="auto"/>
            <w:bottom w:val="none" w:sz="0" w:space="0" w:color="auto"/>
            <w:right w:val="none" w:sz="0" w:space="0" w:color="auto"/>
          </w:divBdr>
        </w:div>
        <w:div w:id="1439057420">
          <w:marLeft w:val="0"/>
          <w:marRight w:val="0"/>
          <w:marTop w:val="0"/>
          <w:marBottom w:val="0"/>
          <w:divBdr>
            <w:top w:val="none" w:sz="0" w:space="0" w:color="auto"/>
            <w:left w:val="none" w:sz="0" w:space="0" w:color="auto"/>
            <w:bottom w:val="none" w:sz="0" w:space="0" w:color="auto"/>
            <w:right w:val="none" w:sz="0" w:space="0" w:color="auto"/>
          </w:divBdr>
        </w:div>
        <w:div w:id="1557355547">
          <w:marLeft w:val="0"/>
          <w:marRight w:val="0"/>
          <w:marTop w:val="0"/>
          <w:marBottom w:val="0"/>
          <w:divBdr>
            <w:top w:val="none" w:sz="0" w:space="0" w:color="auto"/>
            <w:left w:val="none" w:sz="0" w:space="0" w:color="auto"/>
            <w:bottom w:val="none" w:sz="0" w:space="0" w:color="auto"/>
            <w:right w:val="none" w:sz="0" w:space="0" w:color="auto"/>
          </w:divBdr>
        </w:div>
        <w:div w:id="622808395">
          <w:marLeft w:val="0"/>
          <w:marRight w:val="0"/>
          <w:marTop w:val="0"/>
          <w:marBottom w:val="0"/>
          <w:divBdr>
            <w:top w:val="none" w:sz="0" w:space="0" w:color="auto"/>
            <w:left w:val="none" w:sz="0" w:space="0" w:color="auto"/>
            <w:bottom w:val="none" w:sz="0" w:space="0" w:color="auto"/>
            <w:right w:val="none" w:sz="0" w:space="0" w:color="auto"/>
          </w:divBdr>
        </w:div>
        <w:div w:id="1573586021">
          <w:marLeft w:val="0"/>
          <w:marRight w:val="0"/>
          <w:marTop w:val="0"/>
          <w:marBottom w:val="0"/>
          <w:divBdr>
            <w:top w:val="none" w:sz="0" w:space="0" w:color="auto"/>
            <w:left w:val="none" w:sz="0" w:space="0" w:color="auto"/>
            <w:bottom w:val="none" w:sz="0" w:space="0" w:color="auto"/>
            <w:right w:val="none" w:sz="0" w:space="0" w:color="auto"/>
          </w:divBdr>
        </w:div>
        <w:div w:id="536888574">
          <w:marLeft w:val="0"/>
          <w:marRight w:val="0"/>
          <w:marTop w:val="0"/>
          <w:marBottom w:val="0"/>
          <w:divBdr>
            <w:top w:val="none" w:sz="0" w:space="0" w:color="auto"/>
            <w:left w:val="none" w:sz="0" w:space="0" w:color="auto"/>
            <w:bottom w:val="none" w:sz="0" w:space="0" w:color="auto"/>
            <w:right w:val="none" w:sz="0" w:space="0" w:color="auto"/>
          </w:divBdr>
        </w:div>
        <w:div w:id="1686974636">
          <w:marLeft w:val="0"/>
          <w:marRight w:val="0"/>
          <w:marTop w:val="0"/>
          <w:marBottom w:val="0"/>
          <w:divBdr>
            <w:top w:val="none" w:sz="0" w:space="0" w:color="auto"/>
            <w:left w:val="none" w:sz="0" w:space="0" w:color="auto"/>
            <w:bottom w:val="none" w:sz="0" w:space="0" w:color="auto"/>
            <w:right w:val="none" w:sz="0" w:space="0" w:color="auto"/>
          </w:divBdr>
        </w:div>
        <w:div w:id="1383018331">
          <w:marLeft w:val="0"/>
          <w:marRight w:val="0"/>
          <w:marTop w:val="0"/>
          <w:marBottom w:val="0"/>
          <w:divBdr>
            <w:top w:val="none" w:sz="0" w:space="0" w:color="auto"/>
            <w:left w:val="none" w:sz="0" w:space="0" w:color="auto"/>
            <w:bottom w:val="none" w:sz="0" w:space="0" w:color="auto"/>
            <w:right w:val="none" w:sz="0" w:space="0" w:color="auto"/>
          </w:divBdr>
        </w:div>
        <w:div w:id="1254703336">
          <w:marLeft w:val="0"/>
          <w:marRight w:val="0"/>
          <w:marTop w:val="0"/>
          <w:marBottom w:val="0"/>
          <w:divBdr>
            <w:top w:val="none" w:sz="0" w:space="0" w:color="auto"/>
            <w:left w:val="none" w:sz="0" w:space="0" w:color="auto"/>
            <w:bottom w:val="none" w:sz="0" w:space="0" w:color="auto"/>
            <w:right w:val="none" w:sz="0" w:space="0" w:color="auto"/>
          </w:divBdr>
        </w:div>
      </w:divsChild>
    </w:div>
    <w:div w:id="761756165">
      <w:bodyDiv w:val="1"/>
      <w:marLeft w:val="0"/>
      <w:marRight w:val="0"/>
      <w:marTop w:val="0"/>
      <w:marBottom w:val="0"/>
      <w:divBdr>
        <w:top w:val="none" w:sz="0" w:space="0" w:color="auto"/>
        <w:left w:val="none" w:sz="0" w:space="0" w:color="auto"/>
        <w:bottom w:val="none" w:sz="0" w:space="0" w:color="auto"/>
        <w:right w:val="none" w:sz="0" w:space="0" w:color="auto"/>
      </w:divBdr>
    </w:div>
    <w:div w:id="1301686655">
      <w:bodyDiv w:val="1"/>
      <w:marLeft w:val="0"/>
      <w:marRight w:val="0"/>
      <w:marTop w:val="0"/>
      <w:marBottom w:val="0"/>
      <w:divBdr>
        <w:top w:val="none" w:sz="0" w:space="0" w:color="auto"/>
        <w:left w:val="none" w:sz="0" w:space="0" w:color="auto"/>
        <w:bottom w:val="none" w:sz="0" w:space="0" w:color="auto"/>
        <w:right w:val="none" w:sz="0" w:space="0" w:color="auto"/>
      </w:divBdr>
    </w:div>
    <w:div w:id="17591383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20334-996F-C648-B1C9-A401D2DC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939</Words>
  <Characters>5354</Characters>
  <Application>Microsoft Macintosh Word</Application>
  <DocSecurity>0</DocSecurity>
  <Lines>44</Lines>
  <Paragraphs>12</Paragraphs>
  <ScaleCrop>false</ScaleCrop>
  <Company>Coalition of Local Health Officials</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2</cp:revision>
  <cp:lastPrinted>2016-08-09T23:02:00Z</cp:lastPrinted>
  <dcterms:created xsi:type="dcterms:W3CDTF">2017-10-09T23:23:00Z</dcterms:created>
  <dcterms:modified xsi:type="dcterms:W3CDTF">2017-10-09T23:23:00Z</dcterms:modified>
</cp:coreProperties>
</file>