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CEDC0" w14:textId="356137F3" w:rsidR="00F31D80" w:rsidRPr="00A57E35" w:rsidRDefault="003378FC" w:rsidP="003378FC">
      <w:pPr>
        <w:pStyle w:val="Title"/>
        <w:ind w:firstLine="720"/>
        <w:jc w:val="both"/>
        <w:rPr>
          <w:rFonts w:ascii="Times" w:hAnsi="Times"/>
        </w:rPr>
      </w:pPr>
      <w:r>
        <w:rPr>
          <w:noProof/>
        </w:rPr>
        <mc:AlternateContent>
          <mc:Choice Requires="wpg">
            <w:drawing>
              <wp:anchor distT="0" distB="0" distL="114300" distR="114300" simplePos="0" relativeHeight="251659264" behindDoc="0" locked="0" layoutInCell="1" allowOverlap="1" wp14:anchorId="02B1372D" wp14:editId="727BAE67">
                <wp:simplePos x="0" y="0"/>
                <wp:positionH relativeFrom="column">
                  <wp:posOffset>-914400</wp:posOffset>
                </wp:positionH>
                <wp:positionV relativeFrom="paragraph">
                  <wp:posOffset>-457200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9"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FE8C9" w14:textId="77777777" w:rsidR="00012D22" w:rsidRPr="00726A3E" w:rsidRDefault="00012D22"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71.95pt;margin-top:-35.95pt;width:2in;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v7KyRFgQAANkJAAAOAAAAZHJzL2Uyb0RvYy54bWykVttu4zYQfS/QfxD0&#10;rugSSbaEOIvEjoMF0jbobj+AliiLWIlUSTp2tui/95CUrynQbGogCq/DOWfODHnzadd33guVigk+&#10;8+OryPcor0TN+Hrm//F1GUx9T2nCa9IJTmf+K1X+p9uff7rZDiVNRCu6mkoPRrgqt8PMb7UeyjBU&#10;VUt7oq7EQDkmGyF7otGV67CWZAvrfRcmUZSHWyHrQYqKKoXRhZv0b639pqGV/q1pFNVeN/Phm7Zf&#10;ab8r8w1vb0i5lmRoWTW6QT7gRU8Yx6EHUwuiibeR7I2pnlVSKNHoq0r0oWgaVlGLAWji6ALNoxSb&#10;wWJZl9v1cKAJ1F7w9GGz1a8vz9Jj9cxPfY+THiGyp3qpoWY7rEuseJTDl+FZjgNr1zNod43szX/g&#10;8HaW1NcDqXSnvQqD8TSZTiNwX2Eujq7zIssc7VWL2Jh9QZJnWQKl2BVJPjkseBiNJHGSJkmyNxLn&#10;+aQwRsK9D6Fx9eDZwKoSfyNhaL0h7L+FhV16I6k/GunfZaMn8ttmCBDbgWi2Yh3Tr1aniKJxir88&#10;s+pZus6RewBz3GPWHOolBpzZYNa4HcQgehLVN+VxMW8JX9M7NUDgYNVScb48NN2z41YdG5as60zA&#10;THsEhmS4ENO/cOOEuhDVpqdcu8yTtANGwVXLBuV7sqT9ikJI8nMdI1DIeg01DZJx7eKtZPU7/AUy&#10;Uiotqa5a02zg0ziOcB4mLICjzwaOggi91fYXUcMw2WhhU+5ChPF1Mskh5gstHeQYx9N8cu2UBF1O&#10;LoQEmqXSj1T0nmkADly255CXJ2Wch5P7JcZ9LgypFlTHve3ML7IksxtOZnqmUeY61s98nImfY6Sl&#10;pH7gtd2sCetcGwd0HOfsIY9NdE1Gok6qfezQexO9HyoFX1oyUDhrzB7lCHacHL8a1u7FzulxXGRK&#10;gad3GDbKs8EcLnQppdgabPDOafNkqzvsXaE8rQtFdJ1mtiiRch/Ls6qQxFnheD0UhWOgPhLLs+CO&#10;MbFnQwZmznhhS/xfRVQ8TB+maZAm+UOQRnUd3C3naZAv40m2uF7M54v4b8NUnJYtq2vKjWTG/MPg&#10;+2I4XnzuojhcOEp0rN6ntZLr1byT3gvBdbe0P1sakFbHZeG5G1bQwHIBCQU3uk+KYJlPJ0HapFlQ&#10;TKJpEMXFfZFHaZEulueQnhin/x/SWQKdOA0Ep9hsDtkkQmDOlv1gph0iYtw/UgGroMQGGjeLspXH&#10;CVfvVjvkqxlcifoVqSAFqgTuN7yC0GiF/O57W7woZr76c0PMDdJ95siEIk5T8wSxnTSbJOjI05nV&#10;6QzhFUzNfO17rjnX7tmyQUVdtzjJ5R4XdyiEDbOV6egVoJgOSoVt2feDhTe+dcwD5bRvVx1fZLf/&#10;AA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EXLDLnhAAAACwEAAA8AAABkcnMvZG93&#10;bnJldi54bWxMj8FOwkAQhu8mvsNmTLzBdqUq1G4JIeqJkAgmxNvQDm1Dd7fpLm15e4eT3v7JfPnn&#10;m3Q5mkb01PnaWQ1qGoEgm7uitqWG7/3HZA7CB7QFNs6Shit5WGb3dykmhRvsF/W7UAousT5BDVUI&#10;bSKlzysy6KeuJcu7k+sMBh67UhYdDlxuGvkURS/SYG35QoUtrSvKz7uL0fA54LCaqfd+cz6trz/7&#10;5+1ho0jrx4dx9QYi0Bj+YLjpszpk7HR0F1t40WiYqHi2YJbTq+JwQ+JYgThqWKgYZJbK/z9kvwAA&#10;AP//AwBQSwMEFAAGAAgAAAAhAJ4T6KNUDQAA1BkAABQAAABkcnMvbWVkaWEvaW1hZ2UxLmVtZuxZ&#10;e3hURZY/CZHwCoSE7r638+h0dx6dR5OGdMBgv4QqBCGQoIU8HBQW8DGQgSgBRDCIizoqaGRB15Vx&#10;GVeZmqigECEoRAUhEoTIQ0Vh8DmCL5Bh5H33V7fTTJbP2flm9o/d+Xbq48ev6lTdU49z6px7O3FE&#10;NA2YdQVRBdAlmciRRKTZiOZZic4NIvJcSZTFywcTxdE+nWgIxncA2pemFKJvNKKdEHaPa99D1KR3&#10;oI6OBIICKgKyAKgrjIvEUTrqyUBcctNHIBoTH4UaeyNQAaixrkgCdUNdlUw8F6tnt6s7I4mX5L5I&#10;vKk3wXyiNpwQoUt9SrcHUHNfw4YOwpSX9t81mSgN+1fFXENnrAFQayiIEGVDjm2i1IZNuqzeKUId&#10;NIzvBph7ajsLY9BsLvtp3PinuzgtdnKznaBx0Tybi9YSbnwI3lbKjefBE8F753CR34/Li3dzcVuA&#10;y8NzOQ0uN1k8Wc6NXXMxbkRUPmAkN55C+wS4P/jrCm647+R0cyU3xt/BxcJKLj+eycVItKfPMPvl&#10;d1VcbKzgYudULlehf/EETucruBw1msuDFRxW5vQE2nWDuMio5OJJf5SvK44+B1bjxCeeqPxkDpfd&#10;MK4wJ6on120yuZwmC1tWtP1serTfp0f5ohaVL+tuslh7jim9ctwhptZPQ15j5rpywVMhn7CJycwR&#10;nDY0MnUOomcjo17lWOurTC4Zfonlqg1M9BiGtYHvGcrlveuZfA57mvwSE4mMy3c3MmEEuDi0lsmO&#10;ZZweXcNkSn8uXn+RiVv8nL56mYnOJTjTBkZn1V6h//oiLvtiXuyZ0jcxsSiPiw/RfgN7/uB1RgGc&#10;wYLNTDZkc2rZwuSobC6+3cKo3s1FZRMTQReX1U1MkpPL+DcZbXVweuBNJmsyo3wkg0vXNkbTwMe2&#10;MVmRzuWIt5koTePyZXBnOxen3mbyGRsXj4GHWLgob2bEUjmNeYdRYzIXXox7MAn7eoeJM125LGhh&#10;ZO3CxfQWJvt24vIHcKgjpzWQD0jAvpuZeOw0Exd2Men6kYn83cwYeYqJR3YzGf8HnMkeJr49weiJ&#10;PVjnUQB8+AgTGa2Mbv0AulqZ+Nn7jDzvMRqy/xLLju9h3HazLZc3MrkK47wvMLEQvF+aekj7LaMN&#10;e5lIQnvlQSam1DORA52uekZjPmO0uh42/YLRjBeYfPGrKK86xkwb9fwG9nwJZ/w9k+/BdjGu/oGJ&#10;8jXMGH/SZJF0ismXMe/YM+Zzam9yBNre04x24HnrGaZsL8rPMeULMZYXzzOas44ZHxnwv1eZuJq4&#10;CML33iZOviZGDWiP3c5Eaxx8ZSeTD8Tj/r7LqLoDp49xli8mcHWGYmFHLr7AWXkSuZi1l8kJnaFn&#10;H5N+2AptqurGxRU4txt7wFdbmZzWAz6MM1a8BzZYCTn00DfJXDbuYnQkxWQ5opc5r8izcFnVzGRt&#10;Ly7/FT4w2Wr6hDgKPrqD0R9sXA78E4v8DFMutkRZLndy0/bfuaP6W3Lh82pej+krVFGAuAW9p/Oi&#10;vvRNftS3bvJycfVORr/sw+US+NLHuDPKB7uXcvke1pNZyqkIvoVYRjsw/wHIsQ5xoh/uGM6tjWlz&#10;GZfPQT60jIt/3sHk8gFcPL2VyQUhTgx34Dvc0eZt8OkwJ20rE5URxKS3cAevNu9MjFWcops3MPoS&#10;jLsoWocjloG3jOTKjjIwFOfdyChhDBcvbGTkGwu7bGCy0zjzblP2eC5TcMePTTBjhrF0EuIR2qOn&#10;mjHFKLkN8bgBd3cal1+ux7qqzJhidEBc3baeGY/cgfN6hcnes2CvBmZ8Ad74KjPjPGJGjMVDiOOn&#10;EQseQ3xHTDAWzTfb8sYF5r4Mfg+nbm/D78Dq3BJro+dpqzXPXfpqTbtTGdq40zQK7TnwizYWHsjh&#10;L+p5ZUfRusD0J/H+/Kj/qXns7zMzr3z7ATOWzuOi7BCTy7COrz5nRuE86PuSyYF3IUZ+zYwH7+Zy&#10;5Umm8ousw935HOt+/QwzDLTvOsPkYuS1gWeZKAHjzojdNVzMPc+MV2Zx4/cXmAjP4nIScTFzFid7&#10;nJmX5JI4LoYhL+3EnZkP3pLAZfdqTv4ruHBUc9kxkRvF1YitnXBGkNd34cZE8J2IZxEw7ow8AE5I&#10;Mp+XMgn5ogY6uiOPYR0HwMdmc/oBd+cmrDepJ+4qzn0dWJ3/tSncXL8r1ZSLZvApjPP2MvOxulsq&#10;Lys2fge99YizaKu7pfKyrLIhHmO8RTOZFtij8yKXyevxXEuUxVzk+7a8Tx3+X5dFvSJUm4x3JfU+&#10;ZuCfE9wJmASodzn1mqTerRSIakMmXVZX72l5gHr/anutQg3aUHKAmJ7UdvWrUFfzCCBdTd5WjLai&#10;FO0OdstdEbrZsztIuSeCJ4tOBWd4vwre4C0JPegNhfXimlBFSU1oSkl1aAV4V8mU0LmS4aEyf2Jw&#10;tH9/4CZ/TWCU3x4o8zde5fWvLbvF/0z/oP/x0lL/xT7Z/s98g/053sH+vYVeoNTfv2Cwf17+QP/Q&#10;/KB/hyfovwZIAPLygv5huUF/CPi1O+if5Sj1y7TR/vttQf8im+a/3ba4RNimlFxtG1RywuoykWp7&#10;s2+8bULfl6yevl9bqM+VtlDxAGukd7L1Le8Bi+Ydb32j6JD1QuFZa69CbutfMMn2u/xxtl/kb7SV&#10;579rK8o/bUvNP2876umsLfEkaWFPWPs+b6T2b8DsvF9rY/Ne01Lzdmgtufu1hbmHtN/ntGqVOR59&#10;d/ZQ3Zu9VZvoHqdfcN2n3+d6WO/qelpf4lymJzl9ek/HZv2zzM/11ZnH9Xsy4+yBzJ52b0aS3Z7u&#10;sndNy7Ufsw+yP28ibD+rDbJX2krsz1qK7WMtSfaJlln2iGVU2kOWDmmLLLelP25Zk15v6ZVRb7ku&#10;44BlYcZJy9EM3apQntnJejvwTOZ6S4HjgGV15mpLguNHi9ORbL3VMcDESscj1rOOi9YeWVNtvqwE&#10;rSjrmHZH1jz937Pe1z/KatQLnMf1Xzmvsu9wTrePdi22d8uebre7f2Xf73bZD7p7Aqf1L93H9bLs&#10;Br0BSMmZpw/JKdIdOaP0FTiJjTnp+rmcRBND89L1KmCyZ7N+1tOgr82/oOcWPK3XFXD9fP59+tyC&#10;cfrowlv0iUWP6qXeofpAb5k+2Jut3+C16Xd6E/VN3j9qClW9U/XK3j30Z3vXaSuLn9cGFG/QPile&#10;qKX6ZmqzfbAM8Jmvi+20b6OtpOQ3tu9KHrGO6FtuM0r9tmv7pdkW9jtr3d7vE+vG/vG2VVdetC4r&#10;O2EdNmCr1Riwydp41UvWcOBV66eB+dZrg3usc4J/tO4OcpvCxFCG5g511m4KZ2jLwzO1PeEm7VTY&#10;psdHyvQukXG6LTJPT4s8rOdFXjCRGjmunwpf0F8J97TfGZ5uXx7+1B4Kp6d9GnoubXL4qfTm0K70&#10;paE5Gc5wdeaU0NrMK0P9HAtCvR1Hgtc4dgZXOl4OLnH8PLjJMSJoyxof5FmJwUlZrYG1WYcDvZ33&#10;BoY5FweanL8MlLoeD/zGtSLwkWtpwO5eFwi7Dwduc/9L8F73keA695ngObc1NDBbhH6ePTH0WPaC&#10;0HbUT2QHQl1yTgRTTDQEbwevyCkJHcwpDCXkFoZW5h4JhnL3BfsCGbnq7gcQE1SMUEFHxZb238J2&#10;fAu2jyexOINhte3iVQTttlIbidVUvHIBKi6pcKO+J9OBZEB9TyZEon1omt+avcBqHeqbVH1fq/Ee&#10;QD0T+079WUeiVcA7GFjZBR0oatzlz46CbAZim1qD+4IRDZKoq/KaEqoSIddomkLVNJkmUhXwt5Wb&#10;Mc/XeHQNMAZYFtOP+p6qOjNW73sjhTwL62gGWMnM8mYKPfBQnYmogOjAgjp6AmMevrvZt/rDOF/F&#10;4et9I5vifFnbU+gZQLsV/dPraFp1nblnojp6DXrUeR3HczXXtfg+qI3qV7LzkKnxqzFG8ZyZ0fW0&#10;YC3Jb6WY0x7ss96n+nZAZwB7ad835u46Sr83qk/ZItYfj/oY6JxcY5rsUv5RciugbK4BagZVh1qz&#10;repwhfjrwQpPwZYbgHrYsy/sqcYJcX/khmn3R1Tfk+p3BMiGA+1LW/oyKiAcBKRg4ti8alzMT7vD&#10;T9W61bxqbYMB1U4HYj61GHPfkki0GfNbuqIDRY37h0/9ffrUVthzPuy5HPb88TKfUn0T2mT/nU+p&#10;vr1wvL/Vp67DHLWYqw/iZ7FyPpR/+NTfb5x6FPZcAXuegi17Au3jlOqbg7jxl+LUEPjA1P9BnFqH&#10;eZciHv62B3J1u99o//fi1Fu+Ymxa7TtWVIxlyDkqJ/1U7iua0ezbhxyn4rfKfSovqrFKhxqv6i2Q&#10;/bncF5snyil0I8arovJUFurfT2v2qboqCWhrQDfg/2LuOw17/gfsORX2VH9zUGcQy32qb3Gbnw03&#10;d/On/9rnvpEQ/+Kv8Ck/xnuAP/N7fi26APO3fbPuhABu/1++U9V6JgM1V0T/ZtI5mUjH+mPtZbgP&#10;7yD+5pPEqFj56b8XxHovZxcE2P5PvjfGR6J96Cbk97b3oOh7pboL/wkAAP//AwBQSwECLQAUAAYA&#10;CAAAACEAIX7lLQkBAAAVAgAAEwAAAAAAAAAAAAAAAAAAAAAAW0NvbnRlbnRfVHlwZXNdLnhtbFBL&#10;AQItABQABgAIAAAAIQAjsmrh1wAAAJQBAAALAAAAAAAAAAAAAAAAADoBAABfcmVscy8ucmVsc1BL&#10;AQItABQABgAIAAAAIQDv7KyRFgQAANkJAAAOAAAAAAAAAAAAAAAAADoCAABkcnMvZTJvRG9jLnht&#10;bFBLAQItABQABgAIAAAAIQCOIglCugAAACEBAAAZAAAAAAAAAAAAAAAAAHwGAABkcnMvX3JlbHMv&#10;ZTJvRG9jLnhtbC5yZWxzUEsBAi0AFAAGAAgAAAAhAEXLDLnhAAAACwEAAA8AAAAAAAAAAAAAAAAA&#10;bQcAAGRycy9kb3ducmV2LnhtbFBLAQItABQABgAIAAAAIQCeE+ijVA0AANQZAAAUAAAAAAAAAAAA&#10;AAAAAHsIAABkcnMvbWVkaWEvaW1hZ2UxLmVtZlBLBQYAAAAABgAGAHwBAAAB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10"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528FE8C9" w14:textId="77777777" w:rsidR="008461C9" w:rsidRPr="00726A3E" w:rsidRDefault="008461C9" w:rsidP="003378FC">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00F31D80" w:rsidRPr="00A57E35">
        <w:rPr>
          <w:rFonts w:ascii="Times" w:hAnsi="Times"/>
        </w:rPr>
        <w:t>CONFERENCE OF LOCAL HEALTH OFFICIALS</w:t>
      </w:r>
    </w:p>
    <w:p w14:paraId="272990CE" w14:textId="38622F3E" w:rsidR="00F31D80" w:rsidRPr="00A57E35" w:rsidRDefault="00EB1301" w:rsidP="00F31D80">
      <w:pPr>
        <w:ind w:firstLine="720"/>
        <w:rPr>
          <w:rFonts w:ascii="Times" w:eastAsia="Times New Roman" w:hAnsi="Times" w:cs="Times New Roman"/>
          <w:b/>
        </w:rPr>
      </w:pPr>
      <w:r>
        <w:rPr>
          <w:rFonts w:ascii="Times" w:eastAsia="Times New Roman" w:hAnsi="Times" w:cs="Times New Roman"/>
          <w:b/>
        </w:rPr>
        <w:t>June 15</w:t>
      </w:r>
      <w:r w:rsidR="00F31D80" w:rsidRPr="00A57E35">
        <w:rPr>
          <w:rFonts w:ascii="Times" w:eastAsia="Times New Roman" w:hAnsi="Times" w:cs="Times New Roman"/>
          <w:b/>
        </w:rPr>
        <w:t>, 2017</w:t>
      </w:r>
    </w:p>
    <w:p w14:paraId="00A4EF34" w14:textId="3FD6F355" w:rsidR="00F31D80" w:rsidRPr="00A57E35" w:rsidRDefault="00F31D80" w:rsidP="003378FC">
      <w:pPr>
        <w:rPr>
          <w:rFonts w:ascii="Times" w:eastAsia="Times New Roman" w:hAnsi="Times" w:cs="Times New Roman"/>
          <w:b/>
        </w:rPr>
      </w:pPr>
      <w:r w:rsidRPr="00A57E35">
        <w:rPr>
          <w:rFonts w:ascii="Times" w:hAnsi="Times"/>
          <w:b/>
        </w:rPr>
        <w:t>Meeting Minutes</w:t>
      </w:r>
    </w:p>
    <w:p w14:paraId="5279527D" w14:textId="77777777" w:rsidR="00F31D80" w:rsidRDefault="00F31D80" w:rsidP="00F31D80">
      <w:pPr>
        <w:pStyle w:val="BodyText2"/>
        <w:jc w:val="left"/>
      </w:pPr>
    </w:p>
    <w:p w14:paraId="7F8A0535" w14:textId="77777777" w:rsidR="00944C05" w:rsidRPr="00944C05" w:rsidRDefault="00F31D80" w:rsidP="00944C05">
      <w:pPr>
        <w:rPr>
          <w:rFonts w:eastAsia="Times New Roman" w:cs="Times New Roman"/>
          <w:sz w:val="22"/>
          <w:szCs w:val="22"/>
        </w:rPr>
      </w:pPr>
      <w:r w:rsidRPr="00944C05">
        <w:rPr>
          <w:b/>
          <w:sz w:val="22"/>
          <w:szCs w:val="22"/>
        </w:rPr>
        <w:t>In attendance</w:t>
      </w:r>
      <w:r w:rsidRPr="00944C05">
        <w:rPr>
          <w:sz w:val="22"/>
          <w:szCs w:val="22"/>
        </w:rPr>
        <w:t xml:space="preserve">: </w:t>
      </w:r>
      <w:r w:rsidR="00944C05" w:rsidRPr="00944C05">
        <w:rPr>
          <w:rFonts w:eastAsia="Times New Roman" w:cs="Times New Roman"/>
          <w:sz w:val="22"/>
          <w:szCs w:val="22"/>
        </w:rPr>
        <w:t xml:space="preserve">Charlie Fautin, Chair, Benton County, Carrie Brogoitti, Vice-Chair, Center for Human Development, Union County, Tricia Mortell, Secretary/ Treasurer, Washington County; Dawn Emerick, Clackamas County; Sherrie Ford, Columbia County; Sherrill Lorenzo, Coos County; Muriel DeLaVergne-Brown, Crook County; Hillary Saraceno, Deschutes County; Ellen Larsen, Hood River; Jackson Baures, Jackson County; Diane Hoover, Josephine County; Mike Baker, Jefferson County; Jocelyn Warren, Lane County; Angie Gerrard, Malheur County; Pam Hutchinson, Marion County; Sherre Smith, Morrow County; Laurel Moses, Multnomah County; Katrina Rothenberger, Polk County;  Lindsey Manfrin, Yamhill County; </w:t>
      </w:r>
    </w:p>
    <w:p w14:paraId="6CF6C36E" w14:textId="77777777" w:rsidR="00944C05" w:rsidRDefault="00944C05" w:rsidP="00944C05">
      <w:pPr>
        <w:rPr>
          <w:rFonts w:eastAsia="Times New Roman" w:cs="Times New Roman"/>
          <w:sz w:val="22"/>
          <w:szCs w:val="22"/>
        </w:rPr>
      </w:pPr>
    </w:p>
    <w:p w14:paraId="5C10CD7F" w14:textId="0BA85882" w:rsidR="004146A3" w:rsidRDefault="004146A3" w:rsidP="00944C05">
      <w:pPr>
        <w:rPr>
          <w:rFonts w:eastAsia="Times New Roman" w:cs="Times New Roman"/>
          <w:sz w:val="22"/>
          <w:szCs w:val="22"/>
        </w:rPr>
      </w:pPr>
      <w:r>
        <w:rPr>
          <w:rFonts w:eastAsia="Times New Roman" w:cs="Times New Roman"/>
          <w:sz w:val="22"/>
          <w:szCs w:val="22"/>
        </w:rPr>
        <w:t>CLEHS Rep: Frank Brown</w:t>
      </w:r>
      <w:bookmarkStart w:id="0" w:name="_GoBack"/>
      <w:bookmarkEnd w:id="0"/>
    </w:p>
    <w:p w14:paraId="313BBEBB" w14:textId="77777777" w:rsidR="004146A3" w:rsidRPr="00944C05" w:rsidRDefault="004146A3" w:rsidP="00944C05">
      <w:pPr>
        <w:rPr>
          <w:rFonts w:eastAsia="Times New Roman" w:cs="Times New Roman"/>
          <w:sz w:val="22"/>
          <w:szCs w:val="22"/>
        </w:rPr>
      </w:pPr>
    </w:p>
    <w:p w14:paraId="51B4327E" w14:textId="77777777" w:rsidR="00944C05" w:rsidRPr="00944C05" w:rsidRDefault="00944C05" w:rsidP="00944C05">
      <w:pPr>
        <w:rPr>
          <w:rFonts w:eastAsia="Times New Roman" w:cs="Times New Roman"/>
          <w:sz w:val="22"/>
          <w:szCs w:val="22"/>
        </w:rPr>
      </w:pPr>
      <w:r w:rsidRPr="00944C05">
        <w:rPr>
          <w:rFonts w:eastAsia="Times New Roman" w:cs="Times New Roman"/>
          <w:sz w:val="22"/>
          <w:szCs w:val="22"/>
        </w:rPr>
        <w:t>PHD Guests: Danna Drum, Tim Noe, Jere High, Cara Biddlecom, Sara Beadrault, Jere High</w:t>
      </w:r>
    </w:p>
    <w:p w14:paraId="0901FC65" w14:textId="77777777" w:rsidR="00944C05" w:rsidRPr="00944C05" w:rsidRDefault="00944C05" w:rsidP="00944C05">
      <w:pPr>
        <w:rPr>
          <w:rFonts w:eastAsia="Times New Roman" w:cs="Times New Roman"/>
          <w:sz w:val="22"/>
          <w:szCs w:val="22"/>
        </w:rPr>
      </w:pPr>
    </w:p>
    <w:p w14:paraId="2C3C6265" w14:textId="77777777" w:rsidR="00944C05" w:rsidRPr="00944C05" w:rsidRDefault="00944C05" w:rsidP="00944C05">
      <w:pPr>
        <w:rPr>
          <w:rFonts w:eastAsia="Times New Roman" w:cs="Times New Roman"/>
          <w:sz w:val="22"/>
          <w:szCs w:val="22"/>
        </w:rPr>
      </w:pPr>
      <w:r w:rsidRPr="00944C05">
        <w:rPr>
          <w:rFonts w:eastAsia="Times New Roman" w:cs="Times New Roman"/>
          <w:sz w:val="22"/>
          <w:szCs w:val="22"/>
        </w:rPr>
        <w:t>Staff: Morgan Cowling</w:t>
      </w:r>
    </w:p>
    <w:p w14:paraId="23977CE8" w14:textId="77777777" w:rsidR="00944C05" w:rsidRPr="00944C05" w:rsidRDefault="00944C05" w:rsidP="00944C05">
      <w:pPr>
        <w:rPr>
          <w:rFonts w:eastAsia="Times New Roman" w:cs="Times New Roman"/>
          <w:sz w:val="22"/>
          <w:szCs w:val="22"/>
        </w:rPr>
      </w:pPr>
    </w:p>
    <w:p w14:paraId="3EBD7677" w14:textId="5762AF0C" w:rsidR="00F31D80" w:rsidRPr="00944C05" w:rsidRDefault="00944C05" w:rsidP="00944C05">
      <w:pPr>
        <w:rPr>
          <w:rFonts w:eastAsia="Times New Roman" w:cs="Times New Roman"/>
          <w:sz w:val="22"/>
          <w:szCs w:val="22"/>
        </w:rPr>
      </w:pPr>
      <w:r w:rsidRPr="00944C05">
        <w:rPr>
          <w:rFonts w:eastAsia="Times New Roman" w:cs="Times New Roman"/>
          <w:sz w:val="22"/>
          <w:szCs w:val="22"/>
        </w:rPr>
        <w:t>Guests: Stacy Michaelson</w:t>
      </w:r>
    </w:p>
    <w:tbl>
      <w:tblPr>
        <w:tblStyle w:val="TableGrid"/>
        <w:tblpPr w:leftFromText="180" w:rightFromText="180" w:vertAnchor="text" w:horzAnchor="page" w:tblpX="649" w:tblpY="726"/>
        <w:tblW w:w="10786"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818"/>
        <w:gridCol w:w="1341"/>
        <w:gridCol w:w="7627"/>
      </w:tblGrid>
      <w:tr w:rsidR="00F31D80" w:rsidRPr="002C5BF0" w14:paraId="572337CA" w14:textId="77777777" w:rsidTr="007F2B11">
        <w:trPr>
          <w:trHeight w:val="323"/>
        </w:trPr>
        <w:tc>
          <w:tcPr>
            <w:tcW w:w="1818" w:type="dxa"/>
          </w:tcPr>
          <w:p w14:paraId="0B6ABFB0" w14:textId="77777777" w:rsidR="00F31D80" w:rsidRPr="00847988" w:rsidRDefault="00F31D80" w:rsidP="00F31D80">
            <w:pPr>
              <w:jc w:val="center"/>
              <w:rPr>
                <w:b/>
                <w:sz w:val="22"/>
                <w:szCs w:val="22"/>
              </w:rPr>
            </w:pPr>
            <w:r w:rsidRPr="00847988">
              <w:rPr>
                <w:b/>
                <w:sz w:val="22"/>
                <w:szCs w:val="22"/>
              </w:rPr>
              <w:t>Item</w:t>
            </w:r>
          </w:p>
        </w:tc>
        <w:tc>
          <w:tcPr>
            <w:tcW w:w="1341" w:type="dxa"/>
          </w:tcPr>
          <w:p w14:paraId="19487C1C" w14:textId="77777777" w:rsidR="00F31D80" w:rsidRPr="00847988" w:rsidRDefault="00F31D80" w:rsidP="00F31D80">
            <w:pPr>
              <w:jc w:val="center"/>
              <w:rPr>
                <w:b/>
                <w:sz w:val="22"/>
                <w:szCs w:val="22"/>
              </w:rPr>
            </w:pPr>
            <w:r w:rsidRPr="00847988">
              <w:rPr>
                <w:b/>
                <w:sz w:val="22"/>
                <w:szCs w:val="22"/>
              </w:rPr>
              <w:t>How</w:t>
            </w:r>
          </w:p>
        </w:tc>
        <w:tc>
          <w:tcPr>
            <w:tcW w:w="7627" w:type="dxa"/>
          </w:tcPr>
          <w:p w14:paraId="0CCE085B" w14:textId="77777777" w:rsidR="00F31D80" w:rsidRPr="00847988" w:rsidRDefault="00F31D80" w:rsidP="00F31D80">
            <w:pPr>
              <w:jc w:val="center"/>
              <w:rPr>
                <w:b/>
                <w:sz w:val="22"/>
                <w:szCs w:val="22"/>
              </w:rPr>
            </w:pPr>
            <w:r w:rsidRPr="00847988">
              <w:rPr>
                <w:b/>
                <w:sz w:val="22"/>
                <w:szCs w:val="22"/>
              </w:rPr>
              <w:t>Notes</w:t>
            </w:r>
          </w:p>
        </w:tc>
      </w:tr>
      <w:tr w:rsidR="00F31D80" w:rsidRPr="002C5BF0" w14:paraId="0B5AA436" w14:textId="77777777" w:rsidTr="007F2B11">
        <w:trPr>
          <w:trHeight w:val="311"/>
        </w:trPr>
        <w:tc>
          <w:tcPr>
            <w:tcW w:w="1818" w:type="dxa"/>
          </w:tcPr>
          <w:p w14:paraId="7D202B14" w14:textId="77777777" w:rsidR="00F31D80" w:rsidRPr="00847988" w:rsidRDefault="00F31D80" w:rsidP="00F31D80">
            <w:pPr>
              <w:rPr>
                <w:sz w:val="22"/>
                <w:szCs w:val="22"/>
              </w:rPr>
            </w:pPr>
            <w:r w:rsidRPr="00847988">
              <w:rPr>
                <w:sz w:val="22"/>
                <w:szCs w:val="22"/>
              </w:rPr>
              <w:t>Convene &amp; Introduce</w:t>
            </w:r>
          </w:p>
        </w:tc>
        <w:tc>
          <w:tcPr>
            <w:tcW w:w="1341" w:type="dxa"/>
          </w:tcPr>
          <w:p w14:paraId="56219148" w14:textId="77777777" w:rsidR="00F31D80" w:rsidRPr="00847988" w:rsidRDefault="00F31D80" w:rsidP="00F31D80">
            <w:pPr>
              <w:rPr>
                <w:sz w:val="22"/>
                <w:szCs w:val="22"/>
              </w:rPr>
            </w:pPr>
          </w:p>
        </w:tc>
        <w:tc>
          <w:tcPr>
            <w:tcW w:w="7627" w:type="dxa"/>
          </w:tcPr>
          <w:p w14:paraId="60CF4A1A" w14:textId="77777777" w:rsidR="00F31D80" w:rsidRPr="00847988" w:rsidRDefault="00F31D80" w:rsidP="00F31D80">
            <w:pPr>
              <w:rPr>
                <w:sz w:val="22"/>
                <w:szCs w:val="22"/>
              </w:rPr>
            </w:pPr>
          </w:p>
        </w:tc>
      </w:tr>
      <w:tr w:rsidR="00F31D80" w:rsidRPr="002C5BF0" w14:paraId="045729B1" w14:textId="77777777" w:rsidTr="007F2B11">
        <w:trPr>
          <w:trHeight w:val="311"/>
        </w:trPr>
        <w:tc>
          <w:tcPr>
            <w:tcW w:w="1818" w:type="dxa"/>
          </w:tcPr>
          <w:p w14:paraId="2F5A5A26" w14:textId="77777777" w:rsidR="00F31D80" w:rsidRPr="00847988" w:rsidRDefault="00F31D80" w:rsidP="00F31D80">
            <w:pPr>
              <w:ind w:left="-360" w:firstLine="360"/>
              <w:rPr>
                <w:sz w:val="22"/>
                <w:szCs w:val="22"/>
              </w:rPr>
            </w:pPr>
            <w:r w:rsidRPr="00847988">
              <w:rPr>
                <w:sz w:val="22"/>
                <w:szCs w:val="22"/>
              </w:rPr>
              <w:t>Agenda</w:t>
            </w:r>
          </w:p>
        </w:tc>
        <w:tc>
          <w:tcPr>
            <w:tcW w:w="1341" w:type="dxa"/>
          </w:tcPr>
          <w:p w14:paraId="384135ED" w14:textId="77777777" w:rsidR="00F31D80" w:rsidRPr="00847988" w:rsidRDefault="00F31D80" w:rsidP="00F31D80">
            <w:pPr>
              <w:rPr>
                <w:sz w:val="22"/>
                <w:szCs w:val="22"/>
              </w:rPr>
            </w:pPr>
            <w:r w:rsidRPr="00847988">
              <w:rPr>
                <w:sz w:val="22"/>
                <w:szCs w:val="22"/>
              </w:rPr>
              <w:t>Review</w:t>
            </w:r>
          </w:p>
        </w:tc>
        <w:tc>
          <w:tcPr>
            <w:tcW w:w="7627" w:type="dxa"/>
          </w:tcPr>
          <w:p w14:paraId="38BEA1EF" w14:textId="6B22C77C" w:rsidR="00D22D8C" w:rsidRPr="00847988" w:rsidRDefault="00D22D8C" w:rsidP="00F31D80">
            <w:pPr>
              <w:rPr>
                <w:sz w:val="22"/>
                <w:szCs w:val="22"/>
              </w:rPr>
            </w:pPr>
          </w:p>
        </w:tc>
      </w:tr>
      <w:tr w:rsidR="00F31D80" w:rsidRPr="002C5BF0" w14:paraId="77124C04" w14:textId="77777777" w:rsidTr="007F2B11">
        <w:trPr>
          <w:trHeight w:val="622"/>
        </w:trPr>
        <w:tc>
          <w:tcPr>
            <w:tcW w:w="1818" w:type="dxa"/>
          </w:tcPr>
          <w:p w14:paraId="1EE712F1" w14:textId="363EDF88" w:rsidR="00F31D80" w:rsidRPr="00847988" w:rsidRDefault="00F31D80" w:rsidP="00F31D80">
            <w:pPr>
              <w:rPr>
                <w:sz w:val="22"/>
                <w:szCs w:val="22"/>
              </w:rPr>
            </w:pPr>
            <w:r w:rsidRPr="00847988">
              <w:rPr>
                <w:sz w:val="22"/>
                <w:szCs w:val="22"/>
              </w:rPr>
              <w:t>Appointments</w:t>
            </w:r>
          </w:p>
          <w:p w14:paraId="21CE5E67" w14:textId="77777777" w:rsidR="00F31D80" w:rsidRPr="00847988" w:rsidRDefault="00F31D80" w:rsidP="00F31D80">
            <w:pPr>
              <w:rPr>
                <w:sz w:val="22"/>
                <w:szCs w:val="22"/>
              </w:rPr>
            </w:pPr>
          </w:p>
        </w:tc>
        <w:tc>
          <w:tcPr>
            <w:tcW w:w="1341" w:type="dxa"/>
          </w:tcPr>
          <w:p w14:paraId="05084766" w14:textId="77777777" w:rsidR="00F31D80" w:rsidRPr="00847988" w:rsidRDefault="00F31D80" w:rsidP="00F31D80">
            <w:pPr>
              <w:rPr>
                <w:sz w:val="22"/>
                <w:szCs w:val="22"/>
              </w:rPr>
            </w:pPr>
            <w:r w:rsidRPr="00847988">
              <w:rPr>
                <w:sz w:val="22"/>
                <w:szCs w:val="22"/>
              </w:rPr>
              <w:t>Appoint</w:t>
            </w:r>
          </w:p>
        </w:tc>
        <w:tc>
          <w:tcPr>
            <w:tcW w:w="7627" w:type="dxa"/>
          </w:tcPr>
          <w:p w14:paraId="258193DD" w14:textId="0E86F99D" w:rsidR="00D22D8C" w:rsidRPr="00847988" w:rsidRDefault="00D22D8C" w:rsidP="00B939A8">
            <w:pPr>
              <w:rPr>
                <w:sz w:val="22"/>
                <w:szCs w:val="22"/>
              </w:rPr>
            </w:pPr>
          </w:p>
        </w:tc>
      </w:tr>
      <w:tr w:rsidR="00B939A8" w:rsidRPr="002C5BF0" w14:paraId="70909A97" w14:textId="77777777" w:rsidTr="007F2B11">
        <w:trPr>
          <w:trHeight w:val="622"/>
        </w:trPr>
        <w:tc>
          <w:tcPr>
            <w:tcW w:w="1818" w:type="dxa"/>
          </w:tcPr>
          <w:p w14:paraId="11CA1B7C" w14:textId="0518F8F1" w:rsidR="00B939A8" w:rsidRPr="00847988" w:rsidRDefault="00B939A8" w:rsidP="00F31D80">
            <w:pPr>
              <w:rPr>
                <w:sz w:val="22"/>
                <w:szCs w:val="22"/>
              </w:rPr>
            </w:pPr>
            <w:r w:rsidRPr="00847988">
              <w:rPr>
                <w:sz w:val="22"/>
                <w:szCs w:val="22"/>
              </w:rPr>
              <w:t>Nominating Committee</w:t>
            </w:r>
          </w:p>
        </w:tc>
        <w:tc>
          <w:tcPr>
            <w:tcW w:w="1341" w:type="dxa"/>
          </w:tcPr>
          <w:p w14:paraId="118D284F" w14:textId="77777777" w:rsidR="00B939A8" w:rsidRPr="00847988" w:rsidRDefault="00B939A8" w:rsidP="00F31D80">
            <w:pPr>
              <w:rPr>
                <w:sz w:val="22"/>
                <w:szCs w:val="22"/>
              </w:rPr>
            </w:pPr>
          </w:p>
        </w:tc>
        <w:tc>
          <w:tcPr>
            <w:tcW w:w="7627" w:type="dxa"/>
          </w:tcPr>
          <w:p w14:paraId="497ABFB2"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Charlie solicited volunteers – Muriel volunteered.  Charlie will follow-up with an email asking for volunteers</w:t>
            </w:r>
          </w:p>
          <w:p w14:paraId="6F502461" w14:textId="77777777" w:rsidR="00B939A8" w:rsidRPr="00847988" w:rsidRDefault="00B939A8" w:rsidP="00B939A8">
            <w:pPr>
              <w:rPr>
                <w:rFonts w:eastAsia="Times New Roman" w:cs="Times New Roman"/>
                <w:sz w:val="22"/>
                <w:szCs w:val="22"/>
              </w:rPr>
            </w:pPr>
          </w:p>
        </w:tc>
      </w:tr>
      <w:tr w:rsidR="00B939A8" w:rsidRPr="002C5BF0" w14:paraId="45274A26" w14:textId="77777777" w:rsidTr="007F2B11">
        <w:trPr>
          <w:trHeight w:val="622"/>
        </w:trPr>
        <w:tc>
          <w:tcPr>
            <w:tcW w:w="1818" w:type="dxa"/>
          </w:tcPr>
          <w:p w14:paraId="2DAB2607" w14:textId="0F5460E9" w:rsidR="00B939A8" w:rsidRPr="00847988" w:rsidRDefault="00B939A8" w:rsidP="00F31D80">
            <w:pPr>
              <w:rPr>
                <w:sz w:val="22"/>
                <w:szCs w:val="22"/>
              </w:rPr>
            </w:pPr>
            <w:r w:rsidRPr="00847988">
              <w:rPr>
                <w:sz w:val="22"/>
                <w:szCs w:val="22"/>
              </w:rPr>
              <w:t>Drinking Water Committee Appt</w:t>
            </w:r>
          </w:p>
        </w:tc>
        <w:tc>
          <w:tcPr>
            <w:tcW w:w="1341" w:type="dxa"/>
          </w:tcPr>
          <w:p w14:paraId="19DEB429" w14:textId="77777777" w:rsidR="00B939A8" w:rsidRPr="00847988" w:rsidRDefault="00B939A8" w:rsidP="00F31D80">
            <w:pPr>
              <w:rPr>
                <w:sz w:val="22"/>
                <w:szCs w:val="22"/>
              </w:rPr>
            </w:pPr>
          </w:p>
        </w:tc>
        <w:tc>
          <w:tcPr>
            <w:tcW w:w="7627" w:type="dxa"/>
          </w:tcPr>
          <w:p w14:paraId="006A2304"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Annette Pampush from Tilamook was the recommendation from CLEHS.  No Discussion. </w:t>
            </w:r>
            <w:r w:rsidRPr="00847988">
              <w:rPr>
                <w:rFonts w:eastAsia="Times New Roman" w:cs="Times New Roman"/>
                <w:b/>
                <w:sz w:val="22"/>
                <w:szCs w:val="22"/>
              </w:rPr>
              <w:t>All in Favor</w:t>
            </w:r>
          </w:p>
          <w:p w14:paraId="0FB245AA" w14:textId="77777777" w:rsidR="00B939A8" w:rsidRPr="00847988" w:rsidRDefault="00B939A8" w:rsidP="00B939A8">
            <w:pPr>
              <w:rPr>
                <w:rFonts w:eastAsia="Times New Roman" w:cs="Times New Roman"/>
                <w:sz w:val="22"/>
                <w:szCs w:val="22"/>
              </w:rPr>
            </w:pPr>
          </w:p>
        </w:tc>
      </w:tr>
      <w:tr w:rsidR="00F31D80" w:rsidRPr="002C5BF0" w14:paraId="02A9BAA0" w14:textId="77777777" w:rsidTr="007F2B11">
        <w:trPr>
          <w:trHeight w:val="311"/>
        </w:trPr>
        <w:tc>
          <w:tcPr>
            <w:tcW w:w="1818" w:type="dxa"/>
          </w:tcPr>
          <w:p w14:paraId="13FB2147" w14:textId="4A273523" w:rsidR="00F31D80" w:rsidRPr="00847988" w:rsidRDefault="00F31D80" w:rsidP="00F31D80">
            <w:pPr>
              <w:rPr>
                <w:sz w:val="22"/>
                <w:szCs w:val="22"/>
              </w:rPr>
            </w:pPr>
            <w:r w:rsidRPr="00847988">
              <w:rPr>
                <w:sz w:val="22"/>
                <w:szCs w:val="22"/>
              </w:rPr>
              <w:t>Minutes</w:t>
            </w:r>
          </w:p>
        </w:tc>
        <w:tc>
          <w:tcPr>
            <w:tcW w:w="1341" w:type="dxa"/>
          </w:tcPr>
          <w:p w14:paraId="243862F5" w14:textId="77777777" w:rsidR="00F31D80" w:rsidRPr="00847988" w:rsidRDefault="00F31D80" w:rsidP="00F31D80">
            <w:pPr>
              <w:rPr>
                <w:b/>
                <w:color w:val="FF0000"/>
                <w:sz w:val="22"/>
                <w:szCs w:val="22"/>
              </w:rPr>
            </w:pPr>
            <w:r w:rsidRPr="00847988">
              <w:rPr>
                <w:b/>
                <w:color w:val="FF0000"/>
                <w:sz w:val="22"/>
                <w:szCs w:val="22"/>
              </w:rPr>
              <w:t>APPROVE</w:t>
            </w:r>
          </w:p>
        </w:tc>
        <w:tc>
          <w:tcPr>
            <w:tcW w:w="7627" w:type="dxa"/>
          </w:tcPr>
          <w:p w14:paraId="22391364" w14:textId="1E4316D0" w:rsidR="00F31D80" w:rsidRPr="00847988" w:rsidRDefault="008D3CB9" w:rsidP="008D3CB9">
            <w:pPr>
              <w:tabs>
                <w:tab w:val="left" w:pos="853"/>
              </w:tabs>
              <w:rPr>
                <w:b/>
                <w:i/>
                <w:sz w:val="22"/>
                <w:szCs w:val="22"/>
              </w:rPr>
            </w:pPr>
            <w:r w:rsidRPr="00847988">
              <w:rPr>
                <w:b/>
                <w:i/>
                <w:sz w:val="22"/>
                <w:szCs w:val="22"/>
              </w:rPr>
              <w:t>Frank Brown</w:t>
            </w:r>
            <w:r w:rsidR="00F31D80" w:rsidRPr="00847988">
              <w:rPr>
                <w:b/>
                <w:i/>
                <w:sz w:val="22"/>
                <w:szCs w:val="22"/>
              </w:rPr>
              <w:t xml:space="preserve"> moves to approve the </w:t>
            </w:r>
            <w:r w:rsidRPr="00847988">
              <w:rPr>
                <w:b/>
                <w:i/>
                <w:sz w:val="22"/>
                <w:szCs w:val="22"/>
              </w:rPr>
              <w:t>April</w:t>
            </w:r>
            <w:r w:rsidR="00114072" w:rsidRPr="00847988">
              <w:rPr>
                <w:b/>
                <w:i/>
                <w:sz w:val="22"/>
                <w:szCs w:val="22"/>
              </w:rPr>
              <w:t xml:space="preserve"> </w:t>
            </w:r>
            <w:r w:rsidR="00F31D80" w:rsidRPr="00847988">
              <w:rPr>
                <w:b/>
                <w:i/>
                <w:sz w:val="22"/>
                <w:szCs w:val="22"/>
              </w:rPr>
              <w:t xml:space="preserve">Minutes, </w:t>
            </w:r>
            <w:r w:rsidRPr="00847988">
              <w:rPr>
                <w:b/>
                <w:i/>
                <w:sz w:val="22"/>
                <w:szCs w:val="22"/>
              </w:rPr>
              <w:t xml:space="preserve">Jocelyn Warren </w:t>
            </w:r>
            <w:r w:rsidR="00F31D80" w:rsidRPr="00847988">
              <w:rPr>
                <w:b/>
                <w:i/>
                <w:sz w:val="22"/>
                <w:szCs w:val="22"/>
              </w:rPr>
              <w:t>seconds the motion. All voted in favor- motion passed.</w:t>
            </w:r>
          </w:p>
        </w:tc>
      </w:tr>
      <w:tr w:rsidR="00F31D80" w:rsidRPr="002C5BF0" w14:paraId="1A81C36E" w14:textId="77777777" w:rsidTr="007F2B11">
        <w:trPr>
          <w:trHeight w:val="311"/>
        </w:trPr>
        <w:tc>
          <w:tcPr>
            <w:tcW w:w="1818" w:type="dxa"/>
          </w:tcPr>
          <w:p w14:paraId="46B251BD" w14:textId="77777777" w:rsidR="002C5BF0" w:rsidRPr="00847988" w:rsidRDefault="002C5BF0" w:rsidP="002C5BF0">
            <w:pPr>
              <w:rPr>
                <w:rFonts w:eastAsia="Times New Roman"/>
                <w:sz w:val="22"/>
                <w:szCs w:val="22"/>
              </w:rPr>
            </w:pPr>
            <w:r w:rsidRPr="00847988">
              <w:rPr>
                <w:rFonts w:eastAsia="Times New Roman"/>
                <w:sz w:val="22"/>
                <w:szCs w:val="22"/>
              </w:rPr>
              <w:t>CLHO Healthy Communities -HPCDP integration</w:t>
            </w:r>
          </w:p>
          <w:p w14:paraId="446930B1" w14:textId="328C2D4B" w:rsidR="001C4133" w:rsidRPr="00847988" w:rsidRDefault="001C4133" w:rsidP="00F31D80">
            <w:pPr>
              <w:rPr>
                <w:sz w:val="22"/>
                <w:szCs w:val="22"/>
              </w:rPr>
            </w:pPr>
          </w:p>
        </w:tc>
        <w:tc>
          <w:tcPr>
            <w:tcW w:w="1341" w:type="dxa"/>
          </w:tcPr>
          <w:p w14:paraId="127DC25C" w14:textId="77777777" w:rsidR="00F31D80" w:rsidRPr="00847988" w:rsidRDefault="00F31D80" w:rsidP="00F31D80">
            <w:pPr>
              <w:rPr>
                <w:sz w:val="22"/>
                <w:szCs w:val="22"/>
              </w:rPr>
            </w:pPr>
            <w:r w:rsidRPr="00847988">
              <w:rPr>
                <w:sz w:val="22"/>
                <w:szCs w:val="22"/>
              </w:rPr>
              <w:t>Update</w:t>
            </w:r>
          </w:p>
        </w:tc>
        <w:tc>
          <w:tcPr>
            <w:tcW w:w="7627" w:type="dxa"/>
          </w:tcPr>
          <w:p w14:paraId="39A0E0F5"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Luci Longoria was here to present and make sure that Local Public Health Administrators are getting the information they need.  She presented a timeline, and said HPCDP is facilitating the listening sessions presented by the Cerragio Group.  HPCDP is also engaging with the existing advisory systems in place.  Working to ensure that resources are continuing to flow to the existing on the ground programs.  Supporting the lift-off of drug prevention activities -  youth marijuana prevention campaigns, Center for Health Promotion in injury-and violence prevention opioid prevention helping </w:t>
            </w:r>
            <w:r w:rsidRPr="00847988">
              <w:rPr>
                <w:rFonts w:eastAsia="Times New Roman" w:cs="Times New Roman"/>
                <w:sz w:val="22"/>
                <w:szCs w:val="22"/>
              </w:rPr>
              <w:lastRenderedPageBreak/>
              <w:t xml:space="preserve">communication and coordinate.  </w:t>
            </w:r>
          </w:p>
          <w:p w14:paraId="6BE2F88F" w14:textId="77777777" w:rsidR="00B939A8" w:rsidRPr="00847988" w:rsidRDefault="00B939A8" w:rsidP="00B939A8">
            <w:pPr>
              <w:rPr>
                <w:rFonts w:eastAsia="Times New Roman" w:cs="Times New Roman"/>
                <w:sz w:val="22"/>
                <w:szCs w:val="22"/>
              </w:rPr>
            </w:pPr>
          </w:p>
          <w:p w14:paraId="7D6672D1"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Moving forward with engagement activities including the listening sessions, surveys, key informant interviews and alcohol and drug commission will be ready in a couple of weeks and get it out to gather feedback on the report by the end of the Summer.  May help figure out how to structure community programs, identify best-practices and communications and coordination with health systems. </w:t>
            </w:r>
          </w:p>
          <w:p w14:paraId="5E4FB947" w14:textId="77777777" w:rsidR="00B939A8" w:rsidRPr="00847988" w:rsidRDefault="00B939A8" w:rsidP="00B939A8">
            <w:pPr>
              <w:rPr>
                <w:rFonts w:eastAsia="Times New Roman" w:cs="Times New Roman"/>
                <w:sz w:val="22"/>
                <w:szCs w:val="22"/>
              </w:rPr>
            </w:pPr>
          </w:p>
          <w:p w14:paraId="3383D4A7"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Recent guidance – kept things the same except for moving things from a Services Element into a contract scope of work.  The thinking is that this will turn into a Program Element.  Because the Scope of Work was so trimmed down there was additional guidance that was provided.  Additional strategies were provided as examples and the Program was very interested in learning from the plans that are submitted.   5 webinars about the guidance that has been provide and there is some specific questions they have folks ready to provide information. </w:t>
            </w:r>
          </w:p>
          <w:p w14:paraId="6381C7CF" w14:textId="77777777" w:rsidR="00B939A8" w:rsidRPr="00847988" w:rsidRDefault="00B939A8" w:rsidP="00B939A8">
            <w:pPr>
              <w:rPr>
                <w:rFonts w:eastAsia="Times New Roman" w:cs="Times New Roman"/>
                <w:sz w:val="22"/>
                <w:szCs w:val="22"/>
              </w:rPr>
            </w:pPr>
          </w:p>
          <w:p w14:paraId="04DB326F"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Status of the contract – stand alone or other? Health Systems Division is working on the contract and looking to that system to continue the status quo. </w:t>
            </w:r>
          </w:p>
          <w:p w14:paraId="682A84D1" w14:textId="77777777" w:rsidR="00B939A8" w:rsidRPr="00847988" w:rsidRDefault="00B939A8" w:rsidP="00B939A8">
            <w:pPr>
              <w:rPr>
                <w:rFonts w:eastAsia="Times New Roman" w:cs="Times New Roman"/>
                <w:sz w:val="22"/>
                <w:szCs w:val="22"/>
              </w:rPr>
            </w:pPr>
          </w:p>
          <w:p w14:paraId="4236447B"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Timeline – looking to build an advisory group moving forward how will this engage with CLHO? CLHO will be engaged and are looking to figure out what the best advisory group will be. Don’t have all of the answers at this point in time. </w:t>
            </w:r>
          </w:p>
          <w:p w14:paraId="61C9E030" w14:textId="77777777" w:rsidR="00B939A8" w:rsidRPr="00847988" w:rsidRDefault="00B939A8" w:rsidP="00B939A8">
            <w:pPr>
              <w:rPr>
                <w:rFonts w:eastAsia="Times New Roman" w:cs="Times New Roman"/>
                <w:sz w:val="22"/>
                <w:szCs w:val="22"/>
              </w:rPr>
            </w:pPr>
          </w:p>
          <w:p w14:paraId="36EDF482" w14:textId="77777777" w:rsidR="00B939A8" w:rsidRPr="00847988" w:rsidRDefault="00B939A8" w:rsidP="00B939A8">
            <w:pPr>
              <w:rPr>
                <w:rFonts w:eastAsia="Times New Roman" w:cs="Times New Roman"/>
                <w:sz w:val="22"/>
                <w:szCs w:val="22"/>
              </w:rPr>
            </w:pPr>
            <w:r w:rsidRPr="00847988">
              <w:rPr>
                <w:rFonts w:eastAsia="Times New Roman" w:cs="Times New Roman"/>
                <w:sz w:val="22"/>
                <w:szCs w:val="22"/>
              </w:rPr>
              <w:t xml:space="preserve">Follow-up:  Luci will send out the list of contracted entity to Morgan and Morgan will send out if folks want to have local conversations about who the contract should go to those conversations can happen locally. </w:t>
            </w:r>
          </w:p>
          <w:p w14:paraId="7CF9E98D" w14:textId="56787987" w:rsidR="00F31D80" w:rsidRPr="00847988" w:rsidRDefault="00F31D80" w:rsidP="00EB1301">
            <w:pPr>
              <w:rPr>
                <w:sz w:val="22"/>
                <w:szCs w:val="22"/>
              </w:rPr>
            </w:pPr>
          </w:p>
        </w:tc>
      </w:tr>
      <w:tr w:rsidR="00F31D80" w:rsidRPr="002C5BF0" w14:paraId="5381EACE" w14:textId="77777777" w:rsidTr="007F2B11">
        <w:trPr>
          <w:trHeight w:val="1262"/>
        </w:trPr>
        <w:tc>
          <w:tcPr>
            <w:tcW w:w="1818" w:type="dxa"/>
          </w:tcPr>
          <w:p w14:paraId="085D975B" w14:textId="77777777" w:rsidR="002C5BF0" w:rsidRPr="00847988" w:rsidRDefault="002C5BF0" w:rsidP="002C5BF0">
            <w:pPr>
              <w:rPr>
                <w:sz w:val="22"/>
                <w:szCs w:val="22"/>
              </w:rPr>
            </w:pPr>
            <w:r w:rsidRPr="00847988">
              <w:rPr>
                <w:sz w:val="22"/>
                <w:szCs w:val="22"/>
              </w:rPr>
              <w:lastRenderedPageBreak/>
              <w:t>Healthy Structure:</w:t>
            </w:r>
          </w:p>
          <w:p w14:paraId="09844625" w14:textId="77777777" w:rsidR="002C5BF0" w:rsidRPr="00847988" w:rsidRDefault="002C5BF0" w:rsidP="002C5BF0">
            <w:pPr>
              <w:rPr>
                <w:sz w:val="22"/>
                <w:szCs w:val="22"/>
              </w:rPr>
            </w:pPr>
            <w:r w:rsidRPr="00847988">
              <w:rPr>
                <w:sz w:val="22"/>
                <w:szCs w:val="22"/>
              </w:rPr>
              <w:t>Conference Committee</w:t>
            </w:r>
          </w:p>
          <w:p w14:paraId="7F331A84" w14:textId="3283A2E1" w:rsidR="00F31D80" w:rsidRPr="00847988" w:rsidRDefault="002C5BF0" w:rsidP="002C5BF0">
            <w:pPr>
              <w:rPr>
                <w:sz w:val="22"/>
                <w:szCs w:val="22"/>
              </w:rPr>
            </w:pPr>
            <w:r w:rsidRPr="00847988">
              <w:rPr>
                <w:sz w:val="22"/>
                <w:szCs w:val="22"/>
              </w:rPr>
              <w:t>Structure</w:t>
            </w:r>
          </w:p>
        </w:tc>
        <w:tc>
          <w:tcPr>
            <w:tcW w:w="1341" w:type="dxa"/>
          </w:tcPr>
          <w:p w14:paraId="668D25B3" w14:textId="77777777" w:rsidR="00F31D80" w:rsidRPr="00847988" w:rsidRDefault="00F31D80" w:rsidP="00F31D80">
            <w:pPr>
              <w:rPr>
                <w:sz w:val="22"/>
                <w:szCs w:val="22"/>
              </w:rPr>
            </w:pPr>
            <w:r w:rsidRPr="00847988">
              <w:rPr>
                <w:sz w:val="22"/>
                <w:szCs w:val="22"/>
              </w:rPr>
              <w:t>Update</w:t>
            </w:r>
          </w:p>
        </w:tc>
        <w:tc>
          <w:tcPr>
            <w:tcW w:w="7627" w:type="dxa"/>
          </w:tcPr>
          <w:p w14:paraId="0BC6304B"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 xml:space="preserve">Mike Baker with Jefferson County is a new co-chair of the Healthy Structure Committee.   Goals were to align and reorganize the Conference Committee structure to better align with Public Health Modernization.  Elimination of a couple of standing committees and the configuration of new ad-hoc committees, when needed. Most exciting is the new committee “Systems and Innovation” to help connect the new work.  The timeline outlines the process for transition to a new committee structure starting in October. </w:t>
            </w:r>
          </w:p>
          <w:p w14:paraId="4D376F2F" w14:textId="77777777" w:rsidR="00F3208D" w:rsidRPr="00847988" w:rsidRDefault="00F3208D" w:rsidP="00F3208D">
            <w:pPr>
              <w:rPr>
                <w:rFonts w:eastAsia="Times New Roman" w:cs="Times New Roman"/>
                <w:sz w:val="22"/>
                <w:szCs w:val="22"/>
              </w:rPr>
            </w:pPr>
          </w:p>
          <w:p w14:paraId="62B131EB"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 xml:space="preserve">Questions: Why is Home-Visiting in Health Promotion instead of Access to Clinical Services?  Maternal and Child Health is broader than just home-visiting and if it goes into Access to Clinical Services would only be about home-visiting. </w:t>
            </w:r>
          </w:p>
          <w:p w14:paraId="42D4E807" w14:textId="77777777" w:rsidR="00F3208D" w:rsidRPr="00847988" w:rsidRDefault="00F3208D" w:rsidP="00F3208D">
            <w:pPr>
              <w:rPr>
                <w:rFonts w:eastAsia="Times New Roman" w:cs="Times New Roman"/>
                <w:sz w:val="22"/>
                <w:szCs w:val="22"/>
              </w:rPr>
            </w:pPr>
          </w:p>
          <w:p w14:paraId="7CD61E58"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 xml:space="preserve">Want to make sure this document reflects the future work in Public Health Modernization – the intro paragraphs should lend to future thinking. </w:t>
            </w:r>
          </w:p>
          <w:p w14:paraId="3D5712F3" w14:textId="77777777" w:rsidR="00F3208D" w:rsidRPr="00847988" w:rsidRDefault="00F3208D" w:rsidP="00F3208D">
            <w:pPr>
              <w:rPr>
                <w:rFonts w:eastAsia="Times New Roman" w:cs="Times New Roman"/>
                <w:sz w:val="22"/>
                <w:szCs w:val="22"/>
              </w:rPr>
            </w:pPr>
          </w:p>
          <w:p w14:paraId="507ECD37"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Follow-up</w:t>
            </w:r>
          </w:p>
          <w:p w14:paraId="2B93A820" w14:textId="484A8752" w:rsidR="00F3208D" w:rsidRPr="00847988" w:rsidRDefault="00F3208D" w:rsidP="00F3208D">
            <w:pPr>
              <w:rPr>
                <w:rFonts w:eastAsia="Times New Roman" w:cs="Times New Roman"/>
                <w:sz w:val="22"/>
                <w:szCs w:val="22"/>
              </w:rPr>
            </w:pPr>
            <w:r w:rsidRPr="00847988">
              <w:rPr>
                <w:rFonts w:eastAsia="Times New Roman" w:cs="Times New Roman"/>
                <w:sz w:val="22"/>
                <w:szCs w:val="22"/>
              </w:rPr>
              <w:t xml:space="preserve">Leaders of Healthy Structure talk with the leadership of CLEHS talk and flesh out the Environmental Health Committee should work with to compliment and not be duplicative of CLEHS and come back to the next meeting? </w:t>
            </w:r>
          </w:p>
          <w:p w14:paraId="5AA591BD"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Add in a bullet about “substance –abuse prevention”</w:t>
            </w:r>
          </w:p>
          <w:p w14:paraId="1CD4EFC1"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Come back to the next meeting for approval.</w:t>
            </w:r>
          </w:p>
          <w:p w14:paraId="316D91DF" w14:textId="38998A25" w:rsidR="007F2B11" w:rsidRPr="00847988" w:rsidRDefault="007F2B11" w:rsidP="00EB1301">
            <w:pPr>
              <w:rPr>
                <w:b/>
                <w:sz w:val="22"/>
                <w:szCs w:val="22"/>
              </w:rPr>
            </w:pPr>
          </w:p>
        </w:tc>
      </w:tr>
      <w:tr w:rsidR="00F31D80" w:rsidRPr="002C5BF0" w14:paraId="0016BCAD" w14:textId="77777777" w:rsidTr="007F2B11">
        <w:trPr>
          <w:trHeight w:val="622"/>
        </w:trPr>
        <w:tc>
          <w:tcPr>
            <w:tcW w:w="1818" w:type="dxa"/>
          </w:tcPr>
          <w:p w14:paraId="2BDBE345" w14:textId="77777777" w:rsidR="002C5BF0" w:rsidRPr="00847988" w:rsidRDefault="002C5BF0" w:rsidP="002C5BF0">
            <w:pPr>
              <w:rPr>
                <w:rFonts w:eastAsia="Times New Roman" w:cs="Times New Roman"/>
                <w:sz w:val="22"/>
                <w:szCs w:val="22"/>
              </w:rPr>
            </w:pPr>
            <w:r w:rsidRPr="00847988">
              <w:rPr>
                <w:rFonts w:eastAsia="Times New Roman" w:cs="Times New Roman"/>
                <w:sz w:val="22"/>
                <w:szCs w:val="22"/>
              </w:rPr>
              <w:t>Healthy Communities: OSU Grant Letter of Support</w:t>
            </w:r>
          </w:p>
          <w:p w14:paraId="1479CB85" w14:textId="77C3C14F" w:rsidR="00F31D80" w:rsidRPr="00847988" w:rsidRDefault="00F31D80" w:rsidP="00F31D80">
            <w:pPr>
              <w:rPr>
                <w:sz w:val="22"/>
                <w:szCs w:val="22"/>
              </w:rPr>
            </w:pPr>
          </w:p>
        </w:tc>
        <w:tc>
          <w:tcPr>
            <w:tcW w:w="1341" w:type="dxa"/>
          </w:tcPr>
          <w:p w14:paraId="1F816D88" w14:textId="50291D5A" w:rsidR="00F31D80" w:rsidRPr="002452A9" w:rsidRDefault="00847988" w:rsidP="00F31D80">
            <w:pPr>
              <w:rPr>
                <w:b/>
                <w:sz w:val="22"/>
                <w:szCs w:val="22"/>
              </w:rPr>
            </w:pPr>
            <w:r w:rsidRPr="002452A9">
              <w:rPr>
                <w:b/>
                <w:sz w:val="22"/>
                <w:szCs w:val="22"/>
              </w:rPr>
              <w:t>APPROVE</w:t>
            </w:r>
          </w:p>
        </w:tc>
        <w:tc>
          <w:tcPr>
            <w:tcW w:w="7627" w:type="dxa"/>
          </w:tcPr>
          <w:p w14:paraId="3BB702F0"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 xml:space="preserve">Letter of support to OSU IRB: social cohesion and food systems designing a survey of local public health to understand capacity and level of understanding about climate change. </w:t>
            </w:r>
          </w:p>
          <w:p w14:paraId="76F891C4" w14:textId="77777777" w:rsidR="00F3208D" w:rsidRPr="00847988" w:rsidRDefault="00F3208D" w:rsidP="00F3208D">
            <w:pPr>
              <w:rPr>
                <w:rFonts w:eastAsia="Times New Roman" w:cs="Times New Roman"/>
                <w:sz w:val="22"/>
                <w:szCs w:val="22"/>
              </w:rPr>
            </w:pPr>
          </w:p>
          <w:p w14:paraId="38FD1194" w14:textId="77777777" w:rsidR="00F3208D" w:rsidRPr="00847988" w:rsidRDefault="00F3208D" w:rsidP="00F3208D">
            <w:pPr>
              <w:rPr>
                <w:rFonts w:eastAsia="Times New Roman" w:cs="Times New Roman"/>
                <w:sz w:val="22"/>
                <w:szCs w:val="22"/>
              </w:rPr>
            </w:pPr>
            <w:r w:rsidRPr="00847988">
              <w:rPr>
                <w:rFonts w:eastAsia="Times New Roman" w:cs="Times New Roman"/>
                <w:sz w:val="22"/>
                <w:szCs w:val="22"/>
              </w:rPr>
              <w:t>Healthy Communities recommends support, Sherrie Ford 2</w:t>
            </w:r>
            <w:r w:rsidRPr="00847988">
              <w:rPr>
                <w:rFonts w:eastAsia="Times New Roman" w:cs="Times New Roman"/>
                <w:sz w:val="22"/>
                <w:szCs w:val="22"/>
                <w:vertAlign w:val="superscript"/>
              </w:rPr>
              <w:t>nd</w:t>
            </w:r>
            <w:r w:rsidRPr="00847988">
              <w:rPr>
                <w:rFonts w:eastAsia="Times New Roman" w:cs="Times New Roman"/>
                <w:sz w:val="22"/>
                <w:szCs w:val="22"/>
              </w:rPr>
              <w:t xml:space="preserve"> – </w:t>
            </w:r>
            <w:r w:rsidRPr="00847988">
              <w:rPr>
                <w:rFonts w:eastAsia="Times New Roman" w:cs="Times New Roman"/>
                <w:b/>
                <w:sz w:val="22"/>
                <w:szCs w:val="22"/>
              </w:rPr>
              <w:t>All in Support</w:t>
            </w:r>
            <w:r w:rsidRPr="00847988">
              <w:rPr>
                <w:rFonts w:eastAsia="Times New Roman" w:cs="Times New Roman"/>
                <w:sz w:val="22"/>
                <w:szCs w:val="22"/>
              </w:rPr>
              <w:t xml:space="preserve"> – Charlie will work with Jocelyn to submit</w:t>
            </w:r>
          </w:p>
          <w:p w14:paraId="4353C76F" w14:textId="779FB8CB" w:rsidR="004361FC" w:rsidRPr="00847988" w:rsidRDefault="004361FC" w:rsidP="00EB1301">
            <w:pPr>
              <w:rPr>
                <w:sz w:val="22"/>
                <w:szCs w:val="22"/>
              </w:rPr>
            </w:pPr>
          </w:p>
        </w:tc>
      </w:tr>
      <w:tr w:rsidR="00F31D80" w:rsidRPr="002C5BF0" w14:paraId="1EF4C298" w14:textId="77777777" w:rsidTr="007F2B11">
        <w:trPr>
          <w:trHeight w:val="622"/>
        </w:trPr>
        <w:tc>
          <w:tcPr>
            <w:tcW w:w="1818" w:type="dxa"/>
          </w:tcPr>
          <w:p w14:paraId="05C9175E" w14:textId="77777777" w:rsidR="002C5BF0" w:rsidRPr="00847988" w:rsidRDefault="002C5BF0" w:rsidP="002C5BF0">
            <w:pPr>
              <w:rPr>
                <w:rFonts w:eastAsia="Times New Roman" w:cs="Times New Roman"/>
                <w:sz w:val="22"/>
                <w:szCs w:val="22"/>
              </w:rPr>
            </w:pPr>
            <w:r w:rsidRPr="00847988">
              <w:rPr>
                <w:rFonts w:eastAsia="Times New Roman" w:cs="Times New Roman"/>
                <w:sz w:val="22"/>
                <w:szCs w:val="22"/>
              </w:rPr>
              <w:t>Modernization: Implementation and Funding Scenarios</w:t>
            </w:r>
          </w:p>
          <w:p w14:paraId="54950628" w14:textId="01E9EA2B" w:rsidR="00F31D80" w:rsidRPr="00847988" w:rsidRDefault="00F31D80" w:rsidP="00F31D80">
            <w:pPr>
              <w:rPr>
                <w:sz w:val="22"/>
                <w:szCs w:val="22"/>
              </w:rPr>
            </w:pPr>
          </w:p>
        </w:tc>
        <w:tc>
          <w:tcPr>
            <w:tcW w:w="1341" w:type="dxa"/>
          </w:tcPr>
          <w:p w14:paraId="741A20B0" w14:textId="5836C7CE" w:rsidR="00F31D80" w:rsidRPr="00847988" w:rsidRDefault="003A6143" w:rsidP="007F2B11">
            <w:pPr>
              <w:rPr>
                <w:sz w:val="22"/>
                <w:szCs w:val="22"/>
              </w:rPr>
            </w:pPr>
            <w:r w:rsidRPr="00847988">
              <w:rPr>
                <w:sz w:val="22"/>
                <w:szCs w:val="22"/>
              </w:rPr>
              <w:t xml:space="preserve">Update and </w:t>
            </w:r>
            <w:r w:rsidR="007F2B11" w:rsidRPr="00847988">
              <w:rPr>
                <w:sz w:val="22"/>
                <w:szCs w:val="22"/>
              </w:rPr>
              <w:t>Discuss</w:t>
            </w:r>
          </w:p>
        </w:tc>
        <w:tc>
          <w:tcPr>
            <w:tcW w:w="7627" w:type="dxa"/>
          </w:tcPr>
          <w:p w14:paraId="5203FC56" w14:textId="0CABAB6B" w:rsidR="007F2B11" w:rsidRPr="00847988" w:rsidRDefault="00847988" w:rsidP="007F2B11">
            <w:pPr>
              <w:rPr>
                <w:sz w:val="22"/>
                <w:szCs w:val="22"/>
              </w:rPr>
            </w:pPr>
            <w:r w:rsidRPr="00847988">
              <w:rPr>
                <w:sz w:val="22"/>
                <w:szCs w:val="22"/>
              </w:rPr>
              <w:t xml:space="preserve">Cara Biddlecom presented that if the legislature provides less than $10 million in funding regional approaches will be explored.  OHA’s focus is to support Local Health Departments.  Cara shared the conversations that have taken place with the Joint Leadership Team in the values and deliberations document. </w:t>
            </w:r>
          </w:p>
          <w:p w14:paraId="0EBFB4A3" w14:textId="77777777" w:rsidR="007F2B11" w:rsidRPr="00847988" w:rsidRDefault="007F2B11" w:rsidP="007F2B11">
            <w:pPr>
              <w:rPr>
                <w:sz w:val="22"/>
                <w:szCs w:val="22"/>
              </w:rPr>
            </w:pPr>
          </w:p>
          <w:p w14:paraId="09EB391A" w14:textId="77777777" w:rsidR="007F2B11" w:rsidRPr="00847988" w:rsidRDefault="00847988" w:rsidP="007F2B11">
            <w:pPr>
              <w:rPr>
                <w:sz w:val="22"/>
                <w:szCs w:val="22"/>
              </w:rPr>
            </w:pPr>
            <w:r w:rsidRPr="00847988">
              <w:rPr>
                <w:sz w:val="22"/>
                <w:szCs w:val="22"/>
              </w:rPr>
              <w:t xml:space="preserve">There was some discussion about how so few resources would be challenging to implement environmental health programmatic area.  </w:t>
            </w:r>
          </w:p>
          <w:p w14:paraId="63BC83AD" w14:textId="77777777" w:rsidR="007F2B11" w:rsidRPr="00847988" w:rsidRDefault="007F2B11" w:rsidP="007F2B11">
            <w:pPr>
              <w:rPr>
                <w:b/>
                <w:sz w:val="22"/>
                <w:szCs w:val="22"/>
              </w:rPr>
            </w:pPr>
          </w:p>
          <w:p w14:paraId="2964E6BE" w14:textId="77777777" w:rsidR="00F31D80" w:rsidRPr="00847988" w:rsidRDefault="00F31D80" w:rsidP="00EB1301">
            <w:pPr>
              <w:rPr>
                <w:sz w:val="22"/>
                <w:szCs w:val="22"/>
              </w:rPr>
            </w:pPr>
          </w:p>
        </w:tc>
      </w:tr>
      <w:tr w:rsidR="00F31D80" w:rsidRPr="002C5BF0" w14:paraId="3904ED0D" w14:textId="77777777" w:rsidTr="007F2B11">
        <w:trPr>
          <w:trHeight w:val="311"/>
        </w:trPr>
        <w:tc>
          <w:tcPr>
            <w:tcW w:w="1818" w:type="dxa"/>
          </w:tcPr>
          <w:p w14:paraId="22B20363" w14:textId="77777777" w:rsidR="002C5BF0" w:rsidRPr="00847988" w:rsidRDefault="002C5BF0" w:rsidP="002C5BF0">
            <w:pPr>
              <w:rPr>
                <w:rFonts w:eastAsia="Times New Roman" w:cs="Times New Roman"/>
                <w:sz w:val="22"/>
                <w:szCs w:val="22"/>
              </w:rPr>
            </w:pPr>
            <w:r w:rsidRPr="00847988">
              <w:rPr>
                <w:rFonts w:eastAsia="Times New Roman" w:cs="Times New Roman"/>
                <w:sz w:val="22"/>
                <w:szCs w:val="22"/>
              </w:rPr>
              <w:t>Modernization: Rule-Making Process</w:t>
            </w:r>
          </w:p>
          <w:p w14:paraId="2EDA0435" w14:textId="53ACAE92" w:rsidR="00F31D80" w:rsidRPr="00847988" w:rsidRDefault="00F31D80" w:rsidP="00F31D80">
            <w:pPr>
              <w:rPr>
                <w:sz w:val="22"/>
                <w:szCs w:val="22"/>
              </w:rPr>
            </w:pPr>
          </w:p>
        </w:tc>
        <w:tc>
          <w:tcPr>
            <w:tcW w:w="1341" w:type="dxa"/>
          </w:tcPr>
          <w:p w14:paraId="5784A8E8" w14:textId="77777777" w:rsidR="00F31D80" w:rsidRPr="00847988" w:rsidRDefault="00F31D80" w:rsidP="00F31D80">
            <w:pPr>
              <w:rPr>
                <w:sz w:val="22"/>
                <w:szCs w:val="22"/>
              </w:rPr>
            </w:pPr>
            <w:r w:rsidRPr="00847988">
              <w:rPr>
                <w:sz w:val="22"/>
                <w:szCs w:val="22"/>
              </w:rPr>
              <w:t>Update</w:t>
            </w:r>
          </w:p>
          <w:p w14:paraId="7CE02790" w14:textId="5C4C2C94" w:rsidR="001A6C52" w:rsidRPr="00847988" w:rsidRDefault="001A6C52" w:rsidP="00F31D80">
            <w:pPr>
              <w:rPr>
                <w:sz w:val="22"/>
                <w:szCs w:val="22"/>
              </w:rPr>
            </w:pPr>
          </w:p>
        </w:tc>
        <w:tc>
          <w:tcPr>
            <w:tcW w:w="7627" w:type="dxa"/>
          </w:tcPr>
          <w:p w14:paraId="3E5AB600" w14:textId="7D774E44" w:rsidR="00F31D80" w:rsidRPr="00847988" w:rsidRDefault="00847988" w:rsidP="00EB1301">
            <w:pPr>
              <w:rPr>
                <w:sz w:val="22"/>
                <w:szCs w:val="22"/>
              </w:rPr>
            </w:pPr>
            <w:r>
              <w:rPr>
                <w:sz w:val="22"/>
                <w:szCs w:val="22"/>
              </w:rPr>
              <w:t xml:space="preserve">OHA did not promulgate administrative rules after the passage of HB 3100.  These statutes will now go into effect in January 1, 2018 and the agency needs to establish administrative rules.  They are currently recruiting for two workgroups to lead into the Rules Advisory Committee with hearings in October. </w:t>
            </w:r>
          </w:p>
        </w:tc>
      </w:tr>
      <w:tr w:rsidR="00F31D80" w:rsidRPr="002C5BF0" w14:paraId="01010118" w14:textId="77777777" w:rsidTr="007F2B11">
        <w:trPr>
          <w:trHeight w:val="931"/>
        </w:trPr>
        <w:tc>
          <w:tcPr>
            <w:tcW w:w="1818" w:type="dxa"/>
          </w:tcPr>
          <w:p w14:paraId="04CA8713" w14:textId="77777777" w:rsidR="002C5BF0" w:rsidRPr="00650675" w:rsidRDefault="002C5BF0" w:rsidP="002C5BF0">
            <w:pPr>
              <w:rPr>
                <w:rFonts w:eastAsia="Times New Roman" w:cs="Times New Roman"/>
                <w:sz w:val="22"/>
                <w:szCs w:val="22"/>
              </w:rPr>
            </w:pPr>
            <w:r w:rsidRPr="00650675">
              <w:rPr>
                <w:rFonts w:eastAsia="Times New Roman" w:cs="Times New Roman"/>
                <w:sz w:val="22"/>
                <w:szCs w:val="22"/>
              </w:rPr>
              <w:t>Oregon State Public Health Lab and CCOs</w:t>
            </w:r>
          </w:p>
          <w:p w14:paraId="0D06D767" w14:textId="431B2E43" w:rsidR="001A6C52" w:rsidRPr="00650675" w:rsidRDefault="001A6C52" w:rsidP="00F31D80">
            <w:pPr>
              <w:rPr>
                <w:sz w:val="22"/>
                <w:szCs w:val="22"/>
              </w:rPr>
            </w:pPr>
          </w:p>
        </w:tc>
        <w:tc>
          <w:tcPr>
            <w:tcW w:w="1341" w:type="dxa"/>
          </w:tcPr>
          <w:p w14:paraId="5A824F6D" w14:textId="7179AF3A" w:rsidR="00F31D80" w:rsidRPr="00650675" w:rsidRDefault="00F31D80" w:rsidP="000622C2">
            <w:pPr>
              <w:rPr>
                <w:sz w:val="22"/>
                <w:szCs w:val="22"/>
              </w:rPr>
            </w:pPr>
            <w:r w:rsidRPr="00650675">
              <w:rPr>
                <w:sz w:val="22"/>
                <w:szCs w:val="22"/>
              </w:rPr>
              <w:t xml:space="preserve">Update </w:t>
            </w:r>
          </w:p>
        </w:tc>
        <w:tc>
          <w:tcPr>
            <w:tcW w:w="7627" w:type="dxa"/>
          </w:tcPr>
          <w:p w14:paraId="73C90B3A" w14:textId="77777777" w:rsidR="00F31D80" w:rsidRPr="00650675" w:rsidRDefault="00847988" w:rsidP="00EB1301">
            <w:pPr>
              <w:rPr>
                <w:sz w:val="22"/>
                <w:szCs w:val="22"/>
              </w:rPr>
            </w:pPr>
            <w:r w:rsidRPr="00650675">
              <w:rPr>
                <w:sz w:val="22"/>
                <w:szCs w:val="22"/>
              </w:rPr>
              <w:t xml:space="preserve">Collette Young and Sara Humphreys presented that they are currently having difficulties with CCOs </w:t>
            </w:r>
            <w:r w:rsidR="00650675" w:rsidRPr="00650675">
              <w:rPr>
                <w:sz w:val="22"/>
                <w:szCs w:val="22"/>
              </w:rPr>
              <w:t xml:space="preserve">who are no longer treating the OSPHL as in-network. </w:t>
            </w:r>
          </w:p>
          <w:p w14:paraId="335CF497" w14:textId="77777777" w:rsidR="00650675" w:rsidRPr="00650675" w:rsidRDefault="00650675" w:rsidP="00EB1301">
            <w:pPr>
              <w:rPr>
                <w:sz w:val="22"/>
                <w:szCs w:val="22"/>
              </w:rPr>
            </w:pPr>
          </w:p>
          <w:p w14:paraId="542DED9A" w14:textId="352C29EE" w:rsidR="00650675" w:rsidRPr="00650675" w:rsidRDefault="00650675" w:rsidP="00EB1301">
            <w:pPr>
              <w:rPr>
                <w:sz w:val="22"/>
                <w:szCs w:val="22"/>
              </w:rPr>
            </w:pPr>
            <w:r w:rsidRPr="00650675">
              <w:rPr>
                <w:sz w:val="22"/>
                <w:szCs w:val="22"/>
              </w:rPr>
              <w:t xml:space="preserve">Collette will be reaching out to Local Public Health to help bridge connections.   She also reminded folks that they love to give tours of the OSPHL and if there are legislators who would be interested to please let them know. </w:t>
            </w:r>
          </w:p>
        </w:tc>
      </w:tr>
      <w:tr w:rsidR="00F31D80" w:rsidRPr="003A18FD" w14:paraId="52C57A6A" w14:textId="77777777" w:rsidTr="007F2B11">
        <w:trPr>
          <w:trHeight w:val="1492"/>
        </w:trPr>
        <w:tc>
          <w:tcPr>
            <w:tcW w:w="1818" w:type="dxa"/>
          </w:tcPr>
          <w:p w14:paraId="7485C5EF" w14:textId="02C0A3EA" w:rsidR="002C5BF0" w:rsidRPr="00650675" w:rsidRDefault="002C5BF0" w:rsidP="002C5BF0">
            <w:pPr>
              <w:rPr>
                <w:rFonts w:eastAsia="Times New Roman" w:cs="Times New Roman"/>
                <w:sz w:val="22"/>
                <w:szCs w:val="22"/>
              </w:rPr>
            </w:pPr>
            <w:r w:rsidRPr="00650675">
              <w:rPr>
                <w:rFonts w:eastAsia="Times New Roman" w:cs="Times New Roman"/>
                <w:sz w:val="22"/>
                <w:szCs w:val="22"/>
              </w:rPr>
              <w:t>OHSU Poison Center</w:t>
            </w:r>
          </w:p>
          <w:p w14:paraId="21B4D601" w14:textId="691C0F59" w:rsidR="00B450D8" w:rsidRPr="00650675" w:rsidRDefault="00B450D8" w:rsidP="00F31D80">
            <w:pPr>
              <w:rPr>
                <w:rFonts w:eastAsia="Times New Roman" w:cs="Times New Roman"/>
                <w:sz w:val="22"/>
                <w:szCs w:val="22"/>
              </w:rPr>
            </w:pPr>
          </w:p>
        </w:tc>
        <w:tc>
          <w:tcPr>
            <w:tcW w:w="1341" w:type="dxa"/>
          </w:tcPr>
          <w:p w14:paraId="3182A19E" w14:textId="4644F9B5" w:rsidR="00F31D80" w:rsidRPr="00650675" w:rsidRDefault="00F31D80" w:rsidP="00C818D7">
            <w:pPr>
              <w:rPr>
                <w:sz w:val="22"/>
                <w:szCs w:val="22"/>
              </w:rPr>
            </w:pPr>
            <w:r w:rsidRPr="00650675">
              <w:rPr>
                <w:sz w:val="22"/>
                <w:szCs w:val="22"/>
              </w:rPr>
              <w:t xml:space="preserve">Update </w:t>
            </w:r>
          </w:p>
        </w:tc>
        <w:tc>
          <w:tcPr>
            <w:tcW w:w="7627" w:type="dxa"/>
          </w:tcPr>
          <w:p w14:paraId="2B9C3B37" w14:textId="77777777" w:rsidR="00F31D80" w:rsidRDefault="00650675" w:rsidP="00EB1301">
            <w:pPr>
              <w:rPr>
                <w:sz w:val="22"/>
                <w:szCs w:val="22"/>
              </w:rPr>
            </w:pPr>
            <w:r w:rsidRPr="00650675">
              <w:rPr>
                <w:sz w:val="22"/>
                <w:szCs w:val="22"/>
              </w:rPr>
              <w:t>Sandy Giffin</w:t>
            </w:r>
            <w:r>
              <w:rPr>
                <w:sz w:val="22"/>
                <w:szCs w:val="22"/>
              </w:rPr>
              <w:t xml:space="preserve">, from the Poison Center, called into the meeting to give an overview of the opportunities to collaborate.  Located at OHSU the Oregon Poison Center looks at the epi to identify emerging trends.  Some areas that may be of interest to local public health are: </w:t>
            </w:r>
          </w:p>
          <w:p w14:paraId="30ED2EEA" w14:textId="6BFCD5FC" w:rsidR="00650675" w:rsidRPr="00650675" w:rsidRDefault="00650675" w:rsidP="00650675">
            <w:pPr>
              <w:pStyle w:val="ListParagraph"/>
              <w:numPr>
                <w:ilvl w:val="0"/>
                <w:numId w:val="10"/>
              </w:numPr>
              <w:rPr>
                <w:sz w:val="22"/>
                <w:szCs w:val="22"/>
              </w:rPr>
            </w:pPr>
            <w:r w:rsidRPr="00650675">
              <w:rPr>
                <w:sz w:val="22"/>
                <w:szCs w:val="22"/>
              </w:rPr>
              <w:t xml:space="preserve">opiates; 2. E-cigarettes; and 3 marijuana use, trends and patterns. </w:t>
            </w:r>
          </w:p>
          <w:p w14:paraId="41792713" w14:textId="77777777" w:rsidR="00650675" w:rsidRDefault="00650675" w:rsidP="00650675">
            <w:pPr>
              <w:rPr>
                <w:sz w:val="22"/>
                <w:szCs w:val="22"/>
              </w:rPr>
            </w:pPr>
          </w:p>
          <w:p w14:paraId="4CE8068D" w14:textId="77777777" w:rsidR="00650675" w:rsidRDefault="00650675" w:rsidP="00650675">
            <w:pPr>
              <w:rPr>
                <w:sz w:val="22"/>
                <w:szCs w:val="22"/>
              </w:rPr>
            </w:pPr>
            <w:r>
              <w:rPr>
                <w:sz w:val="22"/>
                <w:szCs w:val="22"/>
              </w:rPr>
              <w:t>Follow-up:  Send out the OHSU survey and link to the data pages</w:t>
            </w:r>
          </w:p>
          <w:p w14:paraId="7B7F03E6" w14:textId="70D23FD7" w:rsidR="00650675" w:rsidRPr="00650675" w:rsidRDefault="00650675" w:rsidP="00650675">
            <w:pPr>
              <w:rPr>
                <w:sz w:val="22"/>
                <w:szCs w:val="22"/>
              </w:rPr>
            </w:pPr>
          </w:p>
        </w:tc>
      </w:tr>
      <w:tr w:rsidR="00C03FB4" w:rsidRPr="003A18FD" w14:paraId="362FFA44" w14:textId="77777777" w:rsidTr="00650675">
        <w:trPr>
          <w:trHeight w:val="1601"/>
        </w:trPr>
        <w:tc>
          <w:tcPr>
            <w:tcW w:w="1818" w:type="dxa"/>
          </w:tcPr>
          <w:p w14:paraId="6C0FC20D" w14:textId="7C503B57" w:rsidR="002C5BF0" w:rsidRPr="00650675" w:rsidRDefault="002C5BF0" w:rsidP="002C5BF0">
            <w:pPr>
              <w:rPr>
                <w:rFonts w:eastAsia="Times New Roman" w:cs="Times New Roman"/>
                <w:sz w:val="22"/>
                <w:szCs w:val="22"/>
              </w:rPr>
            </w:pPr>
            <w:r w:rsidRPr="00650675">
              <w:rPr>
                <w:rFonts w:eastAsia="Times New Roman" w:cs="Times New Roman"/>
                <w:sz w:val="22"/>
                <w:szCs w:val="22"/>
              </w:rPr>
              <w:t>Epinephrine and School Districts</w:t>
            </w:r>
          </w:p>
          <w:p w14:paraId="785BBB2E" w14:textId="76BA81BA" w:rsidR="00C03FB4" w:rsidRPr="00650675" w:rsidRDefault="00C03FB4" w:rsidP="00F31D80">
            <w:pPr>
              <w:rPr>
                <w:sz w:val="22"/>
                <w:szCs w:val="22"/>
              </w:rPr>
            </w:pPr>
          </w:p>
        </w:tc>
        <w:tc>
          <w:tcPr>
            <w:tcW w:w="1341" w:type="dxa"/>
          </w:tcPr>
          <w:p w14:paraId="7228D629" w14:textId="5B986DE6" w:rsidR="00C03FB4" w:rsidRPr="00650675" w:rsidRDefault="00C03FB4" w:rsidP="00C818D7">
            <w:pPr>
              <w:rPr>
                <w:sz w:val="22"/>
                <w:szCs w:val="22"/>
              </w:rPr>
            </w:pPr>
            <w:r w:rsidRPr="00650675">
              <w:rPr>
                <w:sz w:val="22"/>
                <w:szCs w:val="22"/>
              </w:rPr>
              <w:t>Update</w:t>
            </w:r>
          </w:p>
        </w:tc>
        <w:tc>
          <w:tcPr>
            <w:tcW w:w="7627" w:type="dxa"/>
          </w:tcPr>
          <w:p w14:paraId="23ACC5E0" w14:textId="7E04C94D" w:rsidR="00C03FB4" w:rsidRPr="00650675" w:rsidRDefault="00012D22" w:rsidP="00C818D7">
            <w:pPr>
              <w:rPr>
                <w:sz w:val="22"/>
                <w:szCs w:val="22"/>
              </w:rPr>
            </w:pPr>
            <w:r>
              <w:rPr>
                <w:sz w:val="22"/>
                <w:szCs w:val="22"/>
              </w:rPr>
              <w:t>Jamie Smith</w:t>
            </w:r>
            <w:r w:rsidR="002452A9">
              <w:rPr>
                <w:sz w:val="22"/>
                <w:szCs w:val="22"/>
              </w:rPr>
              <w:t xml:space="preserve">, the State School Nurse Consultant, came to present to the CLHO meeting about the epinephrine policy and administrative rules and also to see if Local Public Health Authority’s can provide the entity oversight for EpiPen4Schools.  There was a short discussion about risk and liability which looks to be covered.  However, a suggestion to reach out to the Health Officer’s caucus was made. </w:t>
            </w:r>
          </w:p>
        </w:tc>
      </w:tr>
      <w:tr w:rsidR="002C5BF0" w:rsidRPr="003A18FD" w14:paraId="0B83EF9B" w14:textId="77777777" w:rsidTr="007F2B11">
        <w:trPr>
          <w:trHeight w:val="1492"/>
        </w:trPr>
        <w:tc>
          <w:tcPr>
            <w:tcW w:w="1818" w:type="dxa"/>
          </w:tcPr>
          <w:p w14:paraId="02505EA0" w14:textId="77777777" w:rsidR="002C5BF0" w:rsidRPr="002C5BF0" w:rsidRDefault="002C5BF0" w:rsidP="002C5BF0">
            <w:pPr>
              <w:rPr>
                <w:rFonts w:ascii="Times" w:eastAsia="Times New Roman" w:hAnsi="Times" w:cs="Times New Roman"/>
                <w:sz w:val="20"/>
                <w:szCs w:val="20"/>
              </w:rPr>
            </w:pPr>
            <w:r w:rsidRPr="002C5BF0">
              <w:rPr>
                <w:rFonts w:ascii="Times" w:eastAsia="Times New Roman" w:hAnsi="Times" w:cs="Times New Roman"/>
                <w:sz w:val="20"/>
                <w:szCs w:val="20"/>
              </w:rPr>
              <w:t>OHA PHD Updates</w:t>
            </w:r>
          </w:p>
          <w:p w14:paraId="3D18F7DA" w14:textId="77777777" w:rsidR="002C5BF0" w:rsidRPr="002C5BF0" w:rsidRDefault="002C5BF0" w:rsidP="002C5BF0">
            <w:pPr>
              <w:rPr>
                <w:rFonts w:ascii="Times" w:eastAsia="Times New Roman" w:hAnsi="Times" w:cs="Times New Roman"/>
                <w:sz w:val="20"/>
                <w:szCs w:val="20"/>
              </w:rPr>
            </w:pPr>
          </w:p>
        </w:tc>
        <w:tc>
          <w:tcPr>
            <w:tcW w:w="1341" w:type="dxa"/>
          </w:tcPr>
          <w:p w14:paraId="01E9492E" w14:textId="77777777" w:rsidR="002C5BF0" w:rsidRDefault="002C5BF0" w:rsidP="00C818D7">
            <w:pPr>
              <w:rPr>
                <w:sz w:val="22"/>
                <w:szCs w:val="22"/>
              </w:rPr>
            </w:pPr>
          </w:p>
        </w:tc>
        <w:tc>
          <w:tcPr>
            <w:tcW w:w="7627" w:type="dxa"/>
          </w:tcPr>
          <w:p w14:paraId="33770B0A" w14:textId="77777777" w:rsidR="002C5BF0" w:rsidRDefault="002452A9" w:rsidP="00C818D7">
            <w:pPr>
              <w:rPr>
                <w:sz w:val="20"/>
              </w:rPr>
            </w:pPr>
            <w:r>
              <w:rPr>
                <w:sz w:val="20"/>
              </w:rPr>
              <w:t xml:space="preserve">State Health Assessment Steering Committee Volunteers needed: </w:t>
            </w:r>
          </w:p>
          <w:p w14:paraId="0DAF7356" w14:textId="77777777" w:rsidR="002452A9" w:rsidRDefault="002452A9" w:rsidP="00C818D7">
            <w:pPr>
              <w:rPr>
                <w:sz w:val="20"/>
              </w:rPr>
            </w:pPr>
            <w:r>
              <w:rPr>
                <w:sz w:val="20"/>
              </w:rPr>
              <w:t>Dawn Emerick</w:t>
            </w:r>
          </w:p>
          <w:p w14:paraId="53322F95" w14:textId="77777777" w:rsidR="002452A9" w:rsidRDefault="002452A9" w:rsidP="00C818D7">
            <w:pPr>
              <w:rPr>
                <w:sz w:val="20"/>
              </w:rPr>
            </w:pPr>
            <w:r>
              <w:rPr>
                <w:sz w:val="20"/>
              </w:rPr>
              <w:t>Jim Setzer</w:t>
            </w:r>
          </w:p>
          <w:p w14:paraId="23D1CCF4" w14:textId="77777777" w:rsidR="002452A9" w:rsidRDefault="002452A9" w:rsidP="00C818D7">
            <w:pPr>
              <w:rPr>
                <w:sz w:val="20"/>
              </w:rPr>
            </w:pPr>
          </w:p>
          <w:p w14:paraId="6DA91B29" w14:textId="3AF0D6BB" w:rsidR="002452A9" w:rsidRDefault="002452A9" w:rsidP="00C818D7">
            <w:pPr>
              <w:rPr>
                <w:sz w:val="20"/>
              </w:rPr>
            </w:pPr>
            <w:r>
              <w:rPr>
                <w:sz w:val="20"/>
              </w:rPr>
              <w:t xml:space="preserve">Harmful Algae Blooms information will be released – should not require additional work just for information. </w:t>
            </w:r>
          </w:p>
        </w:tc>
      </w:tr>
      <w:tr w:rsidR="002C5BF0" w:rsidRPr="003A18FD" w14:paraId="705C8623" w14:textId="77777777" w:rsidTr="007F2B11">
        <w:trPr>
          <w:trHeight w:val="1492"/>
        </w:trPr>
        <w:tc>
          <w:tcPr>
            <w:tcW w:w="1818" w:type="dxa"/>
          </w:tcPr>
          <w:p w14:paraId="6CB65A37" w14:textId="47585C18" w:rsidR="002C5BF0" w:rsidRPr="002C5BF0" w:rsidRDefault="002C5BF0" w:rsidP="002C5BF0">
            <w:pPr>
              <w:rPr>
                <w:rFonts w:ascii="Times" w:eastAsia="Times New Roman" w:hAnsi="Times" w:cs="Times New Roman"/>
                <w:sz w:val="20"/>
                <w:szCs w:val="20"/>
              </w:rPr>
            </w:pPr>
          </w:p>
        </w:tc>
        <w:tc>
          <w:tcPr>
            <w:tcW w:w="1341" w:type="dxa"/>
          </w:tcPr>
          <w:p w14:paraId="2AAFE432" w14:textId="77777777" w:rsidR="002C5BF0" w:rsidRDefault="002C5BF0" w:rsidP="00C818D7">
            <w:pPr>
              <w:rPr>
                <w:sz w:val="22"/>
                <w:szCs w:val="22"/>
              </w:rPr>
            </w:pPr>
          </w:p>
        </w:tc>
        <w:tc>
          <w:tcPr>
            <w:tcW w:w="7627" w:type="dxa"/>
          </w:tcPr>
          <w:p w14:paraId="38D22184" w14:textId="77777777" w:rsidR="002C5BF0" w:rsidRDefault="002C5BF0" w:rsidP="00C818D7">
            <w:pPr>
              <w:rPr>
                <w:sz w:val="20"/>
              </w:rPr>
            </w:pPr>
          </w:p>
        </w:tc>
      </w:tr>
    </w:tbl>
    <w:p w14:paraId="4384C86A" w14:textId="7DEADE84" w:rsidR="00A50EAD" w:rsidRPr="003378FC" w:rsidRDefault="00A50EAD" w:rsidP="00C818D7">
      <w:pPr>
        <w:tabs>
          <w:tab w:val="left" w:pos="3471"/>
        </w:tabs>
      </w:pPr>
    </w:p>
    <w:sectPr w:rsidR="00A50EAD" w:rsidRPr="003378FC"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012D22" w:rsidRDefault="00012D22" w:rsidP="00FF6E4C">
      <w:r>
        <w:separator/>
      </w:r>
    </w:p>
  </w:endnote>
  <w:endnote w:type="continuationSeparator" w:id="0">
    <w:p w14:paraId="35134EAE" w14:textId="77777777" w:rsidR="00012D22" w:rsidRDefault="00012D22"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012D22" w:rsidRDefault="00012D22" w:rsidP="00FF6E4C">
      <w:r>
        <w:separator/>
      </w:r>
    </w:p>
  </w:footnote>
  <w:footnote w:type="continuationSeparator" w:id="0">
    <w:p w14:paraId="355608FA" w14:textId="77777777" w:rsidR="00012D22" w:rsidRDefault="00012D22"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012D22" w:rsidRDefault="00012D22"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DA95FB8"/>
    <w:multiLevelType w:val="hybridMultilevel"/>
    <w:tmpl w:val="7E88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7"/>
  </w:num>
  <w:num w:numId="2">
    <w:abstractNumId w:val="2"/>
  </w:num>
  <w:num w:numId="3">
    <w:abstractNumId w:val="1"/>
  </w:num>
  <w:num w:numId="4">
    <w:abstractNumId w:val="5"/>
  </w:num>
  <w:num w:numId="5">
    <w:abstractNumId w:val="9"/>
  </w:num>
  <w:num w:numId="6">
    <w:abstractNumId w:val="3"/>
  </w:num>
  <w:num w:numId="7">
    <w:abstractNumId w:val="0"/>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12D22"/>
    <w:rsid w:val="000622C2"/>
    <w:rsid w:val="00090836"/>
    <w:rsid w:val="000F29A9"/>
    <w:rsid w:val="000F6F66"/>
    <w:rsid w:val="000F75F3"/>
    <w:rsid w:val="00114072"/>
    <w:rsid w:val="00181DED"/>
    <w:rsid w:val="001A6C52"/>
    <w:rsid w:val="001B6991"/>
    <w:rsid w:val="001C4133"/>
    <w:rsid w:val="00220D0C"/>
    <w:rsid w:val="002275FA"/>
    <w:rsid w:val="002452A9"/>
    <w:rsid w:val="00246B2E"/>
    <w:rsid w:val="00257F38"/>
    <w:rsid w:val="00291541"/>
    <w:rsid w:val="002A01D6"/>
    <w:rsid w:val="002C5BF0"/>
    <w:rsid w:val="00307569"/>
    <w:rsid w:val="00324B0F"/>
    <w:rsid w:val="003378FC"/>
    <w:rsid w:val="00352731"/>
    <w:rsid w:val="00387745"/>
    <w:rsid w:val="003A18FD"/>
    <w:rsid w:val="003A6143"/>
    <w:rsid w:val="003C6339"/>
    <w:rsid w:val="003F044C"/>
    <w:rsid w:val="004146A3"/>
    <w:rsid w:val="00420810"/>
    <w:rsid w:val="004220AD"/>
    <w:rsid w:val="004361FC"/>
    <w:rsid w:val="0045246E"/>
    <w:rsid w:val="004832AE"/>
    <w:rsid w:val="004A6510"/>
    <w:rsid w:val="005570F9"/>
    <w:rsid w:val="005826C4"/>
    <w:rsid w:val="00590ACD"/>
    <w:rsid w:val="005923AB"/>
    <w:rsid w:val="005C1BE2"/>
    <w:rsid w:val="005E0FF8"/>
    <w:rsid w:val="00605435"/>
    <w:rsid w:val="00636C88"/>
    <w:rsid w:val="00650675"/>
    <w:rsid w:val="0067024A"/>
    <w:rsid w:val="00673478"/>
    <w:rsid w:val="00683F84"/>
    <w:rsid w:val="006937BA"/>
    <w:rsid w:val="006A3772"/>
    <w:rsid w:val="006B3265"/>
    <w:rsid w:val="006E7DCC"/>
    <w:rsid w:val="00700282"/>
    <w:rsid w:val="00767C07"/>
    <w:rsid w:val="007D05E7"/>
    <w:rsid w:val="007F2B11"/>
    <w:rsid w:val="00816E03"/>
    <w:rsid w:val="008461C9"/>
    <w:rsid w:val="00847988"/>
    <w:rsid w:val="0085470E"/>
    <w:rsid w:val="008B3A6F"/>
    <w:rsid w:val="008B61BF"/>
    <w:rsid w:val="008C3F48"/>
    <w:rsid w:val="008D3CB9"/>
    <w:rsid w:val="008D5A67"/>
    <w:rsid w:val="008F31CC"/>
    <w:rsid w:val="00944C05"/>
    <w:rsid w:val="0097693D"/>
    <w:rsid w:val="00977B34"/>
    <w:rsid w:val="009A41CC"/>
    <w:rsid w:val="00A03EC1"/>
    <w:rsid w:val="00A26D20"/>
    <w:rsid w:val="00A32A7C"/>
    <w:rsid w:val="00A50EAD"/>
    <w:rsid w:val="00A57E35"/>
    <w:rsid w:val="00A64E11"/>
    <w:rsid w:val="00A9240F"/>
    <w:rsid w:val="00AC1230"/>
    <w:rsid w:val="00B450D8"/>
    <w:rsid w:val="00B5131B"/>
    <w:rsid w:val="00B61A16"/>
    <w:rsid w:val="00B939A8"/>
    <w:rsid w:val="00BA3E12"/>
    <w:rsid w:val="00BC5A86"/>
    <w:rsid w:val="00BC7451"/>
    <w:rsid w:val="00BD6054"/>
    <w:rsid w:val="00BF347F"/>
    <w:rsid w:val="00C03FB4"/>
    <w:rsid w:val="00C116F2"/>
    <w:rsid w:val="00C2608E"/>
    <w:rsid w:val="00C818D7"/>
    <w:rsid w:val="00C96A00"/>
    <w:rsid w:val="00CB51B1"/>
    <w:rsid w:val="00CB73CE"/>
    <w:rsid w:val="00CC038F"/>
    <w:rsid w:val="00CF08A1"/>
    <w:rsid w:val="00D03896"/>
    <w:rsid w:val="00D20479"/>
    <w:rsid w:val="00D229DC"/>
    <w:rsid w:val="00D22D8C"/>
    <w:rsid w:val="00D306AD"/>
    <w:rsid w:val="00D34152"/>
    <w:rsid w:val="00D34F7B"/>
    <w:rsid w:val="00D51F86"/>
    <w:rsid w:val="00D61236"/>
    <w:rsid w:val="00D75F0B"/>
    <w:rsid w:val="00DB2CBF"/>
    <w:rsid w:val="00DD4225"/>
    <w:rsid w:val="00DE2950"/>
    <w:rsid w:val="00E04544"/>
    <w:rsid w:val="00E45EB5"/>
    <w:rsid w:val="00E72987"/>
    <w:rsid w:val="00EB1301"/>
    <w:rsid w:val="00EF56B4"/>
    <w:rsid w:val="00F31D80"/>
    <w:rsid w:val="00F3208D"/>
    <w:rsid w:val="00F70289"/>
    <w:rsid w:val="00F976EA"/>
    <w:rsid w:val="00FA30E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8793">
      <w:bodyDiv w:val="1"/>
      <w:marLeft w:val="0"/>
      <w:marRight w:val="0"/>
      <w:marTop w:val="0"/>
      <w:marBottom w:val="0"/>
      <w:divBdr>
        <w:top w:val="none" w:sz="0" w:space="0" w:color="auto"/>
        <w:left w:val="none" w:sz="0" w:space="0" w:color="auto"/>
        <w:bottom w:val="none" w:sz="0" w:space="0" w:color="auto"/>
        <w:right w:val="none" w:sz="0" w:space="0" w:color="auto"/>
      </w:divBdr>
    </w:div>
    <w:div w:id="206262343">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695935054">
      <w:bodyDiv w:val="1"/>
      <w:marLeft w:val="0"/>
      <w:marRight w:val="0"/>
      <w:marTop w:val="0"/>
      <w:marBottom w:val="0"/>
      <w:divBdr>
        <w:top w:val="none" w:sz="0" w:space="0" w:color="auto"/>
        <w:left w:val="none" w:sz="0" w:space="0" w:color="auto"/>
        <w:bottom w:val="none" w:sz="0" w:space="0" w:color="auto"/>
        <w:right w:val="none" w:sz="0" w:space="0" w:color="auto"/>
      </w:divBdr>
    </w:div>
    <w:div w:id="1273632085">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310281888">
      <w:bodyDiv w:val="1"/>
      <w:marLeft w:val="0"/>
      <w:marRight w:val="0"/>
      <w:marTop w:val="0"/>
      <w:marBottom w:val="0"/>
      <w:divBdr>
        <w:top w:val="none" w:sz="0" w:space="0" w:color="auto"/>
        <w:left w:val="none" w:sz="0" w:space="0" w:color="auto"/>
        <w:bottom w:val="none" w:sz="0" w:space="0" w:color="auto"/>
        <w:right w:val="none" w:sz="0" w:space="0" w:color="auto"/>
      </w:divBdr>
    </w:div>
    <w:div w:id="1680425299">
      <w:bodyDiv w:val="1"/>
      <w:marLeft w:val="0"/>
      <w:marRight w:val="0"/>
      <w:marTop w:val="0"/>
      <w:marBottom w:val="0"/>
      <w:divBdr>
        <w:top w:val="none" w:sz="0" w:space="0" w:color="auto"/>
        <w:left w:val="none" w:sz="0" w:space="0" w:color="auto"/>
        <w:bottom w:val="none" w:sz="0" w:space="0" w:color="auto"/>
        <w:right w:val="none" w:sz="0" w:space="0" w:color="auto"/>
      </w:divBdr>
    </w:div>
    <w:div w:id="1971472954">
      <w:bodyDiv w:val="1"/>
      <w:marLeft w:val="0"/>
      <w:marRight w:val="0"/>
      <w:marTop w:val="0"/>
      <w:marBottom w:val="0"/>
      <w:divBdr>
        <w:top w:val="none" w:sz="0" w:space="0" w:color="auto"/>
        <w:left w:val="none" w:sz="0" w:space="0" w:color="auto"/>
        <w:bottom w:val="none" w:sz="0" w:space="0" w:color="auto"/>
        <w:right w:val="none" w:sz="0" w:space="0" w:color="auto"/>
      </w:divBdr>
    </w:div>
    <w:div w:id="20651744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4E7B3-CF4A-E440-A90A-86FFBF5C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1142</Words>
  <Characters>6512</Characters>
  <Application>Microsoft Macintosh Word</Application>
  <DocSecurity>0</DocSecurity>
  <Lines>54</Lines>
  <Paragraphs>15</Paragraphs>
  <ScaleCrop>false</ScaleCrop>
  <Company>Coalition of Local Health Officials</Company>
  <LinksUpToDate>false</LinksUpToDate>
  <CharactersWithSpaces>7639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6</cp:revision>
  <cp:lastPrinted>2016-08-09T23:02:00Z</cp:lastPrinted>
  <dcterms:created xsi:type="dcterms:W3CDTF">2017-06-20T03:51:00Z</dcterms:created>
  <dcterms:modified xsi:type="dcterms:W3CDTF">2017-07-17T17:44:00Z</dcterms:modified>
</cp:coreProperties>
</file>