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ADCB" w14:textId="694661D3" w:rsidR="008B35A2" w:rsidRDefault="00A62862" w:rsidP="008B35A2">
      <w:pPr>
        <w:pStyle w:val="Title"/>
        <w:jc w:val="left"/>
        <w:rPr>
          <w:rFonts w:ascii="Times" w:hAnsi="Tim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AFDA4" wp14:editId="7C3A7278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1714500" cy="914400"/>
                <wp:effectExtent l="0" t="0" r="0" b="0"/>
                <wp:wrapThrough wrapText="bothSides">
                  <wp:wrapPolygon edited="0">
                    <wp:start x="4800" y="0"/>
                    <wp:lineTo x="4160" y="9600"/>
                    <wp:lineTo x="2880" y="12600"/>
                    <wp:lineTo x="320" y="19200"/>
                    <wp:lineTo x="320" y="21000"/>
                    <wp:lineTo x="20800" y="21000"/>
                    <wp:lineTo x="21120" y="19200"/>
                    <wp:lineTo x="16320" y="9600"/>
                    <wp:lineTo x="16960" y="1800"/>
                    <wp:lineTo x="15360" y="0"/>
                    <wp:lineTo x="7680" y="0"/>
                    <wp:lineTo x="4800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914400"/>
                          <a:chOff x="-265528" y="102675"/>
                          <a:chExt cx="1991458" cy="1016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5528" y="903454"/>
                            <a:ext cx="1991458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40FB8" w14:textId="77777777" w:rsidR="00A62862" w:rsidRPr="00726A3E" w:rsidRDefault="00A62862" w:rsidP="00A62862">
                              <w:pPr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</w:pPr>
                              <w:r w:rsidRPr="00726A3E">
                                <w:rPr>
                                  <w:rFonts w:ascii="Arial Narrow" w:hAnsi="Arial Narrow"/>
                                  <w:color w:val="0000FF"/>
                                  <w:sz w:val="18"/>
                                  <w:szCs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71.95pt;margin-top:-35.95pt;width:135pt;height:1in;z-index:251659264;mso-width-relative:margin;mso-height-relative:margin" coordorigin="-265528,102675" coordsize="1991458,1016679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32764;top:102675;width:1118673;height:80077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SD&#10;FBLDAAAA2gAAAA8AAABkcnMvZG93bnJldi54bWxEj0FrwkAUhO+F/oflFXqrGwOKRFcpYqnVk9aL&#10;t0f2mcRm38bdNYn/3hWEHoeZ+YaZLXpTi5acrywrGA4SEMS51RUXCg6/Xx8TED4ga6wtk4IbeVjM&#10;X19mmGnb8Y7afShEhLDPUEEZQpNJ6fOSDPqBbYijd7LOYIjSFVI77CLc1DJNkrE0WHFcKLGhZUn5&#10;3/5qFCRteu1+ztvv1cF1yzDEy3EzGiv1/tZ/TkEE6sN/+NleawUpPK7EGyDn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IMUEsMAAADaAAAADwAAAAAAAAAAAAAAAACcAgAA&#10;ZHJzL2Rvd25yZXYueG1sUEsFBgAAAAAEAAQA9wAAAIwDAAAAAA==&#10;">
                  <v:imagedata r:id="rId10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" o:spid="_x0000_s1028" type="#_x0000_t202" style="position:absolute;left:-265528;top:903454;width:1991458;height:215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30240FB8" w14:textId="77777777" w:rsidR="00A62862" w:rsidRPr="00726A3E" w:rsidRDefault="00A62862" w:rsidP="00A62862">
                        <w:pPr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</w:pPr>
                        <w:r w:rsidRPr="00726A3E">
                          <w:rPr>
                            <w:rFonts w:ascii="Arial Narrow" w:hAnsi="Arial Narrow"/>
                            <w:color w:val="0000FF"/>
                            <w:sz w:val="18"/>
                            <w:szCs w:val="18"/>
                          </w:rPr>
                          <w:t>Conference of Local Health Officials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40725">
        <w:t xml:space="preserve"> </w:t>
      </w:r>
      <w:r>
        <w:t xml:space="preserve">   </w:t>
      </w:r>
      <w:r w:rsidR="00FF6E4C">
        <w:t>CONFERENCE OF LOCAL HEALTH OFFICIAL</w:t>
      </w:r>
    </w:p>
    <w:p w14:paraId="08F8D19F" w14:textId="77777777" w:rsidR="00A62862" w:rsidRDefault="007D3E68" w:rsidP="007D3E68">
      <w:pPr>
        <w:pStyle w:val="Title"/>
        <w:jc w:val="left"/>
        <w:rPr>
          <w:rFonts w:ascii="Times" w:hAnsi="Times"/>
        </w:rPr>
      </w:pPr>
      <w:r>
        <w:rPr>
          <w:rFonts w:ascii="Times" w:hAnsi="Times"/>
        </w:rPr>
        <w:t>Meeting Minutes</w:t>
      </w:r>
    </w:p>
    <w:p w14:paraId="5C8A0DB5" w14:textId="4C8E8818" w:rsidR="007D3E68" w:rsidRDefault="002262BF" w:rsidP="007D3E68">
      <w:pPr>
        <w:pStyle w:val="Title"/>
        <w:jc w:val="left"/>
        <w:rPr>
          <w:rFonts w:ascii="Times" w:hAnsi="Times"/>
        </w:rPr>
      </w:pPr>
      <w:r>
        <w:rPr>
          <w:rFonts w:ascii="Times" w:hAnsi="Times"/>
        </w:rPr>
        <w:t>January 19, 2017</w:t>
      </w:r>
    </w:p>
    <w:p w14:paraId="39A9EDDF" w14:textId="77777777" w:rsidR="007D3E68" w:rsidRPr="00032B45" w:rsidRDefault="007D3E68" w:rsidP="008B35A2">
      <w:pPr>
        <w:rPr>
          <w:rFonts w:ascii="Times" w:eastAsia="Times New Roman" w:hAnsi="Times" w:cs="Times New Roman"/>
          <w:b/>
          <w:sz w:val="22"/>
          <w:szCs w:val="22"/>
        </w:rPr>
      </w:pPr>
    </w:p>
    <w:p w14:paraId="6305D436" w14:textId="41412456" w:rsidR="008B35A2" w:rsidRPr="0004457F" w:rsidRDefault="008B35A2" w:rsidP="008B35A2">
      <w:pPr>
        <w:rPr>
          <w:rFonts w:eastAsia="Times New Roman" w:cs="Times New Roman"/>
          <w:sz w:val="20"/>
          <w:szCs w:val="22"/>
        </w:rPr>
      </w:pPr>
      <w:r w:rsidRPr="0004457F">
        <w:rPr>
          <w:rFonts w:eastAsia="Times New Roman" w:cs="Times New Roman"/>
          <w:b/>
          <w:sz w:val="20"/>
          <w:szCs w:val="22"/>
        </w:rPr>
        <w:t xml:space="preserve">In attendance: </w:t>
      </w:r>
      <w:r w:rsidR="00032B45" w:rsidRPr="0004457F">
        <w:rPr>
          <w:rFonts w:eastAsia="Times New Roman" w:cs="Times New Roman"/>
          <w:sz w:val="20"/>
          <w:szCs w:val="22"/>
        </w:rPr>
        <w:t xml:space="preserve">Charlie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Fautin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 xml:space="preserve">, </w:t>
      </w:r>
      <w:r w:rsidR="00A64113" w:rsidRPr="0004457F">
        <w:rPr>
          <w:rFonts w:eastAsia="Times New Roman" w:cs="Times New Roman"/>
          <w:sz w:val="20"/>
          <w:szCs w:val="22"/>
        </w:rPr>
        <w:t xml:space="preserve">Dawn </w:t>
      </w:r>
      <w:proofErr w:type="spellStart"/>
      <w:r w:rsidR="00A64113" w:rsidRPr="0004457F">
        <w:rPr>
          <w:rFonts w:eastAsia="Times New Roman" w:cs="Times New Roman"/>
          <w:sz w:val="20"/>
          <w:szCs w:val="22"/>
        </w:rPr>
        <w:t>Emmerick</w:t>
      </w:r>
      <w:proofErr w:type="spellEnd"/>
      <w:r w:rsidR="00A64113" w:rsidRPr="0004457F">
        <w:rPr>
          <w:rFonts w:eastAsia="Times New Roman" w:cs="Times New Roman"/>
          <w:sz w:val="20"/>
          <w:szCs w:val="22"/>
        </w:rPr>
        <w:t xml:space="preserve">, </w:t>
      </w:r>
      <w:r w:rsidR="002262BF">
        <w:rPr>
          <w:rFonts w:eastAsia="Times New Roman" w:cs="Times New Roman"/>
          <w:sz w:val="20"/>
          <w:szCs w:val="22"/>
        </w:rPr>
        <w:t>Sherrie Ford</w:t>
      </w:r>
      <w:r w:rsidR="00A64113" w:rsidRPr="0004457F">
        <w:rPr>
          <w:rFonts w:eastAsia="Times New Roman" w:cs="Times New Roman"/>
          <w:sz w:val="20"/>
          <w:szCs w:val="22"/>
        </w:rPr>
        <w:t xml:space="preserve">, </w:t>
      </w:r>
      <w:r w:rsidR="00032B45" w:rsidRPr="0004457F">
        <w:rPr>
          <w:rFonts w:eastAsia="Times New Roman" w:cs="Times New Roman"/>
          <w:sz w:val="20"/>
          <w:szCs w:val="22"/>
        </w:rPr>
        <w:t xml:space="preserve">Muriel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DeLaVernge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 xml:space="preserve">-Brown, George Conway, </w:t>
      </w:r>
      <w:r w:rsidR="00A64113" w:rsidRPr="0004457F">
        <w:rPr>
          <w:rFonts w:eastAsia="Times New Roman" w:cs="Times New Roman"/>
          <w:sz w:val="20"/>
          <w:szCs w:val="22"/>
        </w:rPr>
        <w:t xml:space="preserve">Bob </w:t>
      </w:r>
      <w:proofErr w:type="spellStart"/>
      <w:r w:rsidR="00A64113" w:rsidRPr="0004457F">
        <w:rPr>
          <w:rFonts w:eastAsia="Times New Roman" w:cs="Times New Roman"/>
          <w:sz w:val="20"/>
          <w:szCs w:val="22"/>
        </w:rPr>
        <w:t>Dannenhofer</w:t>
      </w:r>
      <w:proofErr w:type="spellEnd"/>
      <w:r w:rsidR="00A64113" w:rsidRPr="0004457F">
        <w:rPr>
          <w:rFonts w:eastAsia="Times New Roman" w:cs="Times New Roman"/>
          <w:sz w:val="20"/>
          <w:szCs w:val="22"/>
        </w:rPr>
        <w:t xml:space="preserve">, </w:t>
      </w:r>
      <w:r w:rsidR="002262BF">
        <w:rPr>
          <w:rFonts w:eastAsia="Times New Roman" w:cs="Times New Roman"/>
          <w:sz w:val="20"/>
          <w:szCs w:val="22"/>
        </w:rPr>
        <w:t xml:space="preserve">Ellen Larsen, </w:t>
      </w:r>
      <w:r w:rsidR="00032B45" w:rsidRPr="0004457F">
        <w:rPr>
          <w:rFonts w:eastAsia="Times New Roman" w:cs="Times New Roman"/>
          <w:sz w:val="20"/>
          <w:szCs w:val="22"/>
        </w:rPr>
        <w:t xml:space="preserve">Jackson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Baures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 xml:space="preserve">, Diane Hoover, Courtney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Vanbragt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 xml:space="preserve">, Jocelyn Warren, Rebecca Austen, Pat Crozier, </w:t>
      </w:r>
      <w:r w:rsidR="002262BF">
        <w:rPr>
          <w:rFonts w:eastAsia="Times New Roman" w:cs="Times New Roman"/>
          <w:sz w:val="20"/>
          <w:szCs w:val="22"/>
        </w:rPr>
        <w:t xml:space="preserve">Pam Hutchinson, </w:t>
      </w:r>
      <w:r w:rsidR="00032B45" w:rsidRPr="0004457F">
        <w:rPr>
          <w:rFonts w:eastAsia="Times New Roman" w:cs="Times New Roman"/>
          <w:sz w:val="20"/>
          <w:szCs w:val="22"/>
        </w:rPr>
        <w:t xml:space="preserve">Tricia Tillman, </w:t>
      </w:r>
      <w:r w:rsidR="00A64113" w:rsidRPr="0004457F">
        <w:rPr>
          <w:rFonts w:eastAsia="Times New Roman" w:cs="Times New Roman"/>
          <w:sz w:val="20"/>
          <w:szCs w:val="22"/>
        </w:rPr>
        <w:t xml:space="preserve">Katrina </w:t>
      </w:r>
      <w:proofErr w:type="spellStart"/>
      <w:r w:rsidR="00A64113" w:rsidRPr="0004457F">
        <w:rPr>
          <w:rFonts w:eastAsia="Times New Roman" w:cs="Times New Roman"/>
          <w:sz w:val="20"/>
          <w:szCs w:val="22"/>
        </w:rPr>
        <w:t>Rothenberger</w:t>
      </w:r>
      <w:proofErr w:type="spellEnd"/>
      <w:r w:rsidR="00A64113" w:rsidRPr="0004457F">
        <w:rPr>
          <w:rFonts w:eastAsia="Times New Roman" w:cs="Times New Roman"/>
          <w:sz w:val="20"/>
          <w:szCs w:val="22"/>
        </w:rPr>
        <w:t xml:space="preserve">, </w:t>
      </w:r>
      <w:r w:rsidR="002262BF">
        <w:rPr>
          <w:rFonts w:eastAsia="Times New Roman" w:cs="Times New Roman"/>
          <w:sz w:val="20"/>
          <w:szCs w:val="22"/>
        </w:rPr>
        <w:t xml:space="preserve">Marlene Putman, Jim </w:t>
      </w:r>
      <w:proofErr w:type="spellStart"/>
      <w:r w:rsidR="002262BF">
        <w:rPr>
          <w:rFonts w:eastAsia="Times New Roman" w:cs="Times New Roman"/>
          <w:sz w:val="20"/>
          <w:szCs w:val="22"/>
        </w:rPr>
        <w:t>Setzer</w:t>
      </w:r>
      <w:proofErr w:type="spellEnd"/>
      <w:r w:rsidR="002262BF">
        <w:rPr>
          <w:rFonts w:eastAsia="Times New Roman" w:cs="Times New Roman"/>
          <w:sz w:val="20"/>
          <w:szCs w:val="22"/>
        </w:rPr>
        <w:t xml:space="preserve">, </w:t>
      </w:r>
      <w:r w:rsidR="00032B45" w:rsidRPr="0004457F">
        <w:rPr>
          <w:rFonts w:eastAsia="Times New Roman" w:cs="Times New Roman"/>
          <w:sz w:val="20"/>
          <w:szCs w:val="22"/>
        </w:rPr>
        <w:t xml:space="preserve">Carrie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Brogoitti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 xml:space="preserve">, </w:t>
      </w:r>
      <w:r w:rsidR="00A461A5" w:rsidRPr="0004457F">
        <w:rPr>
          <w:rFonts w:eastAsia="Times New Roman" w:cs="Times New Roman"/>
          <w:sz w:val="20"/>
          <w:szCs w:val="22"/>
        </w:rPr>
        <w:t xml:space="preserve">Tricia </w:t>
      </w:r>
      <w:proofErr w:type="spellStart"/>
      <w:r w:rsidR="00A461A5" w:rsidRPr="0004457F">
        <w:rPr>
          <w:rFonts w:eastAsia="Times New Roman" w:cs="Times New Roman"/>
          <w:sz w:val="20"/>
          <w:szCs w:val="22"/>
        </w:rPr>
        <w:t>Mortell</w:t>
      </w:r>
      <w:proofErr w:type="spellEnd"/>
      <w:r w:rsidR="00A461A5" w:rsidRPr="0004457F">
        <w:rPr>
          <w:rFonts w:eastAsia="Times New Roman" w:cs="Times New Roman"/>
          <w:sz w:val="20"/>
          <w:szCs w:val="22"/>
        </w:rPr>
        <w:t>,</w:t>
      </w:r>
      <w:r w:rsidR="002262BF">
        <w:rPr>
          <w:rFonts w:eastAsia="Times New Roman" w:cs="Times New Roman"/>
          <w:sz w:val="20"/>
          <w:szCs w:val="22"/>
        </w:rPr>
        <w:t xml:space="preserve"> Karen Woods,</w:t>
      </w:r>
      <w:r w:rsidR="00A461A5" w:rsidRPr="0004457F">
        <w:rPr>
          <w:rFonts w:eastAsia="Times New Roman" w:cs="Times New Roman"/>
          <w:sz w:val="20"/>
          <w:szCs w:val="22"/>
        </w:rPr>
        <w:t xml:space="preserve"> </w:t>
      </w:r>
      <w:r w:rsidR="00032B45" w:rsidRPr="0004457F">
        <w:rPr>
          <w:rFonts w:eastAsia="Times New Roman" w:cs="Times New Roman"/>
          <w:sz w:val="20"/>
          <w:szCs w:val="22"/>
        </w:rPr>
        <w:t xml:space="preserve">Lindsey </w:t>
      </w:r>
      <w:proofErr w:type="spellStart"/>
      <w:r w:rsidR="00032B45" w:rsidRPr="0004457F">
        <w:rPr>
          <w:rFonts w:eastAsia="Times New Roman" w:cs="Times New Roman"/>
          <w:sz w:val="20"/>
          <w:szCs w:val="22"/>
        </w:rPr>
        <w:t>Manfrin</w:t>
      </w:r>
      <w:proofErr w:type="spellEnd"/>
      <w:r w:rsidR="00032B45" w:rsidRPr="0004457F">
        <w:rPr>
          <w:rFonts w:eastAsia="Times New Roman" w:cs="Times New Roman"/>
          <w:sz w:val="20"/>
          <w:szCs w:val="22"/>
        </w:rPr>
        <w:t>, Frank Brown</w:t>
      </w:r>
      <w:r w:rsidR="002262BF">
        <w:rPr>
          <w:rFonts w:eastAsia="Times New Roman" w:cs="Times New Roman"/>
          <w:sz w:val="20"/>
          <w:szCs w:val="22"/>
        </w:rPr>
        <w:t xml:space="preserve"> (CLEHS), Pat </w:t>
      </w:r>
      <w:proofErr w:type="spellStart"/>
      <w:r w:rsidR="002262BF">
        <w:rPr>
          <w:rFonts w:eastAsia="Times New Roman" w:cs="Times New Roman"/>
          <w:sz w:val="20"/>
          <w:szCs w:val="22"/>
        </w:rPr>
        <w:t>Ludetke</w:t>
      </w:r>
      <w:proofErr w:type="spellEnd"/>
      <w:r w:rsidR="002262BF">
        <w:rPr>
          <w:rFonts w:eastAsia="Times New Roman" w:cs="Times New Roman"/>
          <w:sz w:val="20"/>
          <w:szCs w:val="22"/>
        </w:rPr>
        <w:t xml:space="preserve"> (Health Officer)</w:t>
      </w:r>
    </w:p>
    <w:p w14:paraId="0735460A" w14:textId="17D72063" w:rsidR="00FF6E4C" w:rsidRPr="0004457F" w:rsidRDefault="003A18FD" w:rsidP="00B5131B">
      <w:pPr>
        <w:rPr>
          <w:sz w:val="20"/>
          <w:szCs w:val="22"/>
        </w:rPr>
      </w:pPr>
      <w:r w:rsidRPr="0004457F">
        <w:rPr>
          <w:sz w:val="20"/>
          <w:szCs w:val="22"/>
        </w:rPr>
        <w:t xml:space="preserve">                          </w:t>
      </w:r>
    </w:p>
    <w:p w14:paraId="60D06495" w14:textId="19736C15" w:rsidR="00032B45" w:rsidRPr="0004457F" w:rsidRDefault="00032B45" w:rsidP="00B5131B">
      <w:pPr>
        <w:rPr>
          <w:sz w:val="20"/>
          <w:szCs w:val="22"/>
        </w:rPr>
      </w:pPr>
      <w:r w:rsidRPr="0004457F">
        <w:rPr>
          <w:b/>
          <w:sz w:val="20"/>
          <w:szCs w:val="22"/>
        </w:rPr>
        <w:t>Public Health Division</w:t>
      </w:r>
      <w:r w:rsidRPr="0004457F">
        <w:rPr>
          <w:sz w:val="20"/>
          <w:szCs w:val="22"/>
        </w:rPr>
        <w:t xml:space="preserve">: Danna Drum, Tim </w:t>
      </w:r>
      <w:proofErr w:type="spellStart"/>
      <w:r w:rsidRPr="0004457F">
        <w:rPr>
          <w:sz w:val="20"/>
          <w:szCs w:val="22"/>
        </w:rPr>
        <w:t>Noe</w:t>
      </w:r>
      <w:proofErr w:type="spellEnd"/>
      <w:r w:rsidRPr="0004457F">
        <w:rPr>
          <w:sz w:val="20"/>
          <w:szCs w:val="22"/>
        </w:rPr>
        <w:t xml:space="preserve">, </w:t>
      </w:r>
      <w:r w:rsidR="002262BF">
        <w:rPr>
          <w:sz w:val="20"/>
          <w:szCs w:val="22"/>
        </w:rPr>
        <w:t xml:space="preserve">Cara </w:t>
      </w:r>
      <w:proofErr w:type="spellStart"/>
      <w:r w:rsidR="002262BF">
        <w:rPr>
          <w:sz w:val="20"/>
          <w:szCs w:val="22"/>
        </w:rPr>
        <w:t>Biddlecom</w:t>
      </w:r>
      <w:proofErr w:type="spellEnd"/>
      <w:r w:rsidRPr="0004457F">
        <w:rPr>
          <w:sz w:val="20"/>
          <w:szCs w:val="22"/>
        </w:rPr>
        <w:t xml:space="preserve">, </w:t>
      </w:r>
      <w:proofErr w:type="gramStart"/>
      <w:r w:rsidR="002262BF">
        <w:rPr>
          <w:sz w:val="20"/>
          <w:szCs w:val="22"/>
        </w:rPr>
        <w:t>Collette</w:t>
      </w:r>
      <w:proofErr w:type="gramEnd"/>
      <w:r w:rsidR="002262BF">
        <w:rPr>
          <w:sz w:val="20"/>
          <w:szCs w:val="22"/>
        </w:rPr>
        <w:t xml:space="preserve"> Young</w:t>
      </w:r>
    </w:p>
    <w:p w14:paraId="2DA324DC" w14:textId="6C752861" w:rsidR="00032B45" w:rsidRPr="0004457F" w:rsidRDefault="00032B45" w:rsidP="00B5131B">
      <w:pPr>
        <w:rPr>
          <w:sz w:val="20"/>
          <w:szCs w:val="22"/>
        </w:rPr>
      </w:pPr>
      <w:r w:rsidRPr="0004457F">
        <w:rPr>
          <w:b/>
          <w:sz w:val="20"/>
          <w:szCs w:val="22"/>
        </w:rPr>
        <w:t>AOC</w:t>
      </w:r>
      <w:r w:rsidRPr="0004457F">
        <w:rPr>
          <w:sz w:val="20"/>
          <w:szCs w:val="22"/>
        </w:rPr>
        <w:t xml:space="preserve">: Stacy </w:t>
      </w:r>
      <w:proofErr w:type="spellStart"/>
      <w:r w:rsidRPr="0004457F">
        <w:rPr>
          <w:sz w:val="20"/>
          <w:szCs w:val="22"/>
        </w:rPr>
        <w:t>Michaelson</w:t>
      </w:r>
      <w:proofErr w:type="spellEnd"/>
    </w:p>
    <w:p w14:paraId="6838B5C3" w14:textId="093D7A14" w:rsidR="00032B45" w:rsidRDefault="00032B45" w:rsidP="00B5131B">
      <w:pPr>
        <w:rPr>
          <w:sz w:val="20"/>
          <w:szCs w:val="22"/>
        </w:rPr>
      </w:pPr>
      <w:r w:rsidRPr="0004457F">
        <w:rPr>
          <w:b/>
          <w:sz w:val="20"/>
          <w:szCs w:val="22"/>
        </w:rPr>
        <w:t>CLHO</w:t>
      </w:r>
      <w:r w:rsidR="0004457F">
        <w:rPr>
          <w:b/>
          <w:sz w:val="20"/>
          <w:szCs w:val="22"/>
        </w:rPr>
        <w:t xml:space="preserve"> Staff</w:t>
      </w:r>
      <w:r w:rsidRPr="0004457F">
        <w:rPr>
          <w:sz w:val="20"/>
          <w:szCs w:val="22"/>
        </w:rPr>
        <w:t xml:space="preserve">: Morgan Cowling, Kathleen Johnson </w:t>
      </w:r>
    </w:p>
    <w:p w14:paraId="1307D790" w14:textId="77777777" w:rsidR="00A62862" w:rsidRPr="0004457F" w:rsidRDefault="00A62862" w:rsidP="00B5131B">
      <w:pPr>
        <w:rPr>
          <w:sz w:val="20"/>
          <w:szCs w:val="22"/>
        </w:rPr>
      </w:pPr>
      <w:bookmarkStart w:id="0" w:name="_GoBack"/>
      <w:bookmarkEnd w:id="0"/>
    </w:p>
    <w:p w14:paraId="0F73D087" w14:textId="77777777" w:rsidR="00032B45" w:rsidRPr="00032B45" w:rsidRDefault="00032B45" w:rsidP="00B5131B">
      <w:pPr>
        <w:rPr>
          <w:rFonts w:ascii="Times" w:eastAsia="Times New Roman" w:hAnsi="Times" w:cs="Times New Roman"/>
          <w:color w:val="222222"/>
          <w:sz w:val="22"/>
          <w:szCs w:val="22"/>
          <w:shd w:val="clear" w:color="auto" w:fill="FFFFFF"/>
        </w:rPr>
      </w:pPr>
    </w:p>
    <w:tbl>
      <w:tblPr>
        <w:tblStyle w:val="TableGrid"/>
        <w:tblW w:w="11087" w:type="dxa"/>
        <w:jc w:val="center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144"/>
        <w:gridCol w:w="6933"/>
        <w:gridCol w:w="1621"/>
      </w:tblGrid>
      <w:tr w:rsidR="0004457F" w:rsidRPr="0004457F" w14:paraId="5B77A962" w14:textId="77777777" w:rsidTr="00840725">
        <w:trPr>
          <w:trHeight w:val="341"/>
          <w:jc w:val="center"/>
        </w:trPr>
        <w:tc>
          <w:tcPr>
            <w:tcW w:w="1603" w:type="dxa"/>
          </w:tcPr>
          <w:p w14:paraId="21CCACA6" w14:textId="77777777" w:rsidR="008B35A2" w:rsidRPr="0004457F" w:rsidRDefault="008B35A2" w:rsidP="007D3E68">
            <w:pPr>
              <w:jc w:val="center"/>
              <w:rPr>
                <w:b/>
                <w:sz w:val="20"/>
                <w:szCs w:val="20"/>
              </w:rPr>
            </w:pPr>
            <w:r w:rsidRPr="0004457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213" w:type="dxa"/>
          </w:tcPr>
          <w:p w14:paraId="44082CED" w14:textId="77777777" w:rsidR="008B35A2" w:rsidRPr="0004457F" w:rsidRDefault="008B35A2" w:rsidP="007D3E68">
            <w:pPr>
              <w:jc w:val="center"/>
              <w:rPr>
                <w:b/>
                <w:sz w:val="20"/>
                <w:szCs w:val="20"/>
              </w:rPr>
            </w:pPr>
            <w:r w:rsidRPr="0004457F">
              <w:rPr>
                <w:b/>
                <w:sz w:val="20"/>
                <w:szCs w:val="20"/>
              </w:rPr>
              <w:t>How</w:t>
            </w:r>
          </w:p>
        </w:tc>
        <w:tc>
          <w:tcPr>
            <w:tcW w:w="6933" w:type="dxa"/>
          </w:tcPr>
          <w:p w14:paraId="45DE705D" w14:textId="258DCBFB" w:rsidR="008B35A2" w:rsidRPr="0004457F" w:rsidRDefault="008B35A2" w:rsidP="007D3E68">
            <w:pPr>
              <w:jc w:val="center"/>
              <w:rPr>
                <w:b/>
                <w:sz w:val="20"/>
                <w:szCs w:val="20"/>
              </w:rPr>
            </w:pPr>
            <w:r w:rsidRPr="0004457F">
              <w:rPr>
                <w:b/>
                <w:sz w:val="20"/>
                <w:szCs w:val="20"/>
              </w:rPr>
              <w:t>Notes</w:t>
            </w:r>
          </w:p>
        </w:tc>
        <w:tc>
          <w:tcPr>
            <w:tcW w:w="1338" w:type="dxa"/>
          </w:tcPr>
          <w:p w14:paraId="08B06B06" w14:textId="5F6F24AA" w:rsidR="008B35A2" w:rsidRPr="0004457F" w:rsidRDefault="008B35A2" w:rsidP="007D3E68">
            <w:pPr>
              <w:jc w:val="center"/>
              <w:rPr>
                <w:b/>
                <w:sz w:val="20"/>
                <w:szCs w:val="20"/>
              </w:rPr>
            </w:pPr>
            <w:r w:rsidRPr="0004457F">
              <w:rPr>
                <w:b/>
                <w:sz w:val="20"/>
                <w:szCs w:val="20"/>
              </w:rPr>
              <w:t>Who</w:t>
            </w:r>
          </w:p>
        </w:tc>
      </w:tr>
      <w:tr w:rsidR="0004457F" w:rsidRPr="0004457F" w14:paraId="04F66ED5" w14:textId="77777777" w:rsidTr="00840725">
        <w:trPr>
          <w:trHeight w:val="698"/>
          <w:jc w:val="center"/>
        </w:trPr>
        <w:tc>
          <w:tcPr>
            <w:tcW w:w="1603" w:type="dxa"/>
          </w:tcPr>
          <w:p w14:paraId="0068C12D" w14:textId="77777777" w:rsidR="008B35A2" w:rsidRPr="0004457F" w:rsidRDefault="008B35A2" w:rsidP="00FF6E4C">
            <w:pPr>
              <w:ind w:left="-360" w:firstLine="360"/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Agenda</w:t>
            </w:r>
          </w:p>
        </w:tc>
        <w:tc>
          <w:tcPr>
            <w:tcW w:w="1213" w:type="dxa"/>
          </w:tcPr>
          <w:p w14:paraId="4DC79B69" w14:textId="77777777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Review</w:t>
            </w:r>
          </w:p>
        </w:tc>
        <w:tc>
          <w:tcPr>
            <w:tcW w:w="6933" w:type="dxa"/>
          </w:tcPr>
          <w:p w14:paraId="45B7EB48" w14:textId="7C062DAE" w:rsidR="00A64113" w:rsidRPr="0004457F" w:rsidRDefault="00A64113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14:paraId="4898038F" w14:textId="05707151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 xml:space="preserve">Charlie </w:t>
            </w:r>
            <w:proofErr w:type="spellStart"/>
            <w:r w:rsidRPr="0004457F">
              <w:rPr>
                <w:sz w:val="20"/>
                <w:szCs w:val="20"/>
              </w:rPr>
              <w:t>Fautin</w:t>
            </w:r>
            <w:proofErr w:type="spellEnd"/>
            <w:r w:rsidRPr="0004457F">
              <w:rPr>
                <w:sz w:val="20"/>
                <w:szCs w:val="20"/>
              </w:rPr>
              <w:t>, CLHO Chair</w:t>
            </w:r>
          </w:p>
        </w:tc>
      </w:tr>
      <w:tr w:rsidR="0004457F" w:rsidRPr="0004457F" w14:paraId="25177413" w14:textId="77777777" w:rsidTr="00840725">
        <w:trPr>
          <w:trHeight w:val="1022"/>
          <w:jc w:val="center"/>
        </w:trPr>
        <w:tc>
          <w:tcPr>
            <w:tcW w:w="1603" w:type="dxa"/>
          </w:tcPr>
          <w:p w14:paraId="01865BDB" w14:textId="448CBA5C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Appointments</w:t>
            </w:r>
          </w:p>
        </w:tc>
        <w:tc>
          <w:tcPr>
            <w:tcW w:w="1213" w:type="dxa"/>
          </w:tcPr>
          <w:p w14:paraId="1A7E825B" w14:textId="77777777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Appoint</w:t>
            </w:r>
          </w:p>
        </w:tc>
        <w:tc>
          <w:tcPr>
            <w:tcW w:w="6933" w:type="dxa"/>
          </w:tcPr>
          <w:p w14:paraId="22F6DD97" w14:textId="583FC08D" w:rsidR="008B35A2" w:rsidRPr="0004457F" w:rsidRDefault="002262BF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Patty Vega</w:t>
            </w:r>
            <w:r w:rsidR="00A64113" w:rsidRPr="000445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Marion</w:t>
            </w:r>
            <w:r w:rsidR="00A64113" w:rsidRPr="0004457F">
              <w:rPr>
                <w:sz w:val="20"/>
                <w:szCs w:val="20"/>
              </w:rPr>
              <w:t xml:space="preserve">)- </w:t>
            </w:r>
            <w:r>
              <w:rPr>
                <w:sz w:val="20"/>
                <w:szCs w:val="20"/>
              </w:rPr>
              <w:t>Communicable Disease</w:t>
            </w:r>
          </w:p>
          <w:p w14:paraId="4E7A6B01" w14:textId="77777777" w:rsidR="00A64113" w:rsidRPr="0004457F" w:rsidRDefault="00A64113" w:rsidP="00FF6E4C">
            <w:pPr>
              <w:rPr>
                <w:sz w:val="20"/>
                <w:szCs w:val="20"/>
              </w:rPr>
            </w:pPr>
          </w:p>
          <w:p w14:paraId="50E8C683" w14:textId="63A7712C" w:rsidR="00A64113" w:rsidRPr="0004457F" w:rsidRDefault="002262BF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Tessa Robinson</w:t>
            </w:r>
            <w:r w:rsidR="00A64113" w:rsidRPr="0004457F">
              <w:rPr>
                <w:sz w:val="20"/>
                <w:szCs w:val="20"/>
              </w:rPr>
              <w:t xml:space="preserve"> (Marion)- </w:t>
            </w:r>
            <w:r w:rsidR="0004457F" w:rsidRPr="0004457F">
              <w:rPr>
                <w:sz w:val="20"/>
                <w:szCs w:val="20"/>
              </w:rPr>
              <w:t>Healthy</w:t>
            </w:r>
            <w:r w:rsidR="00A64113" w:rsidRPr="000445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Families</w:t>
            </w:r>
          </w:p>
        </w:tc>
        <w:tc>
          <w:tcPr>
            <w:tcW w:w="1338" w:type="dxa"/>
          </w:tcPr>
          <w:p w14:paraId="025B8D78" w14:textId="3BCA09DA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 xml:space="preserve">Charlie </w:t>
            </w:r>
            <w:proofErr w:type="spellStart"/>
            <w:r w:rsidRPr="0004457F">
              <w:rPr>
                <w:sz w:val="20"/>
                <w:szCs w:val="20"/>
              </w:rPr>
              <w:t>Fautin</w:t>
            </w:r>
            <w:proofErr w:type="spellEnd"/>
            <w:r w:rsidRPr="0004457F">
              <w:rPr>
                <w:sz w:val="20"/>
                <w:szCs w:val="20"/>
              </w:rPr>
              <w:t>, CLHO Chair</w:t>
            </w:r>
          </w:p>
        </w:tc>
      </w:tr>
      <w:tr w:rsidR="0004457F" w:rsidRPr="0004457F" w14:paraId="6DB8D95F" w14:textId="77777777" w:rsidTr="00840725">
        <w:trPr>
          <w:trHeight w:val="341"/>
          <w:jc w:val="center"/>
        </w:trPr>
        <w:tc>
          <w:tcPr>
            <w:tcW w:w="1603" w:type="dxa"/>
          </w:tcPr>
          <w:p w14:paraId="2A5EDE41" w14:textId="6BBC2117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Minutes</w:t>
            </w:r>
          </w:p>
        </w:tc>
        <w:tc>
          <w:tcPr>
            <w:tcW w:w="1213" w:type="dxa"/>
          </w:tcPr>
          <w:p w14:paraId="14813583" w14:textId="150F9813" w:rsidR="008B35A2" w:rsidRPr="0004457F" w:rsidRDefault="008B35A2" w:rsidP="00FF6E4C">
            <w:pPr>
              <w:rPr>
                <w:b/>
                <w:color w:val="FF0000"/>
                <w:sz w:val="20"/>
                <w:szCs w:val="20"/>
              </w:rPr>
            </w:pPr>
            <w:r w:rsidRPr="0004457F">
              <w:rPr>
                <w:b/>
                <w:color w:val="FF0000"/>
                <w:sz w:val="20"/>
                <w:szCs w:val="20"/>
              </w:rPr>
              <w:t>APPROVE</w:t>
            </w:r>
          </w:p>
        </w:tc>
        <w:tc>
          <w:tcPr>
            <w:tcW w:w="6933" w:type="dxa"/>
          </w:tcPr>
          <w:p w14:paraId="648D6214" w14:textId="4FA85313" w:rsidR="008B35A2" w:rsidRPr="00010345" w:rsidRDefault="002262BF" w:rsidP="002262B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Tricia </w:t>
            </w:r>
            <w:proofErr w:type="spellStart"/>
            <w:r>
              <w:rPr>
                <w:b/>
                <w:i/>
                <w:sz w:val="20"/>
                <w:szCs w:val="20"/>
              </w:rPr>
              <w:t>Mortell</w:t>
            </w:r>
            <w:proofErr w:type="spellEnd"/>
            <w:r w:rsidR="00010345" w:rsidRPr="00010345">
              <w:rPr>
                <w:b/>
                <w:i/>
                <w:sz w:val="20"/>
                <w:szCs w:val="20"/>
              </w:rPr>
              <w:t xml:space="preserve"> moved to approve the </w:t>
            </w:r>
            <w:r>
              <w:rPr>
                <w:b/>
                <w:i/>
                <w:sz w:val="20"/>
                <w:szCs w:val="20"/>
              </w:rPr>
              <w:t xml:space="preserve">December </w:t>
            </w:r>
            <w:r w:rsidR="00010345" w:rsidRPr="00010345">
              <w:rPr>
                <w:b/>
                <w:i/>
                <w:sz w:val="20"/>
                <w:szCs w:val="20"/>
              </w:rPr>
              <w:t>minutes</w:t>
            </w:r>
            <w:r>
              <w:rPr>
                <w:b/>
                <w:i/>
                <w:sz w:val="20"/>
                <w:szCs w:val="20"/>
              </w:rPr>
              <w:t xml:space="preserve">, Muriel </w:t>
            </w:r>
            <w:proofErr w:type="spellStart"/>
            <w:r>
              <w:rPr>
                <w:b/>
                <w:i/>
                <w:sz w:val="20"/>
                <w:szCs w:val="20"/>
              </w:rPr>
              <w:t>DeLaVergne</w:t>
            </w:r>
            <w:proofErr w:type="spellEnd"/>
            <w:r>
              <w:rPr>
                <w:b/>
                <w:i/>
                <w:sz w:val="20"/>
                <w:szCs w:val="20"/>
              </w:rPr>
              <w:t>-Brown</w:t>
            </w:r>
            <w:r w:rsidR="00A64113" w:rsidRPr="00010345">
              <w:rPr>
                <w:b/>
                <w:i/>
                <w:sz w:val="20"/>
                <w:szCs w:val="20"/>
              </w:rPr>
              <w:t xml:space="preserve"> seconds</w:t>
            </w:r>
            <w:r w:rsidR="00010345" w:rsidRPr="00010345">
              <w:rPr>
                <w:b/>
                <w:i/>
                <w:sz w:val="20"/>
                <w:szCs w:val="20"/>
              </w:rPr>
              <w:t xml:space="preserve"> the motion</w:t>
            </w:r>
            <w:r w:rsidR="00A64113" w:rsidRPr="00010345">
              <w:rPr>
                <w:b/>
                <w:i/>
                <w:sz w:val="20"/>
                <w:szCs w:val="20"/>
              </w:rPr>
              <w:t>, all voted in favor, motion passed.</w:t>
            </w:r>
          </w:p>
        </w:tc>
        <w:tc>
          <w:tcPr>
            <w:tcW w:w="1338" w:type="dxa"/>
          </w:tcPr>
          <w:p w14:paraId="3BEEAA86" w14:textId="0D147306" w:rsidR="008B35A2" w:rsidRPr="0004457F" w:rsidRDefault="008B35A2" w:rsidP="00FF6E4C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>All</w:t>
            </w:r>
          </w:p>
        </w:tc>
      </w:tr>
      <w:tr w:rsidR="0004457F" w:rsidRPr="0004457F" w14:paraId="5E1B37A1" w14:textId="77777777" w:rsidTr="00840725">
        <w:trPr>
          <w:trHeight w:val="341"/>
          <w:jc w:val="center"/>
        </w:trPr>
        <w:tc>
          <w:tcPr>
            <w:tcW w:w="1603" w:type="dxa"/>
          </w:tcPr>
          <w:p w14:paraId="1C422B60" w14:textId="09307A30" w:rsidR="00A64113" w:rsidRPr="0004457F" w:rsidRDefault="002262BF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 Health and Economic Benefits of Modernization Report</w:t>
            </w:r>
          </w:p>
        </w:tc>
        <w:tc>
          <w:tcPr>
            <w:tcW w:w="1213" w:type="dxa"/>
          </w:tcPr>
          <w:p w14:paraId="3186C78F" w14:textId="77777777" w:rsidR="00A64113" w:rsidRPr="0004457F" w:rsidRDefault="00A64113" w:rsidP="00FF6E4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33" w:type="dxa"/>
          </w:tcPr>
          <w:p w14:paraId="7EAE8830" w14:textId="77777777" w:rsidR="002262BF" w:rsidRDefault="002262BF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report is available here: </w:t>
            </w:r>
            <w:hyperlink r:id="rId11" w:history="1">
              <w:r w:rsidRPr="006B6E2C">
                <w:rPr>
                  <w:rStyle w:val="Hyperlink"/>
                  <w:sz w:val="20"/>
                  <w:szCs w:val="20"/>
                </w:rPr>
                <w:t>https://public.health.oregon.gov/About/TaskForce/Documents/OHA-9959</w:t>
              </w:r>
              <w:r w:rsidRPr="006B6E2C">
                <w:rPr>
                  <w:rStyle w:val="Hyperlink"/>
                  <w:sz w:val="20"/>
                  <w:szCs w:val="20"/>
                </w:rPr>
                <w:t>-</w:t>
              </w:r>
              <w:r w:rsidRPr="006B6E2C">
                <w:rPr>
                  <w:rStyle w:val="Hyperlink"/>
                  <w:sz w:val="20"/>
                  <w:szCs w:val="20"/>
                </w:rPr>
                <w:t>Modernization-Benefits-Report.pdf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6F61F92" w14:textId="77777777" w:rsidR="002262BF" w:rsidRDefault="002262BF" w:rsidP="00FF6E4C">
            <w:pPr>
              <w:rPr>
                <w:sz w:val="20"/>
                <w:szCs w:val="20"/>
              </w:rPr>
            </w:pPr>
          </w:p>
          <w:p w14:paraId="68A2D066" w14:textId="38CF72A5" w:rsidR="002262BF" w:rsidRPr="002262BF" w:rsidRDefault="002262BF" w:rsidP="002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report is a c</w:t>
            </w:r>
            <w:r w:rsidRPr="002262BF">
              <w:rPr>
                <w:sz w:val="20"/>
                <w:szCs w:val="20"/>
              </w:rPr>
              <w:t>ompanion to modernization assessment report</w:t>
            </w:r>
            <w:r>
              <w:rPr>
                <w:sz w:val="20"/>
                <w:szCs w:val="20"/>
              </w:rPr>
              <w:t xml:space="preserve">. </w:t>
            </w:r>
          </w:p>
          <w:p w14:paraId="4921D0F1" w14:textId="21A3895A" w:rsidR="002262BF" w:rsidRPr="002262BF" w:rsidRDefault="002262BF" w:rsidP="002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takes the funding</w:t>
            </w:r>
            <w:r w:rsidRPr="002262BF">
              <w:rPr>
                <w:sz w:val="20"/>
                <w:szCs w:val="20"/>
              </w:rPr>
              <w:t xml:space="preserve"> gaps</w:t>
            </w:r>
            <w:r>
              <w:rPr>
                <w:sz w:val="20"/>
                <w:szCs w:val="20"/>
              </w:rPr>
              <w:t xml:space="preserve"> identified in the assessment report and quantifies</w:t>
            </w:r>
            <w:r w:rsidRPr="002262BF">
              <w:rPr>
                <w:sz w:val="20"/>
                <w:szCs w:val="20"/>
              </w:rPr>
              <w:t xml:space="preserve"> the economic benefit if </w:t>
            </w:r>
            <w:r>
              <w:rPr>
                <w:sz w:val="20"/>
                <w:szCs w:val="20"/>
              </w:rPr>
              <w:t xml:space="preserve">an investment occurs. </w:t>
            </w:r>
          </w:p>
          <w:p w14:paraId="761EF1E3" w14:textId="77777777" w:rsidR="002262BF" w:rsidRDefault="002262BF" w:rsidP="002262BF">
            <w:pPr>
              <w:rPr>
                <w:sz w:val="20"/>
                <w:szCs w:val="20"/>
              </w:rPr>
            </w:pPr>
          </w:p>
          <w:p w14:paraId="31597901" w14:textId="3C5A7A9F" w:rsidR="002262BF" w:rsidRPr="002262BF" w:rsidRDefault="002262BF" w:rsidP="002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Analysts e</w:t>
            </w:r>
            <w:r w:rsidRPr="002262BF">
              <w:rPr>
                <w:sz w:val="20"/>
                <w:szCs w:val="20"/>
              </w:rPr>
              <w:t>xtrapolated from existing research on ec</w:t>
            </w:r>
            <w:r>
              <w:rPr>
                <w:sz w:val="20"/>
                <w:szCs w:val="20"/>
              </w:rPr>
              <w:t>onomic and health benefits of public health</w:t>
            </w:r>
            <w:r w:rsidRPr="002262BF">
              <w:rPr>
                <w:sz w:val="20"/>
                <w:szCs w:val="20"/>
              </w:rPr>
              <w:t xml:space="preserve"> spending/funding to Oregon</w:t>
            </w:r>
            <w:r>
              <w:rPr>
                <w:sz w:val="20"/>
                <w:szCs w:val="20"/>
              </w:rPr>
              <w:t xml:space="preserve"> data. </w:t>
            </w:r>
          </w:p>
          <w:p w14:paraId="5083F1D4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1C328049" w14:textId="77777777" w:rsidR="002262BF" w:rsidRPr="002262BF" w:rsidRDefault="002262BF" w:rsidP="002262BF">
            <w:pPr>
              <w:rPr>
                <w:b/>
                <w:sz w:val="20"/>
                <w:szCs w:val="20"/>
              </w:rPr>
            </w:pPr>
            <w:r w:rsidRPr="002262BF">
              <w:rPr>
                <w:b/>
                <w:sz w:val="20"/>
                <w:szCs w:val="20"/>
              </w:rPr>
              <w:t xml:space="preserve">Discussion: </w:t>
            </w:r>
          </w:p>
          <w:p w14:paraId="70E14361" w14:textId="6518D489" w:rsidR="002262BF" w:rsidRPr="002262BF" w:rsidRDefault="002262BF" w:rsidP="002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262BF">
              <w:rPr>
                <w:sz w:val="20"/>
                <w:szCs w:val="20"/>
              </w:rPr>
              <w:t xml:space="preserve">ow did </w:t>
            </w:r>
            <w:r>
              <w:rPr>
                <w:sz w:val="20"/>
                <w:szCs w:val="20"/>
              </w:rPr>
              <w:t xml:space="preserve">analysts </w:t>
            </w:r>
            <w:r w:rsidRPr="002262BF">
              <w:rPr>
                <w:sz w:val="20"/>
                <w:szCs w:val="20"/>
              </w:rPr>
              <w:t>determine the burden reduced and break even</w:t>
            </w:r>
            <w:r>
              <w:rPr>
                <w:sz w:val="20"/>
                <w:szCs w:val="20"/>
              </w:rPr>
              <w:t xml:space="preserve"> numbers</w:t>
            </w:r>
            <w:r w:rsidRPr="002262BF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We e</w:t>
            </w:r>
            <w:r w:rsidRPr="002262BF">
              <w:rPr>
                <w:sz w:val="20"/>
                <w:szCs w:val="20"/>
              </w:rPr>
              <w:t xml:space="preserve">xtrapolated research findings and studies from other states to Oregon </w:t>
            </w:r>
            <w:r>
              <w:rPr>
                <w:sz w:val="20"/>
                <w:szCs w:val="20"/>
              </w:rPr>
              <w:t xml:space="preserve">data. </w:t>
            </w:r>
          </w:p>
          <w:p w14:paraId="0CE2D9A0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75C38C7D" w14:textId="4B28ADD1" w:rsidR="002262BF" w:rsidRPr="002262BF" w:rsidRDefault="002262BF" w:rsidP="002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Were studies/literature in environmental health and physical activity</w:t>
            </w:r>
            <w:r w:rsidRPr="002262BF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>o</w:t>
            </w:r>
            <w:r w:rsidRPr="002262BF">
              <w:rPr>
                <w:sz w:val="20"/>
                <w:szCs w:val="20"/>
              </w:rPr>
              <w:t xml:space="preserve"> broad to estimate number of people impacted? Yes.</w:t>
            </w:r>
          </w:p>
          <w:p w14:paraId="69F18E8B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72F66381" w14:textId="72A10AAE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When you talk about savings accrued, are those time bound </w:t>
            </w:r>
            <w:r>
              <w:rPr>
                <w:sz w:val="20"/>
                <w:szCs w:val="20"/>
              </w:rPr>
              <w:t xml:space="preserve">or </w:t>
            </w:r>
            <w:r w:rsidRPr="002262BF">
              <w:rPr>
                <w:sz w:val="20"/>
                <w:szCs w:val="20"/>
              </w:rPr>
              <w:t>are they realized annually? They are an annual one-time estimate. Does not accumulate savings into the future.</w:t>
            </w:r>
          </w:p>
          <w:p w14:paraId="7154331D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1AA28FF2" w14:textId="20BCAC34" w:rsidR="00A461A5" w:rsidRPr="0004457F" w:rsidRDefault="002262BF" w:rsidP="00FF6E4C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The slides at end of presentation—are they something we (LPHA) can communicate externally? Would need to make clear the context that was identified in modernization assessment report.  </w:t>
            </w:r>
          </w:p>
        </w:tc>
        <w:tc>
          <w:tcPr>
            <w:tcW w:w="1338" w:type="dxa"/>
          </w:tcPr>
          <w:p w14:paraId="6978E5F8" w14:textId="6C973E59" w:rsidR="00A64113" w:rsidRPr="0004457F" w:rsidRDefault="002262BF" w:rsidP="00FF6E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Myde</w:t>
            </w:r>
            <w:proofErr w:type="spellEnd"/>
            <w:r>
              <w:rPr>
                <w:sz w:val="20"/>
                <w:szCs w:val="20"/>
              </w:rPr>
              <w:t xml:space="preserve"> Boyles</w:t>
            </w:r>
            <w:r w:rsidR="00010345">
              <w:rPr>
                <w:sz w:val="20"/>
                <w:szCs w:val="20"/>
              </w:rPr>
              <w:t>, PHD/OHA</w:t>
            </w:r>
          </w:p>
        </w:tc>
      </w:tr>
      <w:tr w:rsidR="0004457F" w:rsidRPr="0004457F" w14:paraId="66BC4B91" w14:textId="77777777" w:rsidTr="00840725">
        <w:trPr>
          <w:trHeight w:val="1363"/>
          <w:jc w:val="center"/>
        </w:trPr>
        <w:tc>
          <w:tcPr>
            <w:tcW w:w="1603" w:type="dxa"/>
          </w:tcPr>
          <w:p w14:paraId="745B5C75" w14:textId="531CEEC1" w:rsidR="008B35A2" w:rsidRPr="0004457F" w:rsidRDefault="002262BF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CMS Preparedness Rule Change</w:t>
            </w:r>
          </w:p>
        </w:tc>
        <w:tc>
          <w:tcPr>
            <w:tcW w:w="1213" w:type="dxa"/>
          </w:tcPr>
          <w:p w14:paraId="6FF6D994" w14:textId="2E4D7FA4" w:rsidR="008B35A2" w:rsidRPr="00840725" w:rsidRDefault="00840725" w:rsidP="00FF6E4C">
            <w:pPr>
              <w:rPr>
                <w:sz w:val="20"/>
                <w:szCs w:val="20"/>
              </w:rPr>
            </w:pPr>
            <w:r w:rsidRPr="00840725">
              <w:rPr>
                <w:sz w:val="20"/>
                <w:szCs w:val="20"/>
              </w:rPr>
              <w:t>Update</w:t>
            </w:r>
          </w:p>
        </w:tc>
        <w:tc>
          <w:tcPr>
            <w:tcW w:w="6933" w:type="dxa"/>
          </w:tcPr>
          <w:p w14:paraId="50EFA593" w14:textId="4717F7F9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>CMS rule change has been taking place for quite some time, opportunity to engage partners that do not ty</w:t>
            </w:r>
            <w:r>
              <w:rPr>
                <w:sz w:val="20"/>
                <w:szCs w:val="20"/>
              </w:rPr>
              <w:t xml:space="preserve">pically engage in preparedness efforts. The </w:t>
            </w:r>
            <w:proofErr w:type="gramStart"/>
            <w:r>
              <w:rPr>
                <w:sz w:val="20"/>
                <w:szCs w:val="20"/>
              </w:rPr>
              <w:t>purpose of the rules are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262BF">
              <w:rPr>
                <w:sz w:val="20"/>
                <w:szCs w:val="20"/>
              </w:rPr>
              <w:t xml:space="preserve">to improve patient safety during </w:t>
            </w:r>
            <w:r>
              <w:rPr>
                <w:sz w:val="20"/>
                <w:szCs w:val="20"/>
              </w:rPr>
              <w:t xml:space="preserve">an </w:t>
            </w:r>
            <w:r w:rsidRPr="002262BF">
              <w:rPr>
                <w:sz w:val="20"/>
                <w:szCs w:val="20"/>
              </w:rPr>
              <w:t>emergency</w:t>
            </w:r>
            <w:r>
              <w:rPr>
                <w:sz w:val="20"/>
                <w:szCs w:val="20"/>
              </w:rPr>
              <w:t>.</w:t>
            </w:r>
            <w:r w:rsidRPr="002262BF">
              <w:rPr>
                <w:sz w:val="20"/>
                <w:szCs w:val="20"/>
              </w:rPr>
              <w:t xml:space="preserve"> </w:t>
            </w:r>
          </w:p>
          <w:p w14:paraId="14AFDC0F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6262953B" w14:textId="499FC038" w:rsid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>Pro</w:t>
            </w:r>
            <w:r>
              <w:rPr>
                <w:sz w:val="20"/>
                <w:szCs w:val="20"/>
              </w:rPr>
              <w:t>viders impacted by rule change include d</w:t>
            </w:r>
            <w:r w:rsidRPr="002262BF">
              <w:rPr>
                <w:sz w:val="20"/>
                <w:szCs w:val="20"/>
              </w:rPr>
              <w:t>ialysis facility, birthing centers, hospice/home hea</w:t>
            </w:r>
            <w:r>
              <w:rPr>
                <w:sz w:val="20"/>
                <w:szCs w:val="20"/>
              </w:rPr>
              <w:t xml:space="preserve">lth, </w:t>
            </w:r>
            <w:proofErr w:type="gramStart"/>
            <w:r>
              <w:rPr>
                <w:sz w:val="20"/>
                <w:szCs w:val="20"/>
              </w:rPr>
              <w:t>rural</w:t>
            </w:r>
            <w:proofErr w:type="gramEnd"/>
            <w:r>
              <w:rPr>
                <w:sz w:val="20"/>
                <w:szCs w:val="20"/>
              </w:rPr>
              <w:t xml:space="preserve"> health clinics, FQHCs. </w:t>
            </w:r>
          </w:p>
          <w:p w14:paraId="109DFDE3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7B03D15F" w14:textId="3F63A9B5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Expected to comply in certain areas, will need to have an assessment as well as policy and procedures updated annually, training, some will need </w:t>
            </w:r>
            <w:r>
              <w:rPr>
                <w:sz w:val="20"/>
                <w:szCs w:val="20"/>
              </w:rPr>
              <w:t xml:space="preserve">an </w:t>
            </w:r>
            <w:r w:rsidRPr="002262BF">
              <w:rPr>
                <w:sz w:val="20"/>
                <w:szCs w:val="20"/>
              </w:rPr>
              <w:t>emergency power plan</w:t>
            </w:r>
            <w:r>
              <w:rPr>
                <w:sz w:val="20"/>
                <w:szCs w:val="20"/>
              </w:rPr>
              <w:t>.</w:t>
            </w:r>
          </w:p>
          <w:p w14:paraId="5C841AA7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29AB0447" w14:textId="07209A90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Surveyors of rules will be trained on new rules. </w:t>
            </w:r>
            <w:r>
              <w:rPr>
                <w:sz w:val="20"/>
                <w:szCs w:val="20"/>
              </w:rPr>
              <w:t xml:space="preserve">Hospital Preparedness </w:t>
            </w:r>
            <w:r w:rsidRPr="002262B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 w:rsidRPr="00226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(HPP) </w:t>
            </w:r>
            <w:r w:rsidRPr="002262BF">
              <w:rPr>
                <w:sz w:val="20"/>
                <w:szCs w:val="20"/>
              </w:rPr>
              <w:t>funds will be available but cannot g</w:t>
            </w:r>
            <w:r>
              <w:rPr>
                <w:sz w:val="20"/>
                <w:szCs w:val="20"/>
              </w:rPr>
              <w:t xml:space="preserve">o to individual facilities, for example LHDs and HPP could build Long Term Care </w:t>
            </w:r>
            <w:r w:rsidR="008C5301">
              <w:rPr>
                <w:sz w:val="20"/>
                <w:szCs w:val="20"/>
              </w:rPr>
              <w:t xml:space="preserve">(LTC) </w:t>
            </w:r>
            <w:r w:rsidRPr="002262BF">
              <w:rPr>
                <w:sz w:val="20"/>
                <w:szCs w:val="20"/>
              </w:rPr>
              <w:t xml:space="preserve">facility template could use funding to do so. </w:t>
            </w:r>
          </w:p>
          <w:p w14:paraId="20CFDF34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61B28556" w14:textId="77777777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>Discussion:</w:t>
            </w:r>
          </w:p>
          <w:p w14:paraId="18B21DF8" w14:textId="40D0A4D7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In Washington </w:t>
            </w:r>
            <w:r w:rsidR="008C5301">
              <w:rPr>
                <w:sz w:val="20"/>
                <w:szCs w:val="20"/>
              </w:rPr>
              <w:t xml:space="preserve">we </w:t>
            </w:r>
            <w:r w:rsidRPr="002262BF">
              <w:rPr>
                <w:sz w:val="20"/>
                <w:szCs w:val="20"/>
              </w:rPr>
              <w:t>have stru</w:t>
            </w:r>
            <w:r w:rsidR="008C5301">
              <w:rPr>
                <w:sz w:val="20"/>
                <w:szCs w:val="20"/>
              </w:rPr>
              <w:t xml:space="preserve">ggled to engage LTC facilities, and one </w:t>
            </w:r>
            <w:r w:rsidRPr="002262BF">
              <w:rPr>
                <w:sz w:val="20"/>
                <w:szCs w:val="20"/>
              </w:rPr>
              <w:t xml:space="preserve">part of </w:t>
            </w:r>
            <w:r w:rsidR="008C5301">
              <w:rPr>
                <w:sz w:val="20"/>
                <w:szCs w:val="20"/>
              </w:rPr>
              <w:t>the conversation</w:t>
            </w:r>
            <w:r w:rsidRPr="002262BF">
              <w:rPr>
                <w:sz w:val="20"/>
                <w:szCs w:val="20"/>
              </w:rPr>
              <w:t xml:space="preserve"> is that </w:t>
            </w:r>
            <w:r w:rsidR="008C5301">
              <w:rPr>
                <w:sz w:val="20"/>
                <w:szCs w:val="20"/>
              </w:rPr>
              <w:t xml:space="preserve">some </w:t>
            </w:r>
            <w:r w:rsidRPr="002262BF">
              <w:rPr>
                <w:sz w:val="20"/>
                <w:szCs w:val="20"/>
              </w:rPr>
              <w:t>LTC</w:t>
            </w:r>
            <w:r w:rsidR="008C5301">
              <w:rPr>
                <w:sz w:val="20"/>
                <w:szCs w:val="20"/>
              </w:rPr>
              <w:t>s</w:t>
            </w:r>
            <w:r w:rsidRPr="002262BF">
              <w:rPr>
                <w:sz w:val="20"/>
                <w:szCs w:val="20"/>
              </w:rPr>
              <w:t xml:space="preserve"> are a</w:t>
            </w:r>
            <w:r w:rsidR="008C5301">
              <w:rPr>
                <w:sz w:val="20"/>
                <w:szCs w:val="20"/>
              </w:rPr>
              <w:t xml:space="preserve"> </w:t>
            </w:r>
            <w:r w:rsidRPr="002262BF">
              <w:rPr>
                <w:sz w:val="20"/>
                <w:szCs w:val="20"/>
              </w:rPr>
              <w:t xml:space="preserve">part of state or national organizations making it difficult to engage with leadership. </w:t>
            </w:r>
          </w:p>
          <w:p w14:paraId="043471E3" w14:textId="77777777" w:rsidR="002262BF" w:rsidRPr="002262BF" w:rsidRDefault="002262BF" w:rsidP="002262BF">
            <w:pPr>
              <w:rPr>
                <w:sz w:val="20"/>
                <w:szCs w:val="20"/>
              </w:rPr>
            </w:pPr>
          </w:p>
          <w:p w14:paraId="6B01CD2E" w14:textId="77777777" w:rsidR="002262BF" w:rsidRPr="002262BF" w:rsidRDefault="002262BF" w:rsidP="002262BF">
            <w:pPr>
              <w:rPr>
                <w:sz w:val="20"/>
                <w:szCs w:val="20"/>
              </w:rPr>
            </w:pPr>
            <w:r w:rsidRPr="002262BF">
              <w:rPr>
                <w:sz w:val="20"/>
                <w:szCs w:val="20"/>
              </w:rPr>
              <w:t xml:space="preserve">What is included in LTC, only skilled nursing facilities, or other levels as well? Only including skilled nursing due to federal regulations. However there are campuses that have a spectrum of services, and in those cases does not make sense to just engage skilled nursing. </w:t>
            </w:r>
          </w:p>
          <w:p w14:paraId="3DC354B4" w14:textId="6DCFC9C3" w:rsidR="00A64113" w:rsidRPr="0004457F" w:rsidRDefault="00A64113" w:rsidP="00FF6E4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72773010" w14:textId="62533CB9" w:rsidR="00840725" w:rsidRPr="00840725" w:rsidRDefault="00840725" w:rsidP="00840725">
            <w:pPr>
              <w:rPr>
                <w:sz w:val="20"/>
                <w:szCs w:val="20"/>
              </w:rPr>
            </w:pPr>
            <w:r w:rsidRPr="00840725">
              <w:rPr>
                <w:sz w:val="20"/>
                <w:szCs w:val="20"/>
              </w:rPr>
              <w:t xml:space="preserve">Dana </w:t>
            </w:r>
            <w:proofErr w:type="spellStart"/>
            <w:r w:rsidRPr="00840725">
              <w:rPr>
                <w:sz w:val="20"/>
                <w:szCs w:val="20"/>
              </w:rPr>
              <w:t>Selover</w:t>
            </w:r>
            <w:proofErr w:type="spellEnd"/>
            <w:r w:rsidRPr="00840725">
              <w:rPr>
                <w:sz w:val="20"/>
                <w:szCs w:val="20"/>
              </w:rPr>
              <w:t xml:space="preserve"> &amp; Akiko Saito, PHD</w:t>
            </w:r>
            <w:r>
              <w:rPr>
                <w:sz w:val="20"/>
                <w:szCs w:val="20"/>
              </w:rPr>
              <w:t>/OHA</w:t>
            </w:r>
          </w:p>
          <w:p w14:paraId="6C060450" w14:textId="36ABA8CA" w:rsidR="008B35A2" w:rsidRPr="0004457F" w:rsidRDefault="008B35A2" w:rsidP="00FF6E4C">
            <w:pPr>
              <w:rPr>
                <w:sz w:val="20"/>
                <w:szCs w:val="20"/>
              </w:rPr>
            </w:pPr>
          </w:p>
        </w:tc>
      </w:tr>
      <w:tr w:rsidR="0004457F" w:rsidRPr="0004457F" w14:paraId="215AA98D" w14:textId="77777777" w:rsidTr="00840725">
        <w:trPr>
          <w:trHeight w:val="1363"/>
          <w:jc w:val="center"/>
        </w:trPr>
        <w:tc>
          <w:tcPr>
            <w:tcW w:w="1603" w:type="dxa"/>
          </w:tcPr>
          <w:p w14:paraId="4DD366DD" w14:textId="5F28AE27" w:rsidR="008B35A2" w:rsidRDefault="0050717C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Communities</w:t>
            </w:r>
          </w:p>
          <w:p w14:paraId="36ADFC63" w14:textId="76F7B2B4" w:rsidR="0050717C" w:rsidRPr="0004457F" w:rsidRDefault="0050717C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for Cancer Prevention Proposal </w:t>
            </w:r>
          </w:p>
          <w:p w14:paraId="621C56FE" w14:textId="5F537E7C" w:rsidR="008B35A2" w:rsidRPr="0004457F" w:rsidRDefault="008B35A2" w:rsidP="00FF6E4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14:paraId="74423EE3" w14:textId="315D877D" w:rsidR="008B35A2" w:rsidRPr="0004457F" w:rsidRDefault="008B35A2" w:rsidP="00FF6E4C">
            <w:pPr>
              <w:rPr>
                <w:b/>
                <w:color w:val="FF0000"/>
                <w:sz w:val="20"/>
                <w:szCs w:val="20"/>
              </w:rPr>
            </w:pPr>
            <w:r w:rsidRPr="0004457F">
              <w:rPr>
                <w:b/>
                <w:color w:val="FF0000"/>
                <w:sz w:val="20"/>
                <w:szCs w:val="20"/>
              </w:rPr>
              <w:t>APPROVE</w:t>
            </w:r>
          </w:p>
        </w:tc>
        <w:tc>
          <w:tcPr>
            <w:tcW w:w="6933" w:type="dxa"/>
          </w:tcPr>
          <w:p w14:paraId="106D1746" w14:textId="3191AFA4" w:rsidR="0050717C" w:rsidRPr="0050717C" w:rsidRDefault="0050717C" w:rsidP="0050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f</w:t>
            </w:r>
            <w:r w:rsidRPr="0050717C">
              <w:rPr>
                <w:sz w:val="20"/>
                <w:szCs w:val="20"/>
              </w:rPr>
              <w:t>unding</w:t>
            </w:r>
            <w:r>
              <w:rPr>
                <w:sz w:val="20"/>
                <w:szCs w:val="20"/>
              </w:rPr>
              <w:t xml:space="preserve"> opportunity</w:t>
            </w:r>
            <w:r w:rsidRPr="0050717C">
              <w:rPr>
                <w:sz w:val="20"/>
                <w:szCs w:val="20"/>
              </w:rPr>
              <w:t xml:space="preserve"> from </w:t>
            </w:r>
            <w:r>
              <w:rPr>
                <w:sz w:val="20"/>
                <w:szCs w:val="20"/>
              </w:rPr>
              <w:t xml:space="preserve">the </w:t>
            </w:r>
            <w:r w:rsidRPr="0050717C">
              <w:rPr>
                <w:sz w:val="20"/>
                <w:szCs w:val="20"/>
              </w:rPr>
              <w:t>CDC to support Cancer Prevention</w:t>
            </w:r>
            <w:r>
              <w:rPr>
                <w:sz w:val="20"/>
                <w:szCs w:val="20"/>
              </w:rPr>
              <w:t>. It is a collaborative cancer grant that combines</w:t>
            </w:r>
            <w:r w:rsidRPr="0050717C">
              <w:rPr>
                <w:sz w:val="20"/>
                <w:szCs w:val="20"/>
              </w:rPr>
              <w:t xml:space="preserve"> comprehensive cancer and cancer registry grant, breast and cervical grant</w:t>
            </w:r>
            <w:r>
              <w:rPr>
                <w:sz w:val="20"/>
                <w:szCs w:val="20"/>
              </w:rPr>
              <w:t>s—CDC is l</w:t>
            </w:r>
            <w:r w:rsidRPr="0050717C">
              <w:rPr>
                <w:sz w:val="20"/>
                <w:szCs w:val="20"/>
              </w:rPr>
              <w:t xml:space="preserve">ooking </w:t>
            </w:r>
            <w:r>
              <w:rPr>
                <w:sz w:val="20"/>
                <w:szCs w:val="20"/>
              </w:rPr>
              <w:t xml:space="preserve">at an </w:t>
            </w:r>
            <w:r w:rsidRPr="0050717C">
              <w:rPr>
                <w:sz w:val="20"/>
                <w:szCs w:val="20"/>
              </w:rPr>
              <w:t>integrative approach.</w:t>
            </w:r>
          </w:p>
          <w:p w14:paraId="442284A3" w14:textId="77777777" w:rsidR="0050717C" w:rsidRPr="0050717C" w:rsidRDefault="0050717C" w:rsidP="0050717C">
            <w:pPr>
              <w:rPr>
                <w:sz w:val="20"/>
                <w:szCs w:val="20"/>
              </w:rPr>
            </w:pPr>
          </w:p>
          <w:p w14:paraId="65E001A1" w14:textId="134A4BC8" w:rsidR="0050717C" w:rsidRPr="0050717C" w:rsidRDefault="0050717C" w:rsidP="0050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grant amount is </w:t>
            </w:r>
            <w:r w:rsidRPr="0050717C">
              <w:rPr>
                <w:sz w:val="20"/>
                <w:szCs w:val="20"/>
              </w:rPr>
              <w:t xml:space="preserve">~$2M </w:t>
            </w:r>
            <w:r>
              <w:rPr>
                <w:sz w:val="20"/>
                <w:szCs w:val="20"/>
              </w:rPr>
              <w:t xml:space="preserve">and the grant period would be </w:t>
            </w:r>
            <w:r w:rsidRPr="0050717C">
              <w:rPr>
                <w:sz w:val="20"/>
                <w:szCs w:val="20"/>
              </w:rPr>
              <w:t>July 2017-June 2022</w:t>
            </w:r>
            <w:r>
              <w:rPr>
                <w:sz w:val="20"/>
                <w:szCs w:val="20"/>
              </w:rPr>
              <w:t>.</w:t>
            </w:r>
          </w:p>
          <w:p w14:paraId="1874D377" w14:textId="77777777" w:rsidR="0050717C" w:rsidRDefault="0050717C" w:rsidP="0050717C">
            <w:pPr>
              <w:rPr>
                <w:sz w:val="20"/>
                <w:szCs w:val="20"/>
              </w:rPr>
            </w:pPr>
          </w:p>
          <w:p w14:paraId="3E55C37D" w14:textId="7B3979BC" w:rsidR="0050717C" w:rsidRPr="0050717C" w:rsidRDefault="0050717C" w:rsidP="0050717C">
            <w:pPr>
              <w:rPr>
                <w:b/>
                <w:sz w:val="20"/>
                <w:szCs w:val="20"/>
              </w:rPr>
            </w:pPr>
            <w:r w:rsidRPr="0050717C">
              <w:rPr>
                <w:b/>
                <w:sz w:val="20"/>
                <w:szCs w:val="20"/>
              </w:rPr>
              <w:t>Discussion:</w:t>
            </w:r>
          </w:p>
          <w:p w14:paraId="54E14463" w14:textId="254C7D17" w:rsidR="0050717C" w:rsidRPr="0050717C" w:rsidRDefault="0050717C" w:rsidP="0050717C">
            <w:pPr>
              <w:rPr>
                <w:sz w:val="20"/>
                <w:szCs w:val="20"/>
              </w:rPr>
            </w:pPr>
            <w:r w:rsidRPr="0050717C">
              <w:rPr>
                <w:sz w:val="20"/>
                <w:szCs w:val="20"/>
              </w:rPr>
              <w:t>Is this maintaining</w:t>
            </w:r>
            <w:r>
              <w:rPr>
                <w:sz w:val="20"/>
                <w:szCs w:val="20"/>
              </w:rPr>
              <w:t xml:space="preserve"> current</w:t>
            </w:r>
            <w:r w:rsidRPr="0050717C">
              <w:rPr>
                <w:sz w:val="20"/>
                <w:szCs w:val="20"/>
              </w:rPr>
              <w:t xml:space="preserve"> funding </w:t>
            </w:r>
            <w:r>
              <w:rPr>
                <w:sz w:val="20"/>
                <w:szCs w:val="20"/>
              </w:rPr>
              <w:t xml:space="preserve">levels </w:t>
            </w:r>
            <w:r w:rsidRPr="0050717C">
              <w:rPr>
                <w:sz w:val="20"/>
                <w:szCs w:val="20"/>
              </w:rPr>
              <w:t>going out through healthy communities?</w:t>
            </w:r>
          </w:p>
          <w:p w14:paraId="484E0A19" w14:textId="77777777" w:rsidR="0050717C" w:rsidRPr="0050717C" w:rsidRDefault="0050717C" w:rsidP="0050717C">
            <w:pPr>
              <w:rPr>
                <w:sz w:val="20"/>
                <w:szCs w:val="20"/>
              </w:rPr>
            </w:pPr>
          </w:p>
          <w:p w14:paraId="74E6464F" w14:textId="77777777" w:rsidR="0050717C" w:rsidRPr="0050717C" w:rsidRDefault="0050717C" w:rsidP="0050717C">
            <w:pPr>
              <w:rPr>
                <w:sz w:val="20"/>
                <w:szCs w:val="20"/>
              </w:rPr>
            </w:pPr>
            <w:r w:rsidRPr="0050717C">
              <w:rPr>
                <w:sz w:val="20"/>
                <w:szCs w:val="20"/>
              </w:rPr>
              <w:t xml:space="preserve">Is there a way to tie future funding to formula developed by PHAB? </w:t>
            </w:r>
          </w:p>
          <w:p w14:paraId="41242DC0" w14:textId="77777777" w:rsidR="0050717C" w:rsidRPr="0050717C" w:rsidRDefault="0050717C" w:rsidP="0050717C">
            <w:pPr>
              <w:rPr>
                <w:sz w:val="20"/>
                <w:szCs w:val="20"/>
              </w:rPr>
            </w:pPr>
          </w:p>
          <w:p w14:paraId="23FBEBB4" w14:textId="77777777" w:rsidR="0050717C" w:rsidRPr="0050717C" w:rsidRDefault="0050717C" w:rsidP="0050717C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>Motion-</w:t>
            </w:r>
          </w:p>
          <w:p w14:paraId="128E20C6" w14:textId="45F044F1" w:rsidR="0050717C" w:rsidRPr="0050717C" w:rsidRDefault="0050717C" w:rsidP="0050717C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 xml:space="preserve">Healthy Communities is recommending approval of the LOS, all voted in favor, motion passed. </w:t>
            </w:r>
          </w:p>
          <w:p w14:paraId="4093CBDE" w14:textId="77060DAF" w:rsidR="00295851" w:rsidRPr="0004457F" w:rsidRDefault="00295851" w:rsidP="00A461A5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044082F2" w14:textId="33555057" w:rsidR="00840725" w:rsidRPr="00840725" w:rsidRDefault="00840725" w:rsidP="00840725">
            <w:pPr>
              <w:rPr>
                <w:sz w:val="20"/>
                <w:szCs w:val="20"/>
              </w:rPr>
            </w:pPr>
            <w:r w:rsidRPr="00840725">
              <w:rPr>
                <w:sz w:val="20"/>
                <w:szCs w:val="20"/>
              </w:rPr>
              <w:t xml:space="preserve">Jocelyn Warren, Lane &amp; Patricia </w:t>
            </w:r>
            <w:proofErr w:type="spellStart"/>
            <w:r w:rsidRPr="00840725">
              <w:rPr>
                <w:sz w:val="20"/>
                <w:szCs w:val="20"/>
              </w:rPr>
              <w:t>Schoonmaker</w:t>
            </w:r>
            <w:proofErr w:type="spellEnd"/>
            <w:r w:rsidRPr="00840725">
              <w:rPr>
                <w:sz w:val="20"/>
                <w:szCs w:val="20"/>
              </w:rPr>
              <w:t>, PHD</w:t>
            </w:r>
            <w:r>
              <w:rPr>
                <w:sz w:val="20"/>
                <w:szCs w:val="20"/>
              </w:rPr>
              <w:t>/OHA</w:t>
            </w:r>
          </w:p>
          <w:p w14:paraId="2C738AE5" w14:textId="6E2688C6" w:rsidR="008B35A2" w:rsidRPr="0004457F" w:rsidRDefault="008B35A2" w:rsidP="00767C07">
            <w:pPr>
              <w:rPr>
                <w:sz w:val="20"/>
                <w:szCs w:val="20"/>
              </w:rPr>
            </w:pPr>
          </w:p>
        </w:tc>
      </w:tr>
      <w:tr w:rsidR="0004457F" w:rsidRPr="0004457F" w14:paraId="16E83B2D" w14:textId="77777777" w:rsidTr="00840725">
        <w:trPr>
          <w:trHeight w:val="530"/>
          <w:jc w:val="center"/>
        </w:trPr>
        <w:tc>
          <w:tcPr>
            <w:tcW w:w="1603" w:type="dxa"/>
          </w:tcPr>
          <w:p w14:paraId="1533D3A5" w14:textId="4882CBD6" w:rsidR="008B35A2" w:rsidRPr="0004457F" w:rsidRDefault="0050717C" w:rsidP="00EF5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Health IGA</w:t>
            </w:r>
          </w:p>
        </w:tc>
        <w:tc>
          <w:tcPr>
            <w:tcW w:w="1213" w:type="dxa"/>
          </w:tcPr>
          <w:p w14:paraId="004B274E" w14:textId="74F67506" w:rsidR="008B35A2" w:rsidRPr="00235866" w:rsidRDefault="0050717C" w:rsidP="00235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</w:t>
            </w:r>
          </w:p>
        </w:tc>
        <w:tc>
          <w:tcPr>
            <w:tcW w:w="6933" w:type="dxa"/>
          </w:tcPr>
          <w:p w14:paraId="79D9444F" w14:textId="1A641663" w:rsidR="0050717C" w:rsidRPr="0050717C" w:rsidRDefault="0050717C" w:rsidP="0050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CLEHS and County Contracts have</w:t>
            </w:r>
            <w:r w:rsidRPr="0050717C">
              <w:rPr>
                <w:sz w:val="20"/>
                <w:szCs w:val="20"/>
              </w:rPr>
              <w:t xml:space="preserve"> approved the IGA as drafted. </w:t>
            </w:r>
          </w:p>
          <w:p w14:paraId="1F1E8F66" w14:textId="18F94702" w:rsidR="0050717C" w:rsidRPr="0050717C" w:rsidRDefault="0050717C" w:rsidP="0050717C">
            <w:pPr>
              <w:rPr>
                <w:sz w:val="20"/>
                <w:szCs w:val="20"/>
              </w:rPr>
            </w:pPr>
            <w:r w:rsidRPr="0050717C">
              <w:rPr>
                <w:sz w:val="20"/>
                <w:szCs w:val="20"/>
              </w:rPr>
              <w:t xml:space="preserve">Only concern is that it says county authorized representative, in some cases </w:t>
            </w:r>
            <w:r>
              <w:rPr>
                <w:sz w:val="20"/>
                <w:szCs w:val="20"/>
              </w:rPr>
              <w:t xml:space="preserve">county may not be the authority, </w:t>
            </w:r>
            <w:proofErr w:type="gramStart"/>
            <w:r>
              <w:rPr>
                <w:sz w:val="20"/>
                <w:szCs w:val="20"/>
              </w:rPr>
              <w:t>this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50717C">
              <w:rPr>
                <w:sz w:val="20"/>
                <w:szCs w:val="20"/>
              </w:rPr>
              <w:t>can</w:t>
            </w:r>
            <w:r>
              <w:rPr>
                <w:sz w:val="20"/>
                <w:szCs w:val="20"/>
              </w:rPr>
              <w:t xml:space="preserve"> be</w:t>
            </w:r>
            <w:r w:rsidRPr="0050717C">
              <w:rPr>
                <w:sz w:val="20"/>
                <w:szCs w:val="20"/>
              </w:rPr>
              <w:t xml:space="preserve"> work</w:t>
            </w:r>
            <w:r>
              <w:rPr>
                <w:sz w:val="20"/>
                <w:szCs w:val="20"/>
              </w:rPr>
              <w:t>ed</w:t>
            </w:r>
            <w:r w:rsidRPr="0050717C">
              <w:rPr>
                <w:sz w:val="20"/>
                <w:szCs w:val="20"/>
              </w:rPr>
              <w:t xml:space="preserve"> out with LHDs that have unique circumstance</w:t>
            </w:r>
            <w:r>
              <w:rPr>
                <w:sz w:val="20"/>
                <w:szCs w:val="20"/>
              </w:rPr>
              <w:t>.</w:t>
            </w:r>
          </w:p>
          <w:p w14:paraId="727009E7" w14:textId="77777777" w:rsidR="0050717C" w:rsidRPr="0050717C" w:rsidRDefault="0050717C" w:rsidP="0050717C">
            <w:pPr>
              <w:rPr>
                <w:sz w:val="20"/>
                <w:szCs w:val="20"/>
              </w:rPr>
            </w:pPr>
          </w:p>
          <w:p w14:paraId="2E25D94A" w14:textId="7D0DC33F" w:rsidR="0050717C" w:rsidRPr="0050717C" w:rsidRDefault="0050717C" w:rsidP="0050717C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>Motion-</w:t>
            </w:r>
          </w:p>
          <w:p w14:paraId="4F38D88E" w14:textId="40922965" w:rsidR="0050717C" w:rsidRPr="0050717C" w:rsidRDefault="0050717C" w:rsidP="0050717C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 xml:space="preserve">CLEHS recommends approval of Environmental Health IGA, all voted </w:t>
            </w:r>
            <w:r>
              <w:rPr>
                <w:b/>
                <w:i/>
                <w:sz w:val="20"/>
                <w:szCs w:val="20"/>
              </w:rPr>
              <w:t xml:space="preserve">in favor, </w:t>
            </w:r>
            <w:r w:rsidRPr="0050717C">
              <w:rPr>
                <w:b/>
                <w:i/>
                <w:sz w:val="20"/>
                <w:szCs w:val="20"/>
              </w:rPr>
              <w:t xml:space="preserve">motion passed. </w:t>
            </w:r>
          </w:p>
          <w:p w14:paraId="15FC3B97" w14:textId="35D0B014" w:rsidR="006F63BA" w:rsidRPr="0004457F" w:rsidRDefault="006F63BA" w:rsidP="0050717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5E2F7DF4" w14:textId="74A56ABD" w:rsidR="008B35A2" w:rsidRPr="0004457F" w:rsidRDefault="0050717C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Brown, CLEHS</w:t>
            </w:r>
          </w:p>
        </w:tc>
      </w:tr>
      <w:tr w:rsidR="0004457F" w:rsidRPr="0004457F" w14:paraId="023F0CDE" w14:textId="77777777" w:rsidTr="00840725">
        <w:trPr>
          <w:trHeight w:val="681"/>
          <w:jc w:val="center"/>
        </w:trPr>
        <w:tc>
          <w:tcPr>
            <w:tcW w:w="1603" w:type="dxa"/>
          </w:tcPr>
          <w:p w14:paraId="6830A4ED" w14:textId="4B2B8D90" w:rsidR="008B35A2" w:rsidRPr="0004457F" w:rsidRDefault="0050717C" w:rsidP="00767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Families Title X Funding</w:t>
            </w:r>
          </w:p>
        </w:tc>
        <w:tc>
          <w:tcPr>
            <w:tcW w:w="1213" w:type="dxa"/>
          </w:tcPr>
          <w:p w14:paraId="2D340C63" w14:textId="11AB0952" w:rsidR="008B35A2" w:rsidRPr="0004457F" w:rsidRDefault="0050717C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</w:t>
            </w:r>
          </w:p>
        </w:tc>
        <w:tc>
          <w:tcPr>
            <w:tcW w:w="6933" w:type="dxa"/>
          </w:tcPr>
          <w:p w14:paraId="20D8E133" w14:textId="249EEDAB" w:rsidR="0050717C" w:rsidRPr="0050717C" w:rsidRDefault="0050717C" w:rsidP="0050717C">
            <w:pPr>
              <w:rPr>
                <w:sz w:val="20"/>
                <w:szCs w:val="20"/>
              </w:rPr>
            </w:pPr>
            <w:r w:rsidRPr="0050717C">
              <w:rPr>
                <w:sz w:val="20"/>
                <w:szCs w:val="20"/>
              </w:rPr>
              <w:t xml:space="preserve">Helene </w:t>
            </w:r>
            <w:proofErr w:type="spellStart"/>
            <w:r w:rsidRPr="0050717C">
              <w:rPr>
                <w:sz w:val="20"/>
                <w:szCs w:val="20"/>
              </w:rPr>
              <w:t>Rimberg</w:t>
            </w:r>
            <w:proofErr w:type="spellEnd"/>
            <w:r w:rsidRPr="0050717C">
              <w:rPr>
                <w:sz w:val="20"/>
                <w:szCs w:val="20"/>
              </w:rPr>
              <w:t xml:space="preserve"> came </w:t>
            </w:r>
            <w:r>
              <w:rPr>
                <w:sz w:val="20"/>
                <w:szCs w:val="20"/>
              </w:rPr>
              <w:t xml:space="preserve">to Healthy Structure in August there was a </w:t>
            </w:r>
            <w:r w:rsidRPr="0050717C">
              <w:rPr>
                <w:sz w:val="20"/>
                <w:szCs w:val="20"/>
              </w:rPr>
              <w:t xml:space="preserve">question </w:t>
            </w:r>
            <w:r>
              <w:rPr>
                <w:sz w:val="20"/>
                <w:szCs w:val="20"/>
              </w:rPr>
              <w:t xml:space="preserve">from the committee </w:t>
            </w:r>
            <w:r w:rsidRPr="0050717C">
              <w:rPr>
                <w:sz w:val="20"/>
                <w:szCs w:val="20"/>
              </w:rPr>
              <w:t>abou</w:t>
            </w:r>
            <w:r>
              <w:rPr>
                <w:sz w:val="20"/>
                <w:szCs w:val="20"/>
              </w:rPr>
              <w:t>t delay in client based number. The c</w:t>
            </w:r>
            <w:r w:rsidRPr="0050717C">
              <w:rPr>
                <w:sz w:val="20"/>
                <w:szCs w:val="20"/>
              </w:rPr>
              <w:t xml:space="preserve">lient numbers </w:t>
            </w:r>
            <w:r>
              <w:rPr>
                <w:sz w:val="20"/>
                <w:szCs w:val="20"/>
              </w:rPr>
              <w:t xml:space="preserve">for Title X funding </w:t>
            </w:r>
            <w:r w:rsidRPr="0050717C">
              <w:rPr>
                <w:sz w:val="20"/>
                <w:szCs w:val="20"/>
              </w:rPr>
              <w:t xml:space="preserve">will now be based on prior calendar year. </w:t>
            </w:r>
          </w:p>
          <w:p w14:paraId="3B4437B2" w14:textId="77777777" w:rsidR="0050717C" w:rsidRDefault="0050717C" w:rsidP="0050717C">
            <w:pPr>
              <w:rPr>
                <w:sz w:val="20"/>
                <w:szCs w:val="20"/>
              </w:rPr>
            </w:pPr>
          </w:p>
          <w:p w14:paraId="113CD489" w14:textId="65B2563F" w:rsidR="0050717C" w:rsidRPr="0050717C" w:rsidRDefault="0050717C" w:rsidP="0050717C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>Motion:</w:t>
            </w:r>
          </w:p>
          <w:p w14:paraId="49DBC05C" w14:textId="408E907D" w:rsidR="008B35A2" w:rsidRPr="0050717C" w:rsidRDefault="0050717C" w:rsidP="005D4770">
            <w:pPr>
              <w:rPr>
                <w:b/>
                <w:i/>
                <w:sz w:val="20"/>
                <w:szCs w:val="20"/>
              </w:rPr>
            </w:pPr>
            <w:r w:rsidRPr="0050717C">
              <w:rPr>
                <w:b/>
                <w:i/>
                <w:sz w:val="20"/>
                <w:szCs w:val="20"/>
              </w:rPr>
              <w:t>CLHO healthy families and healthy structure recommend appro</w:t>
            </w:r>
            <w:r>
              <w:rPr>
                <w:b/>
                <w:i/>
                <w:sz w:val="20"/>
                <w:szCs w:val="20"/>
              </w:rPr>
              <w:t xml:space="preserve">val of funding formula change, all voted in favor, </w:t>
            </w:r>
            <w:r w:rsidRPr="0050717C">
              <w:rPr>
                <w:b/>
                <w:i/>
                <w:sz w:val="20"/>
                <w:szCs w:val="20"/>
              </w:rPr>
              <w:t xml:space="preserve">motion passed. </w:t>
            </w:r>
          </w:p>
          <w:p w14:paraId="35CF67BE" w14:textId="77105D64" w:rsidR="005D4770" w:rsidRPr="0004457F" w:rsidRDefault="005D4770" w:rsidP="005D4770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191209CA" w14:textId="6AF7E86E" w:rsidR="008B35A2" w:rsidRDefault="0050717C" w:rsidP="0050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Crozier</w:t>
            </w:r>
            <w:r w:rsidR="00840725">
              <w:rPr>
                <w:sz w:val="20"/>
                <w:szCs w:val="20"/>
              </w:rPr>
              <w:t>,</w:t>
            </w:r>
          </w:p>
          <w:p w14:paraId="40CC0835" w14:textId="640E3CBC" w:rsidR="0050717C" w:rsidRPr="0004457F" w:rsidRDefault="0050717C" w:rsidP="0050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Lindsey </w:t>
            </w:r>
            <w:proofErr w:type="spellStart"/>
            <w:r>
              <w:rPr>
                <w:sz w:val="20"/>
                <w:szCs w:val="20"/>
              </w:rPr>
              <w:t>Manfrin</w:t>
            </w:r>
            <w:proofErr w:type="spellEnd"/>
          </w:p>
        </w:tc>
      </w:tr>
      <w:tr w:rsidR="0004457F" w:rsidRPr="0004457F" w14:paraId="37DC077A" w14:textId="77777777" w:rsidTr="00840725">
        <w:trPr>
          <w:trHeight w:val="1039"/>
          <w:jc w:val="center"/>
        </w:trPr>
        <w:tc>
          <w:tcPr>
            <w:tcW w:w="1603" w:type="dxa"/>
          </w:tcPr>
          <w:p w14:paraId="0107262D" w14:textId="58DB6596" w:rsidR="008B35A2" w:rsidRPr="0004457F" w:rsidRDefault="0050717C" w:rsidP="00CB5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Affordable Care Act and Public Health Funding</w:t>
            </w:r>
            <w:r w:rsidR="008B35A2" w:rsidRPr="000445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0A502B5F" w14:textId="24711E5A" w:rsidR="008B35A2" w:rsidRPr="0050717C" w:rsidRDefault="0050717C" w:rsidP="0050717C">
            <w:pPr>
              <w:rPr>
                <w:sz w:val="20"/>
                <w:szCs w:val="20"/>
              </w:rPr>
            </w:pPr>
            <w:r w:rsidRPr="0050717C"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s</w:t>
            </w:r>
            <w:r w:rsidRPr="0050717C">
              <w:rPr>
                <w:sz w:val="20"/>
                <w:szCs w:val="20"/>
              </w:rPr>
              <w:t>cuss</w:t>
            </w:r>
          </w:p>
        </w:tc>
        <w:tc>
          <w:tcPr>
            <w:tcW w:w="6933" w:type="dxa"/>
          </w:tcPr>
          <w:p w14:paraId="7B04AF68" w14:textId="39001B6E" w:rsidR="00226EC7" w:rsidRPr="00226EC7" w:rsidRDefault="00226EC7" w:rsidP="00226EC7">
            <w:pPr>
              <w:rPr>
                <w:sz w:val="20"/>
                <w:szCs w:val="20"/>
              </w:rPr>
            </w:pPr>
            <w:r w:rsidRPr="00226EC7">
              <w:rPr>
                <w:sz w:val="20"/>
                <w:szCs w:val="20"/>
              </w:rPr>
              <w:t>The public health division receives $9.3M from ACA</w:t>
            </w:r>
            <w:r>
              <w:rPr>
                <w:sz w:val="20"/>
                <w:szCs w:val="20"/>
              </w:rPr>
              <w:t xml:space="preserve"> through the prevention and public health fund.  </w:t>
            </w:r>
            <w:r w:rsidRPr="00226EC7">
              <w:rPr>
                <w:sz w:val="20"/>
                <w:szCs w:val="20"/>
              </w:rPr>
              <w:t xml:space="preserve">$1.3M </w:t>
            </w:r>
            <w:r>
              <w:rPr>
                <w:sz w:val="20"/>
                <w:szCs w:val="20"/>
              </w:rPr>
              <w:t xml:space="preserve">of it </w:t>
            </w:r>
            <w:r w:rsidRPr="00226EC7">
              <w:rPr>
                <w:sz w:val="20"/>
                <w:szCs w:val="20"/>
              </w:rPr>
              <w:t xml:space="preserve">goes out to local communities. </w:t>
            </w:r>
            <w:proofErr w:type="gramStart"/>
            <w:r w:rsidRPr="00226EC7">
              <w:rPr>
                <w:sz w:val="20"/>
                <w:szCs w:val="20"/>
              </w:rPr>
              <w:t xml:space="preserve">Several programs at </w:t>
            </w:r>
            <w:r>
              <w:rPr>
                <w:sz w:val="20"/>
                <w:szCs w:val="20"/>
              </w:rPr>
              <w:t xml:space="preserve">the </w:t>
            </w:r>
            <w:r w:rsidRPr="00226EC7">
              <w:rPr>
                <w:sz w:val="20"/>
                <w:szCs w:val="20"/>
              </w:rPr>
              <w:t xml:space="preserve">PHD </w:t>
            </w:r>
            <w:r>
              <w:rPr>
                <w:sz w:val="20"/>
                <w:szCs w:val="20"/>
              </w:rPr>
              <w:t xml:space="preserve">are </w:t>
            </w:r>
            <w:r w:rsidRPr="00226EC7">
              <w:rPr>
                <w:sz w:val="20"/>
                <w:szCs w:val="20"/>
              </w:rPr>
              <w:t xml:space="preserve">supported by </w:t>
            </w:r>
            <w:r>
              <w:rPr>
                <w:sz w:val="20"/>
                <w:szCs w:val="20"/>
              </w:rPr>
              <w:t xml:space="preserve">the funding including the </w:t>
            </w:r>
            <w:r w:rsidRPr="00226EC7">
              <w:rPr>
                <w:sz w:val="20"/>
                <w:szCs w:val="20"/>
              </w:rPr>
              <w:t>preve</w:t>
            </w:r>
            <w:r>
              <w:rPr>
                <w:sz w:val="20"/>
                <w:szCs w:val="20"/>
              </w:rPr>
              <w:t>ntion public health block grant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7DCA13A0" w14:textId="77777777" w:rsidR="00226EC7" w:rsidRPr="00226EC7" w:rsidRDefault="00226EC7" w:rsidP="00226EC7">
            <w:pPr>
              <w:rPr>
                <w:sz w:val="20"/>
                <w:szCs w:val="20"/>
              </w:rPr>
            </w:pPr>
          </w:p>
          <w:p w14:paraId="4C5FE23A" w14:textId="1763BFDF" w:rsidR="00226EC7" w:rsidRPr="00226EC7" w:rsidRDefault="00226EC7" w:rsidP="00226EC7">
            <w:pPr>
              <w:rPr>
                <w:sz w:val="20"/>
                <w:szCs w:val="20"/>
              </w:rPr>
            </w:pPr>
            <w:r w:rsidRPr="00226EC7">
              <w:rPr>
                <w:sz w:val="20"/>
                <w:szCs w:val="20"/>
              </w:rPr>
              <w:t>Mult</w:t>
            </w:r>
            <w:r>
              <w:rPr>
                <w:sz w:val="20"/>
                <w:szCs w:val="20"/>
              </w:rPr>
              <w:t>nomah</w:t>
            </w:r>
            <w:r w:rsidRPr="00226EC7">
              <w:rPr>
                <w:sz w:val="20"/>
                <w:szCs w:val="20"/>
              </w:rPr>
              <w:t xml:space="preserve"> Co</w:t>
            </w:r>
            <w:r>
              <w:rPr>
                <w:sz w:val="20"/>
                <w:szCs w:val="20"/>
              </w:rPr>
              <w:t>unty</w:t>
            </w:r>
            <w:r w:rsidRPr="00226EC7">
              <w:rPr>
                <w:sz w:val="20"/>
                <w:szCs w:val="20"/>
              </w:rPr>
              <w:t xml:space="preserve"> receives </w:t>
            </w:r>
            <w:r>
              <w:rPr>
                <w:sz w:val="20"/>
                <w:szCs w:val="20"/>
              </w:rPr>
              <w:t xml:space="preserve">the </w:t>
            </w:r>
            <w:r w:rsidRPr="00226EC7">
              <w:rPr>
                <w:sz w:val="20"/>
                <w:szCs w:val="20"/>
              </w:rPr>
              <w:t>REACH grant</w:t>
            </w:r>
            <w:r>
              <w:rPr>
                <w:sz w:val="20"/>
                <w:szCs w:val="20"/>
              </w:rPr>
              <w:t xml:space="preserve"> separately</w:t>
            </w:r>
            <w:r w:rsidRPr="00226EC7">
              <w:rPr>
                <w:sz w:val="20"/>
                <w:szCs w:val="20"/>
              </w:rPr>
              <w:t xml:space="preserve">, as well as </w:t>
            </w:r>
            <w:r>
              <w:rPr>
                <w:sz w:val="20"/>
                <w:szCs w:val="20"/>
              </w:rPr>
              <w:t xml:space="preserve">the </w:t>
            </w:r>
            <w:proofErr w:type="spellStart"/>
            <w:r w:rsidRPr="00226EC7">
              <w:rPr>
                <w:sz w:val="20"/>
                <w:szCs w:val="20"/>
              </w:rPr>
              <w:t>Yellowhawk</w:t>
            </w:r>
            <w:proofErr w:type="spellEnd"/>
            <w:r w:rsidRPr="00226E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Tribal Health Center </w:t>
            </w:r>
            <w:r w:rsidRPr="00226EC7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the Northwest Area Indian Health Board. The</w:t>
            </w:r>
            <w:r w:rsidRPr="00226EC7">
              <w:rPr>
                <w:sz w:val="20"/>
                <w:szCs w:val="20"/>
              </w:rPr>
              <w:t xml:space="preserve"> PHD will add information regarding other grantees and impact</w:t>
            </w:r>
            <w:r>
              <w:rPr>
                <w:sz w:val="20"/>
                <w:szCs w:val="20"/>
              </w:rPr>
              <w:t xml:space="preserve"> of lost funding</w:t>
            </w:r>
            <w:r w:rsidRPr="00226EC7">
              <w:rPr>
                <w:sz w:val="20"/>
                <w:szCs w:val="20"/>
              </w:rPr>
              <w:t xml:space="preserve">, so that we can see total impact to public health system. Include impact of State to public health system as </w:t>
            </w:r>
            <w:r>
              <w:rPr>
                <w:sz w:val="20"/>
                <w:szCs w:val="20"/>
              </w:rPr>
              <w:t xml:space="preserve">a </w:t>
            </w:r>
            <w:r w:rsidRPr="00226EC7">
              <w:rPr>
                <w:sz w:val="20"/>
                <w:szCs w:val="20"/>
              </w:rPr>
              <w:t xml:space="preserve">whole. </w:t>
            </w:r>
          </w:p>
          <w:p w14:paraId="1576A3B7" w14:textId="77777777" w:rsidR="00226EC7" w:rsidRPr="00226EC7" w:rsidRDefault="00226EC7" w:rsidP="00226EC7">
            <w:pPr>
              <w:rPr>
                <w:sz w:val="20"/>
                <w:szCs w:val="20"/>
              </w:rPr>
            </w:pPr>
          </w:p>
          <w:p w14:paraId="03735264" w14:textId="68C489BA" w:rsidR="00226EC7" w:rsidRPr="00226EC7" w:rsidRDefault="00226EC7" w:rsidP="00226EC7">
            <w:pPr>
              <w:rPr>
                <w:sz w:val="20"/>
                <w:szCs w:val="20"/>
              </w:rPr>
            </w:pPr>
            <w:r w:rsidRPr="00226EC7">
              <w:rPr>
                <w:sz w:val="20"/>
                <w:szCs w:val="20"/>
              </w:rPr>
              <w:t xml:space="preserve">LHDs will receive questions regarding how much of funding will impact programs and where they are coming from.  Raw data will be very helpful for </w:t>
            </w:r>
            <w:r>
              <w:rPr>
                <w:sz w:val="20"/>
                <w:szCs w:val="20"/>
              </w:rPr>
              <w:t xml:space="preserve">the </w:t>
            </w:r>
            <w:r w:rsidRPr="00226EC7">
              <w:rPr>
                <w:sz w:val="20"/>
                <w:szCs w:val="20"/>
              </w:rPr>
              <w:t xml:space="preserve">coalition to message impact. </w:t>
            </w:r>
          </w:p>
          <w:p w14:paraId="7A2C6E90" w14:textId="77777777" w:rsidR="00226EC7" w:rsidRPr="00226EC7" w:rsidRDefault="00226EC7" w:rsidP="00226EC7">
            <w:pPr>
              <w:rPr>
                <w:sz w:val="20"/>
                <w:szCs w:val="20"/>
              </w:rPr>
            </w:pPr>
          </w:p>
          <w:p w14:paraId="159A78E9" w14:textId="3E4169CD" w:rsidR="00226EC7" w:rsidRPr="00226EC7" w:rsidRDefault="00226EC7" w:rsidP="00226EC7">
            <w:pPr>
              <w:rPr>
                <w:sz w:val="20"/>
                <w:szCs w:val="20"/>
              </w:rPr>
            </w:pPr>
            <w:r w:rsidRPr="00226EC7">
              <w:rPr>
                <w:sz w:val="20"/>
                <w:szCs w:val="20"/>
              </w:rPr>
              <w:t>PHEP is anticipating flat funding</w:t>
            </w:r>
            <w:r>
              <w:rPr>
                <w:sz w:val="20"/>
                <w:szCs w:val="20"/>
              </w:rPr>
              <w:t>.</w:t>
            </w:r>
          </w:p>
          <w:p w14:paraId="621D3A04" w14:textId="1A40AD34" w:rsidR="00226EC7" w:rsidRPr="00226EC7" w:rsidRDefault="00226EC7" w:rsidP="00226EC7">
            <w:pPr>
              <w:rPr>
                <w:sz w:val="20"/>
                <w:szCs w:val="20"/>
              </w:rPr>
            </w:pPr>
            <w:r w:rsidRPr="00226EC7">
              <w:rPr>
                <w:sz w:val="20"/>
                <w:szCs w:val="20"/>
              </w:rPr>
              <w:t xml:space="preserve">WIC hoping to do </w:t>
            </w:r>
            <w:r>
              <w:rPr>
                <w:sz w:val="20"/>
                <w:szCs w:val="20"/>
              </w:rPr>
              <w:t xml:space="preserve">a </w:t>
            </w:r>
            <w:r w:rsidRPr="00226EC7">
              <w:rPr>
                <w:sz w:val="20"/>
                <w:szCs w:val="20"/>
              </w:rPr>
              <w:t>COLA increase</w:t>
            </w:r>
            <w:r>
              <w:rPr>
                <w:sz w:val="20"/>
                <w:szCs w:val="20"/>
              </w:rPr>
              <w:t>.</w:t>
            </w:r>
          </w:p>
          <w:p w14:paraId="52277087" w14:textId="5514CE71" w:rsidR="00226EC7" w:rsidRPr="00226EC7" w:rsidRDefault="00226EC7" w:rsidP="00226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Reproductive </w:t>
            </w:r>
            <w:r w:rsidRPr="00226EC7">
              <w:rPr>
                <w:sz w:val="20"/>
                <w:szCs w:val="20"/>
              </w:rPr>
              <w:t xml:space="preserve">Health Title I </w:t>
            </w:r>
            <w:r>
              <w:rPr>
                <w:sz w:val="20"/>
                <w:szCs w:val="20"/>
              </w:rPr>
              <w:t>is facing the most uncertainty.</w:t>
            </w:r>
          </w:p>
          <w:p w14:paraId="5127811D" w14:textId="2A0ACA6E" w:rsidR="00A03EA8" w:rsidRPr="0004457F" w:rsidRDefault="00A03EA8" w:rsidP="00FF6E4C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</w:tcPr>
          <w:p w14:paraId="409C96A2" w14:textId="4FC70DB4" w:rsidR="008B35A2" w:rsidRPr="0004457F" w:rsidRDefault="0050717C" w:rsidP="00FF6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Danna Drum</w:t>
            </w:r>
            <w:r w:rsidR="008B35A2" w:rsidRPr="0004457F">
              <w:rPr>
                <w:sz w:val="20"/>
                <w:szCs w:val="20"/>
              </w:rPr>
              <w:t>, PHD/OHA</w:t>
            </w:r>
          </w:p>
        </w:tc>
      </w:tr>
      <w:tr w:rsidR="0004457F" w:rsidRPr="0004457F" w14:paraId="370DD9AA" w14:textId="77777777" w:rsidTr="00840725">
        <w:trPr>
          <w:trHeight w:val="1039"/>
          <w:jc w:val="center"/>
        </w:trPr>
        <w:tc>
          <w:tcPr>
            <w:tcW w:w="1603" w:type="dxa"/>
          </w:tcPr>
          <w:p w14:paraId="2E274D55" w14:textId="716E4CC7" w:rsidR="008B35A2" w:rsidRPr="0004457F" w:rsidRDefault="00226EC7" w:rsidP="00CB5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Exclusion</w:t>
            </w:r>
          </w:p>
        </w:tc>
        <w:tc>
          <w:tcPr>
            <w:tcW w:w="1213" w:type="dxa"/>
          </w:tcPr>
          <w:p w14:paraId="34CE77D1" w14:textId="3C7473C6" w:rsidR="008B35A2" w:rsidRPr="0004457F" w:rsidRDefault="008B35A2" w:rsidP="00840725">
            <w:pPr>
              <w:rPr>
                <w:sz w:val="20"/>
                <w:szCs w:val="20"/>
              </w:rPr>
            </w:pPr>
            <w:r w:rsidRPr="0004457F">
              <w:rPr>
                <w:sz w:val="20"/>
                <w:szCs w:val="20"/>
              </w:rPr>
              <w:t xml:space="preserve">Discuss </w:t>
            </w:r>
          </w:p>
        </w:tc>
        <w:tc>
          <w:tcPr>
            <w:tcW w:w="6933" w:type="dxa"/>
          </w:tcPr>
          <w:p w14:paraId="1FB41FCA" w14:textId="77FBDC29" w:rsidR="00327605" w:rsidRPr="0004457F" w:rsidRDefault="00840725" w:rsidP="00840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c</w:t>
            </w:r>
            <w:r w:rsidRPr="00840725">
              <w:rPr>
                <w:sz w:val="20"/>
                <w:szCs w:val="20"/>
              </w:rPr>
              <w:t>oncerns about ability to get school exclusion data due to closures and diversion of sc</w:t>
            </w:r>
            <w:r>
              <w:rPr>
                <w:sz w:val="20"/>
                <w:szCs w:val="20"/>
              </w:rPr>
              <w:t xml:space="preserve">hool staff due to other issues. The </w:t>
            </w:r>
            <w:r w:rsidRPr="00840725">
              <w:rPr>
                <w:sz w:val="20"/>
                <w:szCs w:val="20"/>
              </w:rPr>
              <w:t>state immu</w:t>
            </w:r>
            <w:r>
              <w:rPr>
                <w:sz w:val="20"/>
                <w:szCs w:val="20"/>
              </w:rPr>
              <w:t>nization</w:t>
            </w:r>
            <w:r w:rsidRPr="00840725">
              <w:rPr>
                <w:sz w:val="20"/>
                <w:szCs w:val="20"/>
              </w:rPr>
              <w:t xml:space="preserve"> program </w:t>
            </w:r>
            <w:r>
              <w:rPr>
                <w:sz w:val="20"/>
                <w:szCs w:val="20"/>
              </w:rPr>
              <w:t xml:space="preserve">is not hearing widespread concern, the have </w:t>
            </w:r>
            <w:proofErr w:type="spellStart"/>
            <w:r>
              <w:rPr>
                <w:sz w:val="20"/>
                <w:szCs w:val="20"/>
              </w:rPr>
              <w:t>h</w:t>
            </w:r>
            <w:r w:rsidRPr="00840725">
              <w:rPr>
                <w:sz w:val="20"/>
                <w:szCs w:val="20"/>
              </w:rPr>
              <w:t>ave</w:t>
            </w:r>
            <w:proofErr w:type="spellEnd"/>
            <w:r w:rsidRPr="00840725">
              <w:rPr>
                <w:sz w:val="20"/>
                <w:szCs w:val="20"/>
              </w:rPr>
              <w:t xml:space="preserve"> been delayed due to PHD closures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</w:tcPr>
          <w:p w14:paraId="6FD760C5" w14:textId="26D76400" w:rsidR="008B35A2" w:rsidRPr="0004457F" w:rsidRDefault="008B35A2" w:rsidP="00FF6E4C">
            <w:pPr>
              <w:rPr>
                <w:sz w:val="20"/>
                <w:szCs w:val="20"/>
              </w:rPr>
            </w:pPr>
          </w:p>
        </w:tc>
      </w:tr>
    </w:tbl>
    <w:p w14:paraId="33CCB08F" w14:textId="2393374D" w:rsidR="00A50EAD" w:rsidRPr="00840725" w:rsidRDefault="00A50EAD" w:rsidP="00840725">
      <w:pPr>
        <w:tabs>
          <w:tab w:val="left" w:pos="2587"/>
        </w:tabs>
      </w:pPr>
    </w:p>
    <w:sectPr w:rsidR="00A50EAD" w:rsidRPr="00840725" w:rsidSect="00DB2CBF">
      <w:headerReference w:type="default" r:id="rId12"/>
      <w:pgSz w:w="12240" w:h="15840"/>
      <w:pgMar w:top="1080" w:right="1800" w:bottom="1260" w:left="1800" w:header="72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B8769" w14:textId="77777777" w:rsidR="00226EC7" w:rsidRDefault="00226EC7" w:rsidP="00FF6E4C">
      <w:r>
        <w:separator/>
      </w:r>
    </w:p>
  </w:endnote>
  <w:endnote w:type="continuationSeparator" w:id="0">
    <w:p w14:paraId="35134EAE" w14:textId="77777777" w:rsidR="00226EC7" w:rsidRDefault="00226EC7" w:rsidP="00FF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68477" w14:textId="77777777" w:rsidR="00226EC7" w:rsidRDefault="00226EC7" w:rsidP="00FF6E4C">
      <w:r>
        <w:separator/>
      </w:r>
    </w:p>
  </w:footnote>
  <w:footnote w:type="continuationSeparator" w:id="0">
    <w:p w14:paraId="355608FA" w14:textId="77777777" w:rsidR="00226EC7" w:rsidRDefault="00226EC7" w:rsidP="00FF6E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9F06B" w14:textId="5521053A" w:rsidR="00226EC7" w:rsidRDefault="00226EC7" w:rsidP="0045323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0931"/>
    <w:multiLevelType w:val="hybridMultilevel"/>
    <w:tmpl w:val="89809970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0C1B"/>
    <w:multiLevelType w:val="hybridMultilevel"/>
    <w:tmpl w:val="5492D76C"/>
    <w:lvl w:ilvl="0" w:tplc="0122F6E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0102"/>
    <w:multiLevelType w:val="hybridMultilevel"/>
    <w:tmpl w:val="7B84F664"/>
    <w:lvl w:ilvl="0" w:tplc="5A2259F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62AD5"/>
    <w:multiLevelType w:val="hybridMultilevel"/>
    <w:tmpl w:val="F5C05E82"/>
    <w:lvl w:ilvl="0" w:tplc="0122F6E4"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A6302E"/>
    <w:multiLevelType w:val="hybridMultilevel"/>
    <w:tmpl w:val="F4667918"/>
    <w:lvl w:ilvl="0" w:tplc="9F9C8D0E">
      <w:start w:val="8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ED10C04"/>
    <w:multiLevelType w:val="hybridMultilevel"/>
    <w:tmpl w:val="10EA61A0"/>
    <w:lvl w:ilvl="0" w:tplc="ADF40054">
      <w:start w:val="5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4C"/>
    <w:rsid w:val="000053AA"/>
    <w:rsid w:val="00010345"/>
    <w:rsid w:val="00032B45"/>
    <w:rsid w:val="0004457F"/>
    <w:rsid w:val="00090836"/>
    <w:rsid w:val="000F75F3"/>
    <w:rsid w:val="00122D78"/>
    <w:rsid w:val="00220D0C"/>
    <w:rsid w:val="002262BF"/>
    <w:rsid w:val="00226EC7"/>
    <w:rsid w:val="00235866"/>
    <w:rsid w:val="00246B2E"/>
    <w:rsid w:val="00257F38"/>
    <w:rsid w:val="00295851"/>
    <w:rsid w:val="002A01D6"/>
    <w:rsid w:val="00307569"/>
    <w:rsid w:val="00313998"/>
    <w:rsid w:val="00324B0F"/>
    <w:rsid w:val="00327605"/>
    <w:rsid w:val="00352731"/>
    <w:rsid w:val="00387745"/>
    <w:rsid w:val="003A18FD"/>
    <w:rsid w:val="003C6339"/>
    <w:rsid w:val="004220AD"/>
    <w:rsid w:val="0045246E"/>
    <w:rsid w:val="0045323B"/>
    <w:rsid w:val="0050717C"/>
    <w:rsid w:val="005570F9"/>
    <w:rsid w:val="005826C4"/>
    <w:rsid w:val="00590ACD"/>
    <w:rsid w:val="00597F4D"/>
    <w:rsid w:val="005D4770"/>
    <w:rsid w:val="005E0FF8"/>
    <w:rsid w:val="00636C88"/>
    <w:rsid w:val="0067024A"/>
    <w:rsid w:val="00673478"/>
    <w:rsid w:val="006937BA"/>
    <w:rsid w:val="006A3772"/>
    <w:rsid w:val="006B3265"/>
    <w:rsid w:val="006E6D1B"/>
    <w:rsid w:val="006E7DCC"/>
    <w:rsid w:val="006F63BA"/>
    <w:rsid w:val="00700282"/>
    <w:rsid w:val="007011B0"/>
    <w:rsid w:val="00732E65"/>
    <w:rsid w:val="007543C4"/>
    <w:rsid w:val="00767C07"/>
    <w:rsid w:val="007C49E0"/>
    <w:rsid w:val="007D05E7"/>
    <w:rsid w:val="007D3E68"/>
    <w:rsid w:val="00816E03"/>
    <w:rsid w:val="00840725"/>
    <w:rsid w:val="0085470E"/>
    <w:rsid w:val="008B35A2"/>
    <w:rsid w:val="008B3A6F"/>
    <w:rsid w:val="008C3F48"/>
    <w:rsid w:val="008C5301"/>
    <w:rsid w:val="008F31CC"/>
    <w:rsid w:val="009A41CC"/>
    <w:rsid w:val="00A03EA8"/>
    <w:rsid w:val="00A03EC1"/>
    <w:rsid w:val="00A26D20"/>
    <w:rsid w:val="00A32A7C"/>
    <w:rsid w:val="00A461A5"/>
    <w:rsid w:val="00A50EAD"/>
    <w:rsid w:val="00A62862"/>
    <w:rsid w:val="00A64113"/>
    <w:rsid w:val="00A64E11"/>
    <w:rsid w:val="00AB4253"/>
    <w:rsid w:val="00B5131B"/>
    <w:rsid w:val="00BC7451"/>
    <w:rsid w:val="00BF347F"/>
    <w:rsid w:val="00C116F2"/>
    <w:rsid w:val="00C2608E"/>
    <w:rsid w:val="00CB51B1"/>
    <w:rsid w:val="00CF08A1"/>
    <w:rsid w:val="00D229DC"/>
    <w:rsid w:val="00D306AD"/>
    <w:rsid w:val="00D34152"/>
    <w:rsid w:val="00D34F7B"/>
    <w:rsid w:val="00DB2CBF"/>
    <w:rsid w:val="00DE2950"/>
    <w:rsid w:val="00E04544"/>
    <w:rsid w:val="00E45EB5"/>
    <w:rsid w:val="00E72987"/>
    <w:rsid w:val="00EF56B4"/>
    <w:rsid w:val="00F70289"/>
    <w:rsid w:val="00FA30E9"/>
    <w:rsid w:val="00FF3382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2CB9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62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2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E4C"/>
  </w:style>
  <w:style w:type="paragraph" w:styleId="Footer">
    <w:name w:val="footer"/>
    <w:basedOn w:val="Normal"/>
    <w:link w:val="FooterChar"/>
    <w:unhideWhenUsed/>
    <w:rsid w:val="00FF6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6E4C"/>
  </w:style>
  <w:style w:type="paragraph" w:styleId="Title">
    <w:name w:val="Title"/>
    <w:basedOn w:val="Normal"/>
    <w:link w:val="TitleChar"/>
    <w:qFormat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FF6E4C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rsid w:val="00FF6E4C"/>
    <w:pPr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FF6E4C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sid w:val="00FF6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C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62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6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ublic.health.oregon.gov/About/TaskForce/Documents/OHA-9959-Modernization-Benefits-Report.pdf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94F1BD-E79D-1345-BBF5-2BFAB49D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960</Words>
  <Characters>5474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Coalition of Local Health Officials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3</cp:revision>
  <cp:lastPrinted>2016-08-09T23:02:00Z</cp:lastPrinted>
  <dcterms:created xsi:type="dcterms:W3CDTF">2017-02-14T23:39:00Z</dcterms:created>
  <dcterms:modified xsi:type="dcterms:W3CDTF">2017-02-14T23:41:00Z</dcterms:modified>
</cp:coreProperties>
</file>