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Default Extension="emf" ContentType="image/x-em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DFACB94" w14:textId="77777777" w:rsidR="008F36E3" w:rsidRDefault="00353DC4" w:rsidP="008F36E3">
      <w:pPr>
        <w:pStyle w:val="Title"/>
        <w:jc w:val="left"/>
      </w:pPr>
      <w:r>
        <w:rPr>
          <w:noProof/>
        </w:rPr>
        <w:drawing>
          <wp:anchor distT="0" distB="0" distL="114300" distR="114300" simplePos="0" relativeHeight="251658240" behindDoc="0" locked="0" layoutInCell="1" allowOverlap="1" wp14:anchorId="035EAD69" wp14:editId="622F3896">
            <wp:simplePos x="0" y="0"/>
            <wp:positionH relativeFrom="column">
              <wp:posOffset>-914400</wp:posOffset>
            </wp:positionH>
            <wp:positionV relativeFrom="paragraph">
              <wp:posOffset>-685800</wp:posOffset>
            </wp:positionV>
            <wp:extent cx="1371600" cy="1371600"/>
            <wp:effectExtent l="0" t="0" r="0" b="0"/>
            <wp:wrapThrough wrapText="bothSides">
              <wp:wrapPolygon edited="0">
                <wp:start x="3200" y="3200"/>
                <wp:lineTo x="2000" y="12400"/>
                <wp:lineTo x="2400" y="16800"/>
                <wp:lineTo x="2800" y="17600"/>
                <wp:lineTo x="18400" y="17600"/>
                <wp:lineTo x="20000" y="5200"/>
                <wp:lineTo x="17600" y="4000"/>
                <wp:lineTo x="6800" y="3200"/>
                <wp:lineTo x="3200" y="320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LHO_logo.eps"/>
                    <pic:cNvPicPr/>
                  </pic:nvPicPr>
                  <pic:blipFill>
                    <a:blip r:embed="rId7">
                      <a:extLst>
                        <a:ext uri="{28A0092B-C50C-407E-A947-70E740481C1C}">
                          <a14:useLocalDpi xmlns:a14="http://schemas.microsoft.com/office/drawing/2010/main" val="0"/>
                        </a:ext>
                      </a:extLst>
                    </a:blip>
                    <a:stretch>
                      <a:fillRect/>
                    </a:stretch>
                  </pic:blipFill>
                  <pic:spPr>
                    <a:xfrm>
                      <a:off x="0" y="0"/>
                      <a:ext cx="1371600" cy="1371600"/>
                    </a:xfrm>
                    <a:prstGeom prst="rect">
                      <a:avLst/>
                    </a:prstGeom>
                  </pic:spPr>
                </pic:pic>
              </a:graphicData>
            </a:graphic>
            <wp14:sizeRelH relativeFrom="page">
              <wp14:pctWidth>0</wp14:pctWidth>
            </wp14:sizeRelH>
            <wp14:sizeRelV relativeFrom="page">
              <wp14:pctHeight>0</wp14:pctHeight>
            </wp14:sizeRelV>
          </wp:anchor>
        </w:drawing>
      </w:r>
      <w:r w:rsidR="008F36E3">
        <w:t>COALITION OF LOCAL HEALTH OFFICIALS</w:t>
      </w:r>
    </w:p>
    <w:p w14:paraId="2960D4FE" w14:textId="1E6CD309" w:rsidR="008F36E3" w:rsidRDefault="000F69EA" w:rsidP="008F36E3">
      <w:pPr>
        <w:rPr>
          <w:rFonts w:ascii="Times" w:eastAsia="Times New Roman" w:hAnsi="Times" w:cs="Times New Roman"/>
          <w:b/>
        </w:rPr>
      </w:pPr>
      <w:r>
        <w:rPr>
          <w:rFonts w:ascii="Times" w:eastAsia="Times New Roman" w:hAnsi="Times" w:cs="Times New Roman"/>
          <w:b/>
        </w:rPr>
        <w:t>July 20</w:t>
      </w:r>
      <w:r w:rsidR="00C214F1">
        <w:rPr>
          <w:rFonts w:ascii="Times" w:eastAsia="Times New Roman" w:hAnsi="Times" w:cs="Times New Roman"/>
          <w:b/>
        </w:rPr>
        <w:t>, 2017</w:t>
      </w:r>
    </w:p>
    <w:p w14:paraId="02D7E127" w14:textId="77777777" w:rsidR="008F36E3" w:rsidRDefault="008F36E3" w:rsidP="008F36E3">
      <w:pPr>
        <w:rPr>
          <w:rFonts w:ascii="Times" w:eastAsia="Times New Roman" w:hAnsi="Times" w:cs="Times New Roman"/>
          <w:b/>
          <w:color w:val="222222"/>
          <w:shd w:val="clear" w:color="auto" w:fill="FFFFFF"/>
        </w:rPr>
      </w:pPr>
      <w:r>
        <w:rPr>
          <w:rFonts w:ascii="Times" w:eastAsia="Times New Roman" w:hAnsi="Times" w:cs="Times New Roman"/>
          <w:b/>
          <w:color w:val="222222"/>
          <w:shd w:val="clear" w:color="auto" w:fill="FFFFFF"/>
        </w:rPr>
        <w:t>Meeting Minutes</w:t>
      </w:r>
    </w:p>
    <w:p w14:paraId="2EE55695" w14:textId="77777777" w:rsidR="008F36E3" w:rsidRDefault="008F36E3" w:rsidP="008F36E3">
      <w:pPr>
        <w:rPr>
          <w:rFonts w:ascii="Times" w:eastAsia="Times New Roman" w:hAnsi="Times" w:cs="Times New Roman"/>
          <w:b/>
          <w:color w:val="222222"/>
          <w:shd w:val="clear" w:color="auto" w:fill="FFFFFF"/>
        </w:rPr>
      </w:pPr>
    </w:p>
    <w:p w14:paraId="2F375B90" w14:textId="065D4389" w:rsidR="008F36E3" w:rsidRDefault="008F36E3" w:rsidP="008F36E3">
      <w:pPr>
        <w:rPr>
          <w:rFonts w:eastAsia="Times New Roman" w:cs="Times New Roman"/>
          <w:color w:val="222222"/>
          <w:sz w:val="22"/>
          <w:szCs w:val="22"/>
          <w:shd w:val="clear" w:color="auto" w:fill="FFFFFF"/>
        </w:rPr>
      </w:pPr>
      <w:r>
        <w:rPr>
          <w:rFonts w:ascii="Times" w:eastAsia="Times New Roman" w:hAnsi="Times" w:cs="Times New Roman"/>
          <w:b/>
          <w:color w:val="222222"/>
          <w:shd w:val="clear" w:color="auto" w:fill="FFFFFF"/>
        </w:rPr>
        <w:t xml:space="preserve">In attendance: </w:t>
      </w:r>
      <w:r w:rsidR="00D02CCC">
        <w:rPr>
          <w:rFonts w:eastAsia="Times New Roman" w:cs="Times New Roman"/>
          <w:color w:val="222222"/>
          <w:sz w:val="22"/>
          <w:szCs w:val="22"/>
          <w:shd w:val="clear" w:color="auto" w:fill="FFFFFF"/>
        </w:rPr>
        <w:t>Nancy Staten</w:t>
      </w:r>
      <w:r w:rsidRPr="008F36E3">
        <w:rPr>
          <w:rFonts w:eastAsia="Times New Roman" w:cs="Times New Roman"/>
          <w:color w:val="222222"/>
          <w:sz w:val="22"/>
          <w:szCs w:val="22"/>
          <w:shd w:val="clear" w:color="auto" w:fill="FFFFFF"/>
        </w:rPr>
        <w:t xml:space="preserve"> (B</w:t>
      </w:r>
      <w:r w:rsidR="00D02CCC">
        <w:rPr>
          <w:rFonts w:eastAsia="Times New Roman" w:cs="Times New Roman"/>
          <w:color w:val="222222"/>
          <w:sz w:val="22"/>
          <w:szCs w:val="22"/>
          <w:shd w:val="clear" w:color="auto" w:fill="FFFFFF"/>
        </w:rPr>
        <w:t>aker</w:t>
      </w:r>
      <w:r w:rsidR="00453F02">
        <w:rPr>
          <w:rFonts w:eastAsia="Times New Roman" w:cs="Times New Roman"/>
          <w:color w:val="222222"/>
          <w:sz w:val="22"/>
          <w:szCs w:val="22"/>
          <w:shd w:val="clear" w:color="auto" w:fill="FFFFFF"/>
        </w:rPr>
        <w:t>);</w:t>
      </w:r>
      <w:r w:rsidRPr="008F36E3">
        <w:rPr>
          <w:rFonts w:eastAsia="Times New Roman" w:cs="Times New Roman"/>
          <w:color w:val="222222"/>
          <w:sz w:val="22"/>
          <w:szCs w:val="22"/>
          <w:shd w:val="clear" w:color="auto" w:fill="FFFFFF"/>
        </w:rPr>
        <w:t xml:space="preserve"> </w:t>
      </w:r>
      <w:r w:rsidR="00453F02">
        <w:rPr>
          <w:rFonts w:eastAsia="Times New Roman" w:cs="Times New Roman"/>
          <w:color w:val="222222"/>
          <w:sz w:val="22"/>
          <w:szCs w:val="22"/>
          <w:shd w:val="clear" w:color="auto" w:fill="FFFFFF"/>
        </w:rPr>
        <w:t>Charlie Fautin (Benton);</w:t>
      </w:r>
      <w:r w:rsidR="00BF7225">
        <w:rPr>
          <w:rFonts w:eastAsia="Times New Roman" w:cs="Times New Roman"/>
          <w:color w:val="222222"/>
          <w:sz w:val="22"/>
          <w:szCs w:val="22"/>
          <w:shd w:val="clear" w:color="auto" w:fill="FFFFFF"/>
        </w:rPr>
        <w:t xml:space="preserve"> Dawn Emerick (Clackamas),</w:t>
      </w:r>
      <w:r w:rsidR="00D02CCC">
        <w:rPr>
          <w:rFonts w:eastAsia="Times New Roman" w:cs="Times New Roman"/>
          <w:color w:val="222222"/>
          <w:sz w:val="22"/>
          <w:szCs w:val="22"/>
          <w:shd w:val="clear" w:color="auto" w:fill="FFFFFF"/>
        </w:rPr>
        <w:t xml:space="preserve"> </w:t>
      </w:r>
      <w:r w:rsidR="00453F02">
        <w:rPr>
          <w:rFonts w:eastAsia="Times New Roman" w:cs="Times New Roman"/>
          <w:color w:val="222222"/>
          <w:sz w:val="22"/>
          <w:szCs w:val="22"/>
          <w:shd w:val="clear" w:color="auto" w:fill="FFFFFF"/>
        </w:rPr>
        <w:t xml:space="preserve">Sherrie Ford (Columbia); </w:t>
      </w:r>
      <w:r w:rsidRPr="008F36E3">
        <w:rPr>
          <w:rFonts w:eastAsia="Times New Roman" w:cs="Times New Roman"/>
          <w:color w:val="222222"/>
          <w:sz w:val="22"/>
          <w:szCs w:val="22"/>
          <w:shd w:val="clear" w:color="auto" w:fill="FFFFFF"/>
        </w:rPr>
        <w:t xml:space="preserve">Muriel DeLaVergne-Brown (Crook), </w:t>
      </w:r>
      <w:r w:rsidR="00453F02">
        <w:rPr>
          <w:rFonts w:eastAsia="Times New Roman" w:cs="Times New Roman"/>
          <w:color w:val="222222"/>
          <w:sz w:val="22"/>
          <w:szCs w:val="22"/>
          <w:shd w:val="clear" w:color="auto" w:fill="FFFFFF"/>
        </w:rPr>
        <w:t>George Conway (Deschutes);</w:t>
      </w:r>
      <w:r w:rsidR="004E4744">
        <w:rPr>
          <w:rFonts w:eastAsia="Times New Roman" w:cs="Times New Roman"/>
          <w:color w:val="222222"/>
          <w:sz w:val="22"/>
          <w:szCs w:val="22"/>
          <w:shd w:val="clear" w:color="auto" w:fill="FFFFFF"/>
        </w:rPr>
        <w:t xml:space="preserve"> </w:t>
      </w:r>
      <w:r w:rsidR="00453F02">
        <w:rPr>
          <w:rFonts w:eastAsia="Times New Roman" w:cs="Times New Roman"/>
          <w:color w:val="222222"/>
          <w:sz w:val="22"/>
          <w:szCs w:val="22"/>
          <w:shd w:val="clear" w:color="auto" w:fill="FFFFFF"/>
        </w:rPr>
        <w:t>Ellen Larsen (Hood River);</w:t>
      </w:r>
      <w:r w:rsidRPr="008F36E3">
        <w:rPr>
          <w:rFonts w:eastAsia="Times New Roman" w:cs="Times New Roman"/>
          <w:color w:val="222222"/>
          <w:sz w:val="22"/>
          <w:szCs w:val="22"/>
          <w:shd w:val="clear" w:color="auto" w:fill="FFFFFF"/>
        </w:rPr>
        <w:t xml:space="preserve"> </w:t>
      </w:r>
      <w:r w:rsidR="000F69EA">
        <w:rPr>
          <w:rFonts w:eastAsia="Times New Roman" w:cs="Times New Roman"/>
          <w:color w:val="222222"/>
          <w:sz w:val="22"/>
          <w:szCs w:val="22"/>
          <w:shd w:val="clear" w:color="auto" w:fill="FFFFFF"/>
        </w:rPr>
        <w:t>Courtney Vanbragt</w:t>
      </w:r>
      <w:r w:rsidR="00BF7225">
        <w:rPr>
          <w:rFonts w:eastAsia="Times New Roman" w:cs="Times New Roman"/>
          <w:color w:val="222222"/>
          <w:sz w:val="22"/>
          <w:szCs w:val="22"/>
          <w:shd w:val="clear" w:color="auto" w:fill="FFFFFF"/>
        </w:rPr>
        <w:t xml:space="preserve"> (Klamath)</w:t>
      </w:r>
      <w:r w:rsidR="00A873F1">
        <w:rPr>
          <w:rFonts w:eastAsia="Times New Roman" w:cs="Times New Roman"/>
          <w:color w:val="222222"/>
          <w:sz w:val="22"/>
          <w:szCs w:val="22"/>
          <w:shd w:val="clear" w:color="auto" w:fill="FFFFFF"/>
        </w:rPr>
        <w:t>;</w:t>
      </w:r>
      <w:r w:rsidR="000F69EA">
        <w:rPr>
          <w:rFonts w:eastAsia="Times New Roman" w:cs="Times New Roman"/>
          <w:color w:val="222222"/>
          <w:sz w:val="22"/>
          <w:szCs w:val="22"/>
          <w:shd w:val="clear" w:color="auto" w:fill="FFFFFF"/>
        </w:rPr>
        <w:t xml:space="preserve"> </w:t>
      </w:r>
      <w:r w:rsidR="00A873F1">
        <w:rPr>
          <w:rFonts w:eastAsia="Times New Roman" w:cs="Times New Roman"/>
          <w:color w:val="222222"/>
          <w:sz w:val="22"/>
          <w:szCs w:val="22"/>
          <w:shd w:val="clear" w:color="auto" w:fill="FFFFFF"/>
        </w:rPr>
        <w:t>Jocelyn Warren (Lane);</w:t>
      </w:r>
      <w:r w:rsidRPr="008F36E3">
        <w:rPr>
          <w:rFonts w:eastAsia="Times New Roman" w:cs="Times New Roman"/>
          <w:color w:val="222222"/>
          <w:sz w:val="22"/>
          <w:szCs w:val="22"/>
          <w:shd w:val="clear" w:color="auto" w:fill="FFFFFF"/>
        </w:rPr>
        <w:t xml:space="preserve"> </w:t>
      </w:r>
      <w:r w:rsidR="00453F02">
        <w:rPr>
          <w:rFonts w:eastAsia="Times New Roman" w:cs="Times New Roman"/>
          <w:color w:val="222222"/>
          <w:sz w:val="22"/>
          <w:szCs w:val="22"/>
          <w:shd w:val="clear" w:color="auto" w:fill="FFFFFF"/>
        </w:rPr>
        <w:t>KaryAnn Boushka</w:t>
      </w:r>
      <w:r w:rsidRPr="008F36E3">
        <w:rPr>
          <w:rFonts w:eastAsia="Times New Roman" w:cs="Times New Roman"/>
          <w:color w:val="222222"/>
          <w:sz w:val="22"/>
          <w:szCs w:val="22"/>
          <w:shd w:val="clear" w:color="auto" w:fill="FFFFFF"/>
        </w:rPr>
        <w:t xml:space="preserve"> (Marion), </w:t>
      </w:r>
      <w:r w:rsidR="000F69EA">
        <w:rPr>
          <w:rFonts w:eastAsia="Times New Roman" w:cs="Times New Roman"/>
          <w:color w:val="222222"/>
          <w:sz w:val="22"/>
          <w:szCs w:val="22"/>
          <w:shd w:val="clear" w:color="auto" w:fill="FFFFFF"/>
        </w:rPr>
        <w:t>Tricia Tillman</w:t>
      </w:r>
      <w:r w:rsidRPr="008F36E3">
        <w:rPr>
          <w:rFonts w:eastAsia="Times New Roman" w:cs="Times New Roman"/>
          <w:color w:val="222222"/>
          <w:sz w:val="22"/>
          <w:szCs w:val="22"/>
          <w:shd w:val="clear" w:color="auto" w:fill="FFFFFF"/>
        </w:rPr>
        <w:t xml:space="preserve"> (Multnomah), </w:t>
      </w:r>
      <w:r w:rsidR="00C214F1">
        <w:rPr>
          <w:rFonts w:eastAsia="Times New Roman" w:cs="Times New Roman"/>
          <w:color w:val="222222"/>
          <w:sz w:val="22"/>
          <w:szCs w:val="22"/>
          <w:shd w:val="clear" w:color="auto" w:fill="FFFFFF"/>
        </w:rPr>
        <w:t xml:space="preserve">Katrina Rothenberger (Polk), </w:t>
      </w:r>
      <w:r w:rsidRPr="008F36E3">
        <w:rPr>
          <w:rFonts w:eastAsia="Times New Roman" w:cs="Times New Roman"/>
          <w:color w:val="222222"/>
          <w:sz w:val="22"/>
          <w:szCs w:val="22"/>
          <w:shd w:val="clear" w:color="auto" w:fill="FFFFFF"/>
        </w:rPr>
        <w:t>Carrie Brogoitti (Union</w:t>
      </w:r>
      <w:r w:rsidR="00C214F1">
        <w:rPr>
          <w:rFonts w:eastAsia="Times New Roman" w:cs="Times New Roman"/>
          <w:color w:val="222222"/>
          <w:sz w:val="22"/>
          <w:szCs w:val="22"/>
          <w:shd w:val="clear" w:color="auto" w:fill="FFFFFF"/>
        </w:rPr>
        <w:t xml:space="preserve">), </w:t>
      </w:r>
      <w:r w:rsidR="000F69EA">
        <w:rPr>
          <w:rFonts w:eastAsia="Times New Roman" w:cs="Times New Roman"/>
          <w:color w:val="222222"/>
          <w:sz w:val="22"/>
          <w:szCs w:val="22"/>
          <w:shd w:val="clear" w:color="auto" w:fill="FFFFFF"/>
        </w:rPr>
        <w:t>Tricia Mortell</w:t>
      </w:r>
      <w:r w:rsidR="00BF7225">
        <w:rPr>
          <w:rFonts w:eastAsia="Times New Roman" w:cs="Times New Roman"/>
          <w:color w:val="222222"/>
          <w:sz w:val="22"/>
          <w:szCs w:val="22"/>
          <w:shd w:val="clear" w:color="auto" w:fill="FFFFFF"/>
        </w:rPr>
        <w:t xml:space="preserve"> (Washington)</w:t>
      </w:r>
      <w:r w:rsidR="000F69EA">
        <w:rPr>
          <w:rFonts w:eastAsia="Times New Roman" w:cs="Times New Roman"/>
          <w:color w:val="222222"/>
          <w:sz w:val="22"/>
          <w:szCs w:val="22"/>
          <w:shd w:val="clear" w:color="auto" w:fill="FFFFFF"/>
        </w:rPr>
        <w:t xml:space="preserve">, </w:t>
      </w:r>
      <w:r w:rsidR="00D02CCC">
        <w:rPr>
          <w:rFonts w:eastAsia="Times New Roman" w:cs="Times New Roman"/>
          <w:color w:val="222222"/>
          <w:sz w:val="22"/>
          <w:szCs w:val="22"/>
          <w:shd w:val="clear" w:color="auto" w:fill="FFFFFF"/>
        </w:rPr>
        <w:t>Karen Woods</w:t>
      </w:r>
      <w:r w:rsidR="00C214F1">
        <w:rPr>
          <w:rFonts w:eastAsia="Times New Roman" w:cs="Times New Roman"/>
          <w:color w:val="222222"/>
          <w:sz w:val="22"/>
          <w:szCs w:val="22"/>
          <w:shd w:val="clear" w:color="auto" w:fill="FFFFFF"/>
        </w:rPr>
        <w:t xml:space="preserve"> (W</w:t>
      </w:r>
      <w:r w:rsidR="00D02CCC">
        <w:rPr>
          <w:rFonts w:eastAsia="Times New Roman" w:cs="Times New Roman"/>
          <w:color w:val="222222"/>
          <w:sz w:val="22"/>
          <w:szCs w:val="22"/>
          <w:shd w:val="clear" w:color="auto" w:fill="FFFFFF"/>
        </w:rPr>
        <w:t>heeler</w:t>
      </w:r>
      <w:r w:rsidR="00C214F1">
        <w:rPr>
          <w:rFonts w:eastAsia="Times New Roman" w:cs="Times New Roman"/>
          <w:color w:val="222222"/>
          <w:sz w:val="22"/>
          <w:szCs w:val="22"/>
          <w:shd w:val="clear" w:color="auto" w:fill="FFFFFF"/>
        </w:rPr>
        <w:t xml:space="preserve">), </w:t>
      </w:r>
      <w:r w:rsidRPr="008F36E3">
        <w:rPr>
          <w:rFonts w:eastAsia="Times New Roman" w:cs="Times New Roman"/>
          <w:color w:val="222222"/>
          <w:sz w:val="22"/>
          <w:szCs w:val="22"/>
          <w:shd w:val="clear" w:color="auto" w:fill="FFFFFF"/>
        </w:rPr>
        <w:t>Frank Brown (CLEHS)</w:t>
      </w:r>
      <w:r w:rsidR="00670844">
        <w:rPr>
          <w:rFonts w:eastAsia="Times New Roman" w:cs="Times New Roman"/>
          <w:color w:val="222222"/>
          <w:sz w:val="22"/>
          <w:szCs w:val="22"/>
          <w:shd w:val="clear" w:color="auto" w:fill="FFFFFF"/>
        </w:rPr>
        <w:t xml:space="preserve">, </w:t>
      </w:r>
    </w:p>
    <w:p w14:paraId="79C06E16" w14:textId="77777777" w:rsidR="008F36E3" w:rsidRDefault="008F36E3" w:rsidP="008F36E3">
      <w:pPr>
        <w:rPr>
          <w:rFonts w:eastAsia="Times New Roman" w:cs="Times New Roman"/>
          <w:color w:val="222222"/>
          <w:sz w:val="22"/>
          <w:szCs w:val="22"/>
          <w:shd w:val="clear" w:color="auto" w:fill="FFFFFF"/>
        </w:rPr>
      </w:pPr>
    </w:p>
    <w:p w14:paraId="664C4CD5" w14:textId="42BB1955" w:rsidR="008F36E3" w:rsidRDefault="008F36E3" w:rsidP="008F36E3">
      <w:pPr>
        <w:rPr>
          <w:rFonts w:eastAsia="Times New Roman" w:cs="Times New Roman"/>
          <w:color w:val="222222"/>
          <w:sz w:val="22"/>
          <w:szCs w:val="22"/>
          <w:shd w:val="clear" w:color="auto" w:fill="FFFFFF"/>
        </w:rPr>
      </w:pPr>
      <w:r w:rsidRPr="008F36E3">
        <w:rPr>
          <w:rFonts w:eastAsia="Times New Roman" w:cs="Times New Roman"/>
          <w:b/>
          <w:color w:val="222222"/>
          <w:sz w:val="22"/>
          <w:szCs w:val="22"/>
          <w:shd w:val="clear" w:color="auto" w:fill="FFFFFF"/>
        </w:rPr>
        <w:t>Public Health Division</w:t>
      </w:r>
      <w:r>
        <w:rPr>
          <w:rFonts w:eastAsia="Times New Roman" w:cs="Times New Roman"/>
          <w:color w:val="222222"/>
          <w:sz w:val="22"/>
          <w:szCs w:val="22"/>
          <w:shd w:val="clear" w:color="auto" w:fill="FFFFFF"/>
        </w:rPr>
        <w:t xml:space="preserve">- </w:t>
      </w:r>
      <w:r w:rsidR="000F69EA">
        <w:rPr>
          <w:rFonts w:eastAsia="Times New Roman" w:cs="Times New Roman"/>
          <w:color w:val="222222"/>
          <w:sz w:val="22"/>
          <w:szCs w:val="22"/>
          <w:shd w:val="clear" w:color="auto" w:fill="FFFFFF"/>
        </w:rPr>
        <w:t>Danna Drum</w:t>
      </w:r>
    </w:p>
    <w:p w14:paraId="7CF30C79" w14:textId="1EC7AAF9" w:rsidR="008F36E3" w:rsidRDefault="008F36E3" w:rsidP="008F36E3">
      <w:pPr>
        <w:rPr>
          <w:rFonts w:eastAsia="Times New Roman" w:cs="Times New Roman"/>
          <w:color w:val="222222"/>
          <w:sz w:val="22"/>
          <w:szCs w:val="22"/>
          <w:shd w:val="clear" w:color="auto" w:fill="FFFFFF"/>
        </w:rPr>
      </w:pPr>
      <w:r w:rsidRPr="008F36E3">
        <w:rPr>
          <w:rFonts w:eastAsia="Times New Roman" w:cs="Times New Roman"/>
          <w:b/>
          <w:color w:val="222222"/>
          <w:sz w:val="22"/>
          <w:szCs w:val="22"/>
          <w:shd w:val="clear" w:color="auto" w:fill="FFFFFF"/>
        </w:rPr>
        <w:t>CLHO</w:t>
      </w:r>
      <w:r>
        <w:rPr>
          <w:rFonts w:eastAsia="Times New Roman" w:cs="Times New Roman"/>
          <w:color w:val="222222"/>
          <w:sz w:val="22"/>
          <w:szCs w:val="22"/>
          <w:shd w:val="clear" w:color="auto" w:fill="FFFFFF"/>
        </w:rPr>
        <w:t xml:space="preserve">- Morgan Cowling, </w:t>
      </w:r>
    </w:p>
    <w:p w14:paraId="170D98AC" w14:textId="6828FE18" w:rsidR="00BF7225" w:rsidRDefault="00BF7225" w:rsidP="008F36E3">
      <w:pPr>
        <w:rPr>
          <w:rFonts w:eastAsia="Times New Roman" w:cs="Times New Roman"/>
          <w:color w:val="222222"/>
          <w:sz w:val="22"/>
          <w:szCs w:val="22"/>
          <w:shd w:val="clear" w:color="auto" w:fill="FFFFFF"/>
        </w:rPr>
      </w:pPr>
      <w:r w:rsidRPr="00453F02">
        <w:rPr>
          <w:rFonts w:eastAsia="Times New Roman" w:cs="Times New Roman"/>
          <w:b/>
          <w:color w:val="222222"/>
          <w:sz w:val="22"/>
          <w:szCs w:val="22"/>
          <w:shd w:val="clear" w:color="auto" w:fill="FFFFFF"/>
        </w:rPr>
        <w:t>Guests</w:t>
      </w:r>
      <w:r>
        <w:rPr>
          <w:rFonts w:eastAsia="Times New Roman" w:cs="Times New Roman"/>
          <w:color w:val="222222"/>
          <w:sz w:val="22"/>
          <w:szCs w:val="22"/>
          <w:shd w:val="clear" w:color="auto" w:fill="FFFFFF"/>
        </w:rPr>
        <w:t xml:space="preserve"> –OPHI; Julie Wilkerson, Rede Group; </w:t>
      </w:r>
      <w:r w:rsidR="00453F02">
        <w:rPr>
          <w:rFonts w:eastAsia="Times New Roman" w:cs="Times New Roman"/>
          <w:color w:val="222222"/>
          <w:sz w:val="22"/>
          <w:szCs w:val="22"/>
          <w:shd w:val="clear" w:color="auto" w:fill="FFFFFF"/>
        </w:rPr>
        <w:t>Stephanie Young-Peterson</w:t>
      </w:r>
      <w:r>
        <w:rPr>
          <w:rFonts w:eastAsia="Times New Roman" w:cs="Times New Roman"/>
          <w:color w:val="222222"/>
          <w:sz w:val="22"/>
          <w:szCs w:val="22"/>
          <w:shd w:val="clear" w:color="auto" w:fill="FFFFFF"/>
        </w:rPr>
        <w:t xml:space="preserve">, Rede Group; </w:t>
      </w:r>
    </w:p>
    <w:p w14:paraId="13327D43" w14:textId="77777777" w:rsidR="008F36E3" w:rsidRPr="008F36E3" w:rsidRDefault="008F36E3" w:rsidP="008F36E3">
      <w:pPr>
        <w:jc w:val="center"/>
        <w:rPr>
          <w:rFonts w:ascii="Times" w:eastAsia="Times New Roman" w:hAnsi="Times" w:cs="Times New Roman"/>
          <w:b/>
          <w:color w:val="222222"/>
          <w:shd w:val="clear" w:color="auto" w:fill="FFFFFF"/>
        </w:rPr>
      </w:pPr>
    </w:p>
    <w:tbl>
      <w:tblPr>
        <w:tblStyle w:val="TableGrid"/>
        <w:tblW w:w="10188" w:type="dxa"/>
        <w:tblInd w:w="-720" w:type="dxa"/>
        <w:tblBorders>
          <w:top w:val="none" w:sz="0" w:space="0" w:color="auto"/>
          <w:left w:val="none" w:sz="0" w:space="0" w:color="auto"/>
          <w:bottom w:val="none" w:sz="0" w:space="0" w:color="auto"/>
          <w:right w:val="none" w:sz="0" w:space="0" w:color="auto"/>
        </w:tblBorders>
        <w:tblLayout w:type="fixed"/>
        <w:tblLook w:val="04A0" w:firstRow="1" w:lastRow="0" w:firstColumn="1" w:lastColumn="0" w:noHBand="0" w:noVBand="1"/>
      </w:tblPr>
      <w:tblGrid>
        <w:gridCol w:w="2178"/>
        <w:gridCol w:w="1530"/>
        <w:gridCol w:w="6480"/>
      </w:tblGrid>
      <w:tr w:rsidR="008F36E3" w:rsidRPr="008F36E3" w14:paraId="02B20506" w14:textId="77777777" w:rsidTr="00256B62">
        <w:trPr>
          <w:trHeight w:val="276"/>
        </w:trPr>
        <w:tc>
          <w:tcPr>
            <w:tcW w:w="2178" w:type="dxa"/>
          </w:tcPr>
          <w:p w14:paraId="12FC3E32" w14:textId="77777777" w:rsidR="008F36E3" w:rsidRPr="008F36E3" w:rsidRDefault="008F36E3" w:rsidP="008F36E3">
            <w:pPr>
              <w:ind w:right="-720"/>
              <w:rPr>
                <w:b/>
              </w:rPr>
            </w:pPr>
            <w:r w:rsidRPr="008F36E3">
              <w:rPr>
                <w:b/>
              </w:rPr>
              <w:t>Item</w:t>
            </w:r>
          </w:p>
        </w:tc>
        <w:tc>
          <w:tcPr>
            <w:tcW w:w="1530" w:type="dxa"/>
          </w:tcPr>
          <w:p w14:paraId="71EAC93F" w14:textId="77777777" w:rsidR="008F36E3" w:rsidRPr="008F36E3" w:rsidRDefault="008F36E3" w:rsidP="008F36E3">
            <w:pPr>
              <w:ind w:right="-720"/>
              <w:rPr>
                <w:b/>
              </w:rPr>
            </w:pPr>
            <w:r w:rsidRPr="008F36E3">
              <w:rPr>
                <w:b/>
              </w:rPr>
              <w:t>How</w:t>
            </w:r>
          </w:p>
        </w:tc>
        <w:tc>
          <w:tcPr>
            <w:tcW w:w="6480" w:type="dxa"/>
          </w:tcPr>
          <w:p w14:paraId="573761DB" w14:textId="77777777" w:rsidR="008F36E3" w:rsidRPr="008F36E3" w:rsidRDefault="008F36E3" w:rsidP="008F36E3">
            <w:pPr>
              <w:ind w:right="-720"/>
              <w:rPr>
                <w:b/>
              </w:rPr>
            </w:pPr>
            <w:r w:rsidRPr="008F36E3">
              <w:rPr>
                <w:b/>
              </w:rPr>
              <w:t>Notes</w:t>
            </w:r>
          </w:p>
        </w:tc>
      </w:tr>
      <w:tr w:rsidR="008F36E3" w14:paraId="1F47BD39" w14:textId="77777777" w:rsidTr="00256B62">
        <w:trPr>
          <w:trHeight w:val="276"/>
        </w:trPr>
        <w:tc>
          <w:tcPr>
            <w:tcW w:w="2178" w:type="dxa"/>
          </w:tcPr>
          <w:p w14:paraId="4CB7B39D" w14:textId="77777777" w:rsidR="00622C2F" w:rsidRDefault="008F36E3" w:rsidP="008F36E3">
            <w:pPr>
              <w:ind w:right="-720"/>
            </w:pPr>
            <w:r>
              <w:t xml:space="preserve">Convene &amp; </w:t>
            </w:r>
          </w:p>
          <w:p w14:paraId="02777154" w14:textId="3E726002" w:rsidR="008F36E3" w:rsidRDefault="008F36E3" w:rsidP="008F36E3">
            <w:pPr>
              <w:ind w:right="-720"/>
            </w:pPr>
            <w:r>
              <w:t>Introduce</w:t>
            </w:r>
          </w:p>
        </w:tc>
        <w:tc>
          <w:tcPr>
            <w:tcW w:w="1530" w:type="dxa"/>
          </w:tcPr>
          <w:p w14:paraId="3B435532" w14:textId="77777777" w:rsidR="008F36E3" w:rsidRPr="00C214F1" w:rsidRDefault="008F36E3" w:rsidP="008F36E3">
            <w:pPr>
              <w:ind w:right="-720"/>
              <w:rPr>
                <w:sz w:val="20"/>
                <w:szCs w:val="20"/>
              </w:rPr>
            </w:pPr>
          </w:p>
        </w:tc>
        <w:tc>
          <w:tcPr>
            <w:tcW w:w="6480" w:type="dxa"/>
          </w:tcPr>
          <w:p w14:paraId="21283A0D" w14:textId="77777777" w:rsidR="008F36E3" w:rsidRPr="008F36E3" w:rsidRDefault="008F36E3" w:rsidP="008F36E3">
            <w:pPr>
              <w:ind w:right="-720"/>
              <w:rPr>
                <w:sz w:val="20"/>
                <w:szCs w:val="20"/>
              </w:rPr>
            </w:pPr>
          </w:p>
        </w:tc>
      </w:tr>
      <w:tr w:rsidR="008F36E3" w14:paraId="7644486F" w14:textId="77777777" w:rsidTr="00256B62">
        <w:trPr>
          <w:trHeight w:val="556"/>
        </w:trPr>
        <w:tc>
          <w:tcPr>
            <w:tcW w:w="2178" w:type="dxa"/>
          </w:tcPr>
          <w:p w14:paraId="1E32E589" w14:textId="77777777" w:rsidR="008F36E3" w:rsidRDefault="008F36E3" w:rsidP="008F36E3">
            <w:pPr>
              <w:ind w:right="-720"/>
            </w:pPr>
            <w:r>
              <w:t xml:space="preserve">Minutes </w:t>
            </w:r>
          </w:p>
        </w:tc>
        <w:tc>
          <w:tcPr>
            <w:tcW w:w="1530" w:type="dxa"/>
          </w:tcPr>
          <w:p w14:paraId="219C8A98" w14:textId="77777777" w:rsidR="008F36E3" w:rsidRPr="00C214F1" w:rsidRDefault="008F36E3" w:rsidP="008F36E3">
            <w:pPr>
              <w:ind w:right="-108"/>
              <w:rPr>
                <w:sz w:val="20"/>
                <w:szCs w:val="20"/>
              </w:rPr>
            </w:pPr>
            <w:r w:rsidRPr="00C214F1">
              <w:rPr>
                <w:sz w:val="20"/>
                <w:szCs w:val="20"/>
              </w:rPr>
              <w:t>APPROVE</w:t>
            </w:r>
          </w:p>
        </w:tc>
        <w:tc>
          <w:tcPr>
            <w:tcW w:w="6480" w:type="dxa"/>
          </w:tcPr>
          <w:p w14:paraId="0D7DAA2F" w14:textId="38D09A96" w:rsidR="00DD1D61" w:rsidRDefault="00DD1D61" w:rsidP="00C214F1">
            <w:pPr>
              <w:rPr>
                <w:sz w:val="20"/>
                <w:szCs w:val="20"/>
              </w:rPr>
            </w:pPr>
          </w:p>
          <w:p w14:paraId="0C6ABF94" w14:textId="6AA1FCCF" w:rsidR="008F36E3" w:rsidRPr="008F36E3" w:rsidRDefault="005D58FC" w:rsidP="005D58FC">
            <w:pPr>
              <w:rPr>
                <w:sz w:val="20"/>
                <w:szCs w:val="20"/>
              </w:rPr>
            </w:pPr>
            <w:r>
              <w:rPr>
                <w:b/>
                <w:i/>
                <w:sz w:val="20"/>
                <w:szCs w:val="20"/>
              </w:rPr>
              <w:t xml:space="preserve">No </w:t>
            </w:r>
            <w:r w:rsidR="00797B1A">
              <w:rPr>
                <w:b/>
                <w:i/>
                <w:sz w:val="20"/>
                <w:szCs w:val="20"/>
              </w:rPr>
              <w:t>Quorum</w:t>
            </w:r>
            <w:r>
              <w:rPr>
                <w:b/>
                <w:i/>
                <w:sz w:val="20"/>
                <w:szCs w:val="20"/>
              </w:rPr>
              <w:t xml:space="preserve"> so we didn’t take action on past minutes.</w:t>
            </w:r>
          </w:p>
        </w:tc>
      </w:tr>
      <w:tr w:rsidR="00DD1D61" w14:paraId="6C00E7C2" w14:textId="77777777" w:rsidTr="00256B62">
        <w:trPr>
          <w:trHeight w:val="556"/>
        </w:trPr>
        <w:tc>
          <w:tcPr>
            <w:tcW w:w="2178" w:type="dxa"/>
          </w:tcPr>
          <w:p w14:paraId="349BC8F4" w14:textId="77777777" w:rsidR="00DD1D61" w:rsidRDefault="00DD1D61" w:rsidP="008F36E3">
            <w:pPr>
              <w:ind w:right="-720"/>
            </w:pPr>
            <w:r>
              <w:t>Appointments</w:t>
            </w:r>
          </w:p>
        </w:tc>
        <w:tc>
          <w:tcPr>
            <w:tcW w:w="1530" w:type="dxa"/>
          </w:tcPr>
          <w:p w14:paraId="57791194" w14:textId="77777777" w:rsidR="00DD1D61" w:rsidRPr="00C214F1" w:rsidRDefault="00DD1D61" w:rsidP="008F36E3">
            <w:pPr>
              <w:ind w:right="-108"/>
              <w:rPr>
                <w:sz w:val="20"/>
                <w:szCs w:val="20"/>
              </w:rPr>
            </w:pPr>
          </w:p>
        </w:tc>
        <w:tc>
          <w:tcPr>
            <w:tcW w:w="6480" w:type="dxa"/>
          </w:tcPr>
          <w:p w14:paraId="5AA44BE8" w14:textId="44D9FBA0" w:rsidR="00DD1D61" w:rsidRDefault="00DD1D61" w:rsidP="00C214F1">
            <w:pPr>
              <w:rPr>
                <w:sz w:val="20"/>
                <w:szCs w:val="20"/>
              </w:rPr>
            </w:pPr>
          </w:p>
        </w:tc>
      </w:tr>
      <w:tr w:rsidR="008F36E3" w14:paraId="3DA17E70" w14:textId="77777777" w:rsidTr="00256B62">
        <w:trPr>
          <w:trHeight w:val="276"/>
        </w:trPr>
        <w:tc>
          <w:tcPr>
            <w:tcW w:w="2178" w:type="dxa"/>
          </w:tcPr>
          <w:p w14:paraId="79C7ED91" w14:textId="3AA43624" w:rsidR="008F36E3" w:rsidRDefault="00BF2169" w:rsidP="008F36E3">
            <w:pPr>
              <w:ind w:right="-720"/>
            </w:pPr>
            <w:r>
              <w:t>Behavioral Health Collaborative</w:t>
            </w:r>
          </w:p>
        </w:tc>
        <w:tc>
          <w:tcPr>
            <w:tcW w:w="1530" w:type="dxa"/>
          </w:tcPr>
          <w:p w14:paraId="05F1C9B1" w14:textId="6BEB732A" w:rsidR="008F36E3" w:rsidRPr="00C214F1" w:rsidRDefault="008F36E3" w:rsidP="00D02CCC">
            <w:pPr>
              <w:ind w:right="-108"/>
              <w:rPr>
                <w:sz w:val="20"/>
                <w:szCs w:val="20"/>
              </w:rPr>
            </w:pPr>
          </w:p>
        </w:tc>
        <w:tc>
          <w:tcPr>
            <w:tcW w:w="6480" w:type="dxa"/>
          </w:tcPr>
          <w:p w14:paraId="342D7370" w14:textId="77777777" w:rsidR="00BF2169" w:rsidRDefault="00BF2169" w:rsidP="00622C2F">
            <w:pPr>
              <w:rPr>
                <w:sz w:val="20"/>
                <w:szCs w:val="20"/>
              </w:rPr>
            </w:pPr>
            <w:r>
              <w:rPr>
                <w:sz w:val="20"/>
                <w:szCs w:val="20"/>
              </w:rPr>
              <w:t xml:space="preserve">Four workgroups as a result of the Behavioral Health Collaborative improvements toward greater integration of Health System and Behavioral Health. </w:t>
            </w:r>
          </w:p>
          <w:p w14:paraId="291D848B" w14:textId="77777777" w:rsidR="00BF2169" w:rsidRDefault="00BF2169" w:rsidP="00622C2F">
            <w:pPr>
              <w:rPr>
                <w:sz w:val="20"/>
                <w:szCs w:val="20"/>
              </w:rPr>
            </w:pPr>
          </w:p>
          <w:p w14:paraId="338B81FD" w14:textId="77777777" w:rsidR="00BF2169" w:rsidRDefault="00BF2169" w:rsidP="00622C2F">
            <w:pPr>
              <w:rPr>
                <w:sz w:val="20"/>
                <w:szCs w:val="20"/>
              </w:rPr>
            </w:pPr>
            <w:r>
              <w:rPr>
                <w:sz w:val="20"/>
                <w:szCs w:val="20"/>
              </w:rPr>
              <w:t xml:space="preserve">Workgroup – single point of accountability in local communities </w:t>
            </w:r>
          </w:p>
          <w:p w14:paraId="3779EBB4" w14:textId="77777777" w:rsidR="00BF2169" w:rsidRDefault="00BF2169" w:rsidP="00622C2F">
            <w:pPr>
              <w:rPr>
                <w:sz w:val="20"/>
                <w:szCs w:val="20"/>
              </w:rPr>
            </w:pPr>
          </w:p>
          <w:p w14:paraId="4FB5C63B" w14:textId="2DAEDC40" w:rsidR="000F69EA" w:rsidRDefault="00BF2169" w:rsidP="00622C2F">
            <w:pPr>
              <w:rPr>
                <w:sz w:val="20"/>
                <w:szCs w:val="20"/>
              </w:rPr>
            </w:pPr>
            <w:r>
              <w:rPr>
                <w:sz w:val="20"/>
                <w:szCs w:val="20"/>
              </w:rPr>
              <w:t xml:space="preserve">Communities come together in regions with mental health, local public </w:t>
            </w:r>
            <w:r w:rsidR="005D58FC">
              <w:rPr>
                <w:sz w:val="20"/>
                <w:szCs w:val="20"/>
              </w:rPr>
              <w:t>health</w:t>
            </w:r>
            <w:r>
              <w:rPr>
                <w:sz w:val="20"/>
                <w:szCs w:val="20"/>
              </w:rPr>
              <w:t xml:space="preserve"> and other partners and stakeholders to figure out and identify key outcomes from prevention to treatment and design a </w:t>
            </w:r>
            <w:r w:rsidR="005D58FC">
              <w:rPr>
                <w:sz w:val="20"/>
                <w:szCs w:val="20"/>
              </w:rPr>
              <w:t>work plan</w:t>
            </w:r>
            <w:r>
              <w:rPr>
                <w:sz w:val="20"/>
                <w:szCs w:val="20"/>
              </w:rPr>
              <w:t>.  Public health – who is responsible for convening?  Public health could be a convening partner but maybe not the sole conveyer?  Regional conversations</w:t>
            </w:r>
            <w:r w:rsidR="00A873F1">
              <w:rPr>
                <w:sz w:val="20"/>
                <w:szCs w:val="20"/>
              </w:rPr>
              <w:t xml:space="preserve">. </w:t>
            </w:r>
          </w:p>
          <w:p w14:paraId="2F0DBC1E" w14:textId="77777777" w:rsidR="00A873F1" w:rsidRDefault="00A873F1" w:rsidP="00622C2F">
            <w:pPr>
              <w:rPr>
                <w:sz w:val="20"/>
                <w:szCs w:val="20"/>
              </w:rPr>
            </w:pPr>
          </w:p>
          <w:p w14:paraId="38234F2F" w14:textId="0D488567" w:rsidR="00A873F1" w:rsidRPr="008F36E3" w:rsidRDefault="00A873F1" w:rsidP="00622C2F">
            <w:pPr>
              <w:rPr>
                <w:b/>
                <w:i/>
                <w:sz w:val="20"/>
                <w:szCs w:val="20"/>
              </w:rPr>
            </w:pPr>
            <w:r>
              <w:rPr>
                <w:sz w:val="20"/>
                <w:szCs w:val="20"/>
              </w:rPr>
              <w:t xml:space="preserve">Feedback – Public Health Division recognized that Local Public Health could be a </w:t>
            </w:r>
            <w:r w:rsidR="001F30EB">
              <w:rPr>
                <w:sz w:val="20"/>
                <w:szCs w:val="20"/>
              </w:rPr>
              <w:t>conveyer</w:t>
            </w:r>
            <w:r>
              <w:rPr>
                <w:sz w:val="20"/>
                <w:szCs w:val="20"/>
              </w:rPr>
              <w:t xml:space="preserve">. </w:t>
            </w:r>
          </w:p>
        </w:tc>
      </w:tr>
      <w:tr w:rsidR="008F36E3" w14:paraId="4A38BAAA" w14:textId="77777777" w:rsidTr="00256B62">
        <w:trPr>
          <w:trHeight w:val="556"/>
        </w:trPr>
        <w:tc>
          <w:tcPr>
            <w:tcW w:w="2178" w:type="dxa"/>
          </w:tcPr>
          <w:p w14:paraId="777C69A6" w14:textId="4C36AD13" w:rsidR="008F36E3" w:rsidRDefault="00A873F1" w:rsidP="00D02CCC">
            <w:pPr>
              <w:ind w:right="-108"/>
            </w:pPr>
            <w:r>
              <w:t>AOC Staffing Changes</w:t>
            </w:r>
          </w:p>
        </w:tc>
        <w:tc>
          <w:tcPr>
            <w:tcW w:w="1530" w:type="dxa"/>
          </w:tcPr>
          <w:p w14:paraId="7AEDF2C6" w14:textId="689A9914" w:rsidR="008F36E3" w:rsidRPr="00C214F1" w:rsidRDefault="008F36E3" w:rsidP="00A873F1">
            <w:pPr>
              <w:ind w:right="-108"/>
              <w:rPr>
                <w:sz w:val="20"/>
                <w:szCs w:val="20"/>
              </w:rPr>
            </w:pPr>
            <w:r w:rsidRPr="00C214F1">
              <w:rPr>
                <w:sz w:val="20"/>
                <w:szCs w:val="20"/>
              </w:rPr>
              <w:t xml:space="preserve">Update </w:t>
            </w:r>
          </w:p>
        </w:tc>
        <w:tc>
          <w:tcPr>
            <w:tcW w:w="6480" w:type="dxa"/>
          </w:tcPr>
          <w:p w14:paraId="0177046F" w14:textId="2B215ECB" w:rsidR="00D16EBB" w:rsidRDefault="001F30EB" w:rsidP="00622C2F">
            <w:pPr>
              <w:rPr>
                <w:sz w:val="20"/>
                <w:szCs w:val="20"/>
              </w:rPr>
            </w:pPr>
            <w:r>
              <w:rPr>
                <w:sz w:val="20"/>
                <w:szCs w:val="20"/>
              </w:rPr>
              <w:t>Morgan gave an update on the AOC staffing changes.  Stacy Michaelson’s last day was this past Monday</w:t>
            </w:r>
            <w:r w:rsidR="00E84D9E">
              <w:rPr>
                <w:sz w:val="20"/>
                <w:szCs w:val="20"/>
              </w:rPr>
              <w:t>, August 14th</w:t>
            </w:r>
            <w:r>
              <w:rPr>
                <w:sz w:val="20"/>
                <w:szCs w:val="20"/>
              </w:rPr>
              <w:t xml:space="preserve"> and the AOC is currently discussing how they will be filing the AOC HS Policy Role. </w:t>
            </w:r>
          </w:p>
          <w:p w14:paraId="71BF1294" w14:textId="47C23BA5" w:rsidR="00D16EBB" w:rsidRPr="008F36E3" w:rsidRDefault="00D16EBB" w:rsidP="00622C2F">
            <w:pPr>
              <w:rPr>
                <w:sz w:val="20"/>
                <w:szCs w:val="20"/>
              </w:rPr>
            </w:pPr>
            <w:r>
              <w:rPr>
                <w:sz w:val="20"/>
                <w:szCs w:val="20"/>
              </w:rPr>
              <w:t xml:space="preserve"> </w:t>
            </w:r>
          </w:p>
        </w:tc>
      </w:tr>
      <w:tr w:rsidR="008F36E3" w14:paraId="1BDDD322" w14:textId="77777777" w:rsidTr="00256B62">
        <w:trPr>
          <w:trHeight w:val="556"/>
        </w:trPr>
        <w:tc>
          <w:tcPr>
            <w:tcW w:w="2178" w:type="dxa"/>
          </w:tcPr>
          <w:p w14:paraId="7D5DF22E" w14:textId="434D6153" w:rsidR="008F36E3" w:rsidRDefault="00A873F1" w:rsidP="008F36E3">
            <w:pPr>
              <w:ind w:right="-18"/>
            </w:pPr>
            <w:r>
              <w:t>Local Public Health Staffing Changes</w:t>
            </w:r>
          </w:p>
        </w:tc>
        <w:tc>
          <w:tcPr>
            <w:tcW w:w="1530" w:type="dxa"/>
          </w:tcPr>
          <w:p w14:paraId="1820DA88" w14:textId="1281F2D1" w:rsidR="00D02CCC" w:rsidRPr="00CF08A1" w:rsidRDefault="008F36E3" w:rsidP="00D02CCC">
            <w:pPr>
              <w:ind w:right="-720"/>
            </w:pPr>
            <w:r w:rsidRPr="00CF08A1">
              <w:t xml:space="preserve">Update </w:t>
            </w:r>
          </w:p>
          <w:p w14:paraId="3F6C44C9" w14:textId="6E95E7D9" w:rsidR="008F36E3" w:rsidRPr="00CF08A1" w:rsidRDefault="008F36E3" w:rsidP="008F36E3">
            <w:pPr>
              <w:ind w:right="-720"/>
            </w:pPr>
          </w:p>
        </w:tc>
        <w:tc>
          <w:tcPr>
            <w:tcW w:w="6480" w:type="dxa"/>
          </w:tcPr>
          <w:p w14:paraId="01E7275D" w14:textId="08910009" w:rsidR="00F840A9" w:rsidRPr="008F36E3" w:rsidRDefault="00E84D9E" w:rsidP="00622C2F">
            <w:pPr>
              <w:ind w:right="-108"/>
              <w:rPr>
                <w:sz w:val="20"/>
                <w:szCs w:val="20"/>
              </w:rPr>
            </w:pPr>
            <w:r>
              <w:rPr>
                <w:sz w:val="20"/>
                <w:szCs w:val="20"/>
              </w:rPr>
              <w:t xml:space="preserve">CLHO, AOC and OHA have been meeting to keep in touch to try and support Counties as they make changes in how they are delivering public health services. </w:t>
            </w:r>
          </w:p>
        </w:tc>
      </w:tr>
      <w:tr w:rsidR="00622C2F" w14:paraId="5D3D57DE" w14:textId="77777777" w:rsidTr="00A873F1">
        <w:trPr>
          <w:trHeight w:val="1232"/>
        </w:trPr>
        <w:tc>
          <w:tcPr>
            <w:tcW w:w="2178" w:type="dxa"/>
          </w:tcPr>
          <w:p w14:paraId="5D243E41" w14:textId="28653134" w:rsidR="00622C2F" w:rsidRDefault="00A873F1" w:rsidP="008F36E3">
            <w:pPr>
              <w:ind w:right="-18"/>
            </w:pPr>
            <w:r>
              <w:lastRenderedPageBreak/>
              <w:t>CLHO Program Manager – hiring update</w:t>
            </w:r>
          </w:p>
        </w:tc>
        <w:tc>
          <w:tcPr>
            <w:tcW w:w="1530" w:type="dxa"/>
          </w:tcPr>
          <w:p w14:paraId="52753162" w14:textId="2283E930" w:rsidR="00622C2F" w:rsidRPr="00CF08A1" w:rsidRDefault="00622C2F" w:rsidP="00D02CCC">
            <w:pPr>
              <w:ind w:right="-720"/>
            </w:pPr>
          </w:p>
        </w:tc>
        <w:tc>
          <w:tcPr>
            <w:tcW w:w="6480" w:type="dxa"/>
          </w:tcPr>
          <w:p w14:paraId="74F45A69" w14:textId="57E61590" w:rsidR="003C6EF6" w:rsidRPr="008F36E3" w:rsidRDefault="00E84D9E" w:rsidP="00797B1A">
            <w:pPr>
              <w:ind w:right="-108"/>
              <w:rPr>
                <w:sz w:val="20"/>
                <w:szCs w:val="20"/>
              </w:rPr>
            </w:pPr>
            <w:r>
              <w:rPr>
                <w:sz w:val="20"/>
                <w:szCs w:val="20"/>
              </w:rPr>
              <w:t xml:space="preserve">So far a successful CLHO Program Manager recruitment process. We’ve received almost 100 cover letters and resumes from potential applicants. </w:t>
            </w:r>
            <w:r w:rsidR="00797B1A">
              <w:rPr>
                <w:sz w:val="20"/>
                <w:szCs w:val="20"/>
              </w:rPr>
              <w:t xml:space="preserve"> Morgan let the Board know that interviews will take place after the meeting today.  Morgan is very hopeful that we will be able to announce a new Program Manager shortly. </w:t>
            </w:r>
          </w:p>
        </w:tc>
      </w:tr>
      <w:tr w:rsidR="00E276EF" w14:paraId="38A3FD0B" w14:textId="77777777" w:rsidTr="00D06C52">
        <w:trPr>
          <w:trHeight w:val="3563"/>
        </w:trPr>
        <w:tc>
          <w:tcPr>
            <w:tcW w:w="2178" w:type="dxa"/>
          </w:tcPr>
          <w:p w14:paraId="63A80DD0" w14:textId="79B5BD3D" w:rsidR="00E276EF" w:rsidRDefault="00A873F1" w:rsidP="00E276EF">
            <w:pPr>
              <w:ind w:right="-18"/>
            </w:pPr>
            <w:r>
              <w:t>CLHO Retreat Discussion - feedback</w:t>
            </w:r>
          </w:p>
        </w:tc>
        <w:tc>
          <w:tcPr>
            <w:tcW w:w="1530" w:type="dxa"/>
          </w:tcPr>
          <w:p w14:paraId="4126DDB9" w14:textId="77777777" w:rsidR="00E276EF" w:rsidRDefault="00E276EF" w:rsidP="006E0D13">
            <w:pPr>
              <w:ind w:right="-720"/>
            </w:pPr>
          </w:p>
        </w:tc>
        <w:tc>
          <w:tcPr>
            <w:tcW w:w="6480" w:type="dxa"/>
          </w:tcPr>
          <w:p w14:paraId="277A088F" w14:textId="77777777" w:rsidR="00E276EF" w:rsidRDefault="00E276EF" w:rsidP="00797B1A">
            <w:pPr>
              <w:rPr>
                <w:sz w:val="20"/>
                <w:szCs w:val="20"/>
              </w:rPr>
            </w:pPr>
            <w:r>
              <w:rPr>
                <w:sz w:val="20"/>
                <w:szCs w:val="20"/>
              </w:rPr>
              <w:t xml:space="preserve"> </w:t>
            </w:r>
            <w:r w:rsidR="00797B1A">
              <w:rPr>
                <w:sz w:val="20"/>
                <w:szCs w:val="20"/>
              </w:rPr>
              <w:t xml:space="preserve">Morgan reminded the Board that this was the last monthly meeting before our Annual Board meeting next month.   During past meetings we’d received feedback for the session types but at this point the CLHO staff, Morgan, really needs specific feedback as to how the membership would like to see these sessions go so this can be time well-spent.  Here is the feedback the group provided: </w:t>
            </w:r>
          </w:p>
          <w:p w14:paraId="1C09683F" w14:textId="77777777" w:rsidR="00797B1A" w:rsidRDefault="00797B1A" w:rsidP="00797B1A">
            <w:pPr>
              <w:rPr>
                <w:sz w:val="20"/>
                <w:szCs w:val="20"/>
              </w:rPr>
            </w:pPr>
          </w:p>
          <w:p w14:paraId="1441E3E7" w14:textId="2AF6A87B" w:rsidR="00797B1A" w:rsidRDefault="00797B1A" w:rsidP="00797B1A">
            <w:pPr>
              <w:rPr>
                <w:sz w:val="20"/>
                <w:szCs w:val="20"/>
              </w:rPr>
            </w:pPr>
            <w:r>
              <w:rPr>
                <w:sz w:val="20"/>
                <w:szCs w:val="20"/>
              </w:rPr>
              <w:t>Spokeperson</w:t>
            </w:r>
            <w:r w:rsidR="00D06C52">
              <w:rPr>
                <w:sz w:val="20"/>
                <w:szCs w:val="20"/>
              </w:rPr>
              <w:t xml:space="preserve"> Training – make sure this is applied</w:t>
            </w:r>
          </w:p>
          <w:p w14:paraId="53AA3CD6" w14:textId="77777777" w:rsidR="00D06C52" w:rsidRDefault="00D06C52" w:rsidP="00797B1A">
            <w:pPr>
              <w:rPr>
                <w:sz w:val="20"/>
                <w:szCs w:val="20"/>
              </w:rPr>
            </w:pPr>
          </w:p>
          <w:p w14:paraId="4734CD58" w14:textId="04162CD4" w:rsidR="00D06C52" w:rsidRDefault="00D06C52" w:rsidP="00797B1A">
            <w:pPr>
              <w:rPr>
                <w:sz w:val="20"/>
                <w:szCs w:val="20"/>
              </w:rPr>
            </w:pPr>
            <w:r>
              <w:rPr>
                <w:sz w:val="20"/>
                <w:szCs w:val="20"/>
              </w:rPr>
              <w:t xml:space="preserve">Health Equity – members indicated they were interested in another training.  There was some question about continuing the conversation from last year about how to work on this issue as a public health system.  Other members reminded the Board that we have received some funding and it would be good to ensure that equity was a consideration in the CD work that has been funded. </w:t>
            </w:r>
          </w:p>
          <w:p w14:paraId="61C27085" w14:textId="77777777" w:rsidR="00D06C52" w:rsidRDefault="00D06C52" w:rsidP="00797B1A">
            <w:pPr>
              <w:rPr>
                <w:sz w:val="20"/>
                <w:szCs w:val="20"/>
              </w:rPr>
            </w:pPr>
          </w:p>
          <w:p w14:paraId="32F11D99" w14:textId="7377968C" w:rsidR="00D06C52" w:rsidRDefault="00D06C52" w:rsidP="00797B1A">
            <w:pPr>
              <w:rPr>
                <w:sz w:val="20"/>
                <w:szCs w:val="20"/>
              </w:rPr>
            </w:pPr>
            <w:r>
              <w:rPr>
                <w:sz w:val="20"/>
                <w:szCs w:val="20"/>
              </w:rPr>
              <w:t xml:space="preserve">Modernization Sessions – The goal of the retreat is to bring local health departments together and this will be the first year there is actually funding to start doing the work.  The Rede Group will be available at the retreat to help provide very tangible technical assistance to the local health department members. </w:t>
            </w:r>
          </w:p>
          <w:p w14:paraId="21B1D903" w14:textId="77777777" w:rsidR="00D65D00" w:rsidRDefault="00D65D00" w:rsidP="00797B1A">
            <w:pPr>
              <w:rPr>
                <w:sz w:val="20"/>
                <w:szCs w:val="20"/>
              </w:rPr>
            </w:pPr>
          </w:p>
          <w:p w14:paraId="3EDF1198" w14:textId="0A142F02" w:rsidR="00D65D00" w:rsidRDefault="00D65D00" w:rsidP="00797B1A">
            <w:pPr>
              <w:rPr>
                <w:sz w:val="20"/>
                <w:szCs w:val="20"/>
              </w:rPr>
            </w:pPr>
            <w:r>
              <w:rPr>
                <w:sz w:val="20"/>
                <w:szCs w:val="20"/>
              </w:rPr>
              <w:t xml:space="preserve">Charlie asked Morgan if there was enough feedback.  Morgan said, “yes” almost too much feedback.  </w:t>
            </w:r>
            <w:r w:rsidRPr="00D65D00">
              <w:rPr>
                <w:sz w:val="20"/>
                <w:szCs w:val="20"/>
              </w:rPr>
              <w:sym w:font="Wingdings" w:char="F04A"/>
            </w:r>
            <w:bookmarkStart w:id="0" w:name="_GoBack"/>
            <w:bookmarkEnd w:id="0"/>
          </w:p>
          <w:p w14:paraId="0B14D109" w14:textId="57185FC7" w:rsidR="00797B1A" w:rsidRDefault="00797B1A" w:rsidP="00797B1A">
            <w:pPr>
              <w:rPr>
                <w:sz w:val="20"/>
                <w:szCs w:val="20"/>
              </w:rPr>
            </w:pPr>
          </w:p>
        </w:tc>
      </w:tr>
      <w:tr w:rsidR="00E276EF" w14:paraId="0239BB62" w14:textId="77777777" w:rsidTr="00B56C54">
        <w:trPr>
          <w:trHeight w:val="1979"/>
        </w:trPr>
        <w:tc>
          <w:tcPr>
            <w:tcW w:w="2178" w:type="dxa"/>
          </w:tcPr>
          <w:p w14:paraId="3E8C8B61" w14:textId="7B637E4C" w:rsidR="00E276EF" w:rsidRDefault="00E276EF" w:rsidP="00F840A9">
            <w:pPr>
              <w:ind w:right="-18"/>
            </w:pPr>
            <w:r>
              <w:t>Adjourn</w:t>
            </w:r>
          </w:p>
        </w:tc>
        <w:tc>
          <w:tcPr>
            <w:tcW w:w="1530" w:type="dxa"/>
          </w:tcPr>
          <w:p w14:paraId="30CBCB9A" w14:textId="77777777" w:rsidR="00E276EF" w:rsidRDefault="00E276EF" w:rsidP="008F36E3">
            <w:pPr>
              <w:ind w:right="-720"/>
            </w:pPr>
          </w:p>
        </w:tc>
        <w:tc>
          <w:tcPr>
            <w:tcW w:w="6480" w:type="dxa"/>
          </w:tcPr>
          <w:p w14:paraId="154E91BD" w14:textId="77777777" w:rsidR="00E276EF" w:rsidRDefault="00E276EF" w:rsidP="00622C2F">
            <w:pPr>
              <w:rPr>
                <w:sz w:val="20"/>
                <w:szCs w:val="20"/>
              </w:rPr>
            </w:pPr>
          </w:p>
        </w:tc>
      </w:tr>
    </w:tbl>
    <w:p w14:paraId="0330D4C1" w14:textId="2730942F" w:rsidR="00323012" w:rsidRDefault="00323012"/>
    <w:sectPr w:rsidR="00323012" w:rsidSect="00622C2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auto"/>
    <w:pitch w:val="variable"/>
    <w:sig w:usb0="00000003" w:usb1="00000000" w:usb2="00000000" w:usb3="00000000" w:csb0="00000001" w:csb1="00000000"/>
  </w:font>
  <w:font w:name="ＭＳ 明朝">
    <w:charset w:val="4E"/>
    <w:family w:val="auto"/>
    <w:pitch w:val="variable"/>
    <w:sig w:usb0="00000001" w:usb1="08070000" w:usb2="00000010" w:usb3="00000000" w:csb0="00020000" w:csb1="00000000"/>
  </w:font>
  <w:font w:name="Arial">
    <w:panose1 w:val="020B0604020202020204"/>
    <w:charset w:val="00"/>
    <w:family w:val="auto"/>
    <w:pitch w:val="variable"/>
    <w:sig w:usb0="E0002AFF" w:usb1="C0007843" w:usb2="00000009" w:usb3="00000000" w:csb0="000001FF" w:csb1="00000000"/>
  </w:font>
  <w:font w:name="Cambria">
    <w:panose1 w:val="02040503050406030204"/>
    <w:charset w:val="00"/>
    <w:family w:val="auto"/>
    <w:pitch w:val="variable"/>
    <w:sig w:usb0="E00002FF" w:usb1="400004FF" w:usb2="00000000" w:usb3="00000000" w:csb0="0000019F" w:csb1="00000000"/>
  </w:font>
  <w:font w:name="Lucida Grande">
    <w:panose1 w:val="020B0600040502020204"/>
    <w:charset w:val="00"/>
    <w:family w:val="auto"/>
    <w:pitch w:val="variable"/>
    <w:sig w:usb0="E1000AEF" w:usb1="5000A1FF" w:usb2="00000000" w:usb3="00000000" w:csb0="000001BF" w:csb1="00000000"/>
  </w:font>
  <w:font w:name="Times">
    <w:panose1 w:val="02000500000000000000"/>
    <w:charset w:val="00"/>
    <w:family w:val="auto"/>
    <w:pitch w:val="variable"/>
    <w:sig w:usb0="00000003" w:usb1="00000000" w:usb2="00000000" w:usb3="00000000" w:csb0="00000001" w:csb1="00000000"/>
  </w:font>
  <w:font w:name="ＭＳ ゴシック">
    <w:charset w:val="4E"/>
    <w:family w:val="auto"/>
    <w:pitch w:val="variable"/>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1526D34"/>
    <w:multiLevelType w:val="hybridMultilevel"/>
    <w:tmpl w:val="ABB866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369A0102"/>
    <w:multiLevelType w:val="hybridMultilevel"/>
    <w:tmpl w:val="7B84F664"/>
    <w:lvl w:ilvl="0" w:tplc="5A2259F4">
      <w:start w:val="5"/>
      <w:numFmt w:val="bullet"/>
      <w:lvlText w:val="-"/>
      <w:lvlJc w:val="left"/>
      <w:pPr>
        <w:ind w:left="720" w:hanging="360"/>
      </w:pPr>
      <w:rPr>
        <w:rFonts w:ascii="Century Gothic" w:eastAsiaTheme="minorEastAsia" w:hAnsi="Century Gothic" w:cs="Aria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40FD6695"/>
    <w:multiLevelType w:val="hybridMultilevel"/>
    <w:tmpl w:val="6624081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5BD84A00"/>
    <w:multiLevelType w:val="hybridMultilevel"/>
    <w:tmpl w:val="DE8A03B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61B05C4E"/>
    <w:multiLevelType w:val="hybridMultilevel"/>
    <w:tmpl w:val="89B469E4"/>
    <w:lvl w:ilvl="0" w:tplc="9140A634">
      <w:start w:val="4"/>
      <w:numFmt w:val="bullet"/>
      <w:lvlText w:val="-"/>
      <w:lvlJc w:val="left"/>
      <w:pPr>
        <w:ind w:left="720" w:hanging="360"/>
      </w:pPr>
      <w:rPr>
        <w:rFonts w:ascii="Century Gothic" w:eastAsiaTheme="minorEastAsia" w:hAnsi="Century Gothic" w:cs="Aria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3"/>
  </w:num>
  <w:num w:numId="4">
    <w:abstractNumId w:val="0"/>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F36E3"/>
    <w:rsid w:val="000D5AF1"/>
    <w:rsid w:val="000E48E1"/>
    <w:rsid w:val="000F69EA"/>
    <w:rsid w:val="00136EDC"/>
    <w:rsid w:val="001F30EB"/>
    <w:rsid w:val="00256B62"/>
    <w:rsid w:val="00323012"/>
    <w:rsid w:val="00353DC4"/>
    <w:rsid w:val="003C441B"/>
    <w:rsid w:val="003C6EF6"/>
    <w:rsid w:val="00453F02"/>
    <w:rsid w:val="004E4744"/>
    <w:rsid w:val="005A1993"/>
    <w:rsid w:val="005A66E4"/>
    <w:rsid w:val="005D58FC"/>
    <w:rsid w:val="00622C2F"/>
    <w:rsid w:val="00670844"/>
    <w:rsid w:val="006B42FE"/>
    <w:rsid w:val="006C47C2"/>
    <w:rsid w:val="006C5F3A"/>
    <w:rsid w:val="006E0D13"/>
    <w:rsid w:val="00755D99"/>
    <w:rsid w:val="00774C8A"/>
    <w:rsid w:val="00797B1A"/>
    <w:rsid w:val="00846E70"/>
    <w:rsid w:val="008F36E3"/>
    <w:rsid w:val="00A873F1"/>
    <w:rsid w:val="00B56C54"/>
    <w:rsid w:val="00BF2169"/>
    <w:rsid w:val="00BF7225"/>
    <w:rsid w:val="00C214F1"/>
    <w:rsid w:val="00CA72F0"/>
    <w:rsid w:val="00CC5F0C"/>
    <w:rsid w:val="00D02CCC"/>
    <w:rsid w:val="00D06C52"/>
    <w:rsid w:val="00D16EBB"/>
    <w:rsid w:val="00D21C96"/>
    <w:rsid w:val="00D65D00"/>
    <w:rsid w:val="00DD1D61"/>
    <w:rsid w:val="00E115B4"/>
    <w:rsid w:val="00E276EF"/>
    <w:rsid w:val="00E84D9E"/>
    <w:rsid w:val="00F26252"/>
    <w:rsid w:val="00F409CB"/>
    <w:rsid w:val="00F458F5"/>
    <w:rsid w:val="00F5692C"/>
    <w:rsid w:val="00F840A9"/>
    <w:rsid w:val="00FA07EC"/>
    <w:rsid w:val="00FD17D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73C88C65"/>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F36E3"/>
    <w:rPr>
      <w:rFonts w:ascii="Century Gothic" w:hAnsi="Century Gothic"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8F36E3"/>
    <w:pPr>
      <w:jc w:val="center"/>
    </w:pPr>
    <w:rPr>
      <w:rFonts w:ascii="Times New Roman" w:eastAsia="Times New Roman" w:hAnsi="Times New Roman" w:cs="Times New Roman"/>
      <w:b/>
      <w:bCs/>
    </w:rPr>
  </w:style>
  <w:style w:type="character" w:customStyle="1" w:styleId="TitleChar">
    <w:name w:val="Title Char"/>
    <w:basedOn w:val="DefaultParagraphFont"/>
    <w:link w:val="Title"/>
    <w:rsid w:val="008F36E3"/>
    <w:rPr>
      <w:rFonts w:ascii="Times New Roman" w:eastAsia="Times New Roman" w:hAnsi="Times New Roman" w:cs="Times New Roman"/>
      <w:b/>
      <w:bCs/>
    </w:rPr>
  </w:style>
  <w:style w:type="paragraph" w:styleId="BodyText2">
    <w:name w:val="Body Text 2"/>
    <w:basedOn w:val="Normal"/>
    <w:link w:val="BodyText2Char"/>
    <w:rsid w:val="008F36E3"/>
    <w:pPr>
      <w:jc w:val="center"/>
    </w:pPr>
    <w:rPr>
      <w:rFonts w:ascii="Times New Roman" w:eastAsia="Times New Roman" w:hAnsi="Times New Roman" w:cs="Times New Roman"/>
      <w:b/>
      <w:bCs/>
    </w:rPr>
  </w:style>
  <w:style w:type="character" w:customStyle="1" w:styleId="BodyText2Char">
    <w:name w:val="Body Text 2 Char"/>
    <w:basedOn w:val="DefaultParagraphFont"/>
    <w:link w:val="BodyText2"/>
    <w:rsid w:val="008F36E3"/>
    <w:rPr>
      <w:rFonts w:ascii="Times New Roman" w:eastAsia="Times New Roman" w:hAnsi="Times New Roman" w:cs="Times New Roman"/>
      <w:b/>
      <w:bCs/>
    </w:rPr>
  </w:style>
  <w:style w:type="table" w:styleId="TableGrid">
    <w:name w:val="Table Grid"/>
    <w:basedOn w:val="TableNormal"/>
    <w:uiPriority w:val="59"/>
    <w:rsid w:val="008F36E3"/>
    <w:rPr>
      <w:rFonts w:ascii="Century Gothic" w:hAnsi="Century Gothic" w:cs="Ari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8F36E3"/>
    <w:pPr>
      <w:ind w:left="720"/>
      <w:contextualSpacing/>
    </w:pPr>
  </w:style>
  <w:style w:type="paragraph" w:styleId="BalloonText">
    <w:name w:val="Balloon Text"/>
    <w:basedOn w:val="Normal"/>
    <w:link w:val="BalloonTextChar"/>
    <w:uiPriority w:val="99"/>
    <w:semiHidden/>
    <w:unhideWhenUsed/>
    <w:rsid w:val="00353DC4"/>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353DC4"/>
    <w:rPr>
      <w:rFonts w:ascii="Lucida Grande" w:hAnsi="Lucida Grande" w:cs="Lucida Grande"/>
      <w:sz w:val="18"/>
      <w:szCs w:val="18"/>
    </w:rPr>
  </w:style>
  <w:style w:type="character" w:styleId="Hyperlink">
    <w:name w:val="Hyperlink"/>
    <w:basedOn w:val="DefaultParagraphFont"/>
    <w:uiPriority w:val="99"/>
    <w:unhideWhenUsed/>
    <w:rsid w:val="006C5F3A"/>
    <w:rPr>
      <w:color w:val="0000FF" w:themeColor="hyperlink"/>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F36E3"/>
    <w:rPr>
      <w:rFonts w:ascii="Century Gothic" w:hAnsi="Century Gothic"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8F36E3"/>
    <w:pPr>
      <w:jc w:val="center"/>
    </w:pPr>
    <w:rPr>
      <w:rFonts w:ascii="Times New Roman" w:eastAsia="Times New Roman" w:hAnsi="Times New Roman" w:cs="Times New Roman"/>
      <w:b/>
      <w:bCs/>
    </w:rPr>
  </w:style>
  <w:style w:type="character" w:customStyle="1" w:styleId="TitleChar">
    <w:name w:val="Title Char"/>
    <w:basedOn w:val="DefaultParagraphFont"/>
    <w:link w:val="Title"/>
    <w:rsid w:val="008F36E3"/>
    <w:rPr>
      <w:rFonts w:ascii="Times New Roman" w:eastAsia="Times New Roman" w:hAnsi="Times New Roman" w:cs="Times New Roman"/>
      <w:b/>
      <w:bCs/>
    </w:rPr>
  </w:style>
  <w:style w:type="paragraph" w:styleId="BodyText2">
    <w:name w:val="Body Text 2"/>
    <w:basedOn w:val="Normal"/>
    <w:link w:val="BodyText2Char"/>
    <w:rsid w:val="008F36E3"/>
    <w:pPr>
      <w:jc w:val="center"/>
    </w:pPr>
    <w:rPr>
      <w:rFonts w:ascii="Times New Roman" w:eastAsia="Times New Roman" w:hAnsi="Times New Roman" w:cs="Times New Roman"/>
      <w:b/>
      <w:bCs/>
    </w:rPr>
  </w:style>
  <w:style w:type="character" w:customStyle="1" w:styleId="BodyText2Char">
    <w:name w:val="Body Text 2 Char"/>
    <w:basedOn w:val="DefaultParagraphFont"/>
    <w:link w:val="BodyText2"/>
    <w:rsid w:val="008F36E3"/>
    <w:rPr>
      <w:rFonts w:ascii="Times New Roman" w:eastAsia="Times New Roman" w:hAnsi="Times New Roman" w:cs="Times New Roman"/>
      <w:b/>
      <w:bCs/>
    </w:rPr>
  </w:style>
  <w:style w:type="table" w:styleId="TableGrid">
    <w:name w:val="Table Grid"/>
    <w:basedOn w:val="TableNormal"/>
    <w:uiPriority w:val="59"/>
    <w:rsid w:val="008F36E3"/>
    <w:rPr>
      <w:rFonts w:ascii="Century Gothic" w:hAnsi="Century Gothic" w:cs="Ari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8F36E3"/>
    <w:pPr>
      <w:ind w:left="720"/>
      <w:contextualSpacing/>
    </w:pPr>
  </w:style>
  <w:style w:type="paragraph" w:styleId="BalloonText">
    <w:name w:val="Balloon Text"/>
    <w:basedOn w:val="Normal"/>
    <w:link w:val="BalloonTextChar"/>
    <w:uiPriority w:val="99"/>
    <w:semiHidden/>
    <w:unhideWhenUsed/>
    <w:rsid w:val="00353DC4"/>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353DC4"/>
    <w:rPr>
      <w:rFonts w:ascii="Lucida Grande" w:hAnsi="Lucida Grande" w:cs="Lucida Grande"/>
      <w:sz w:val="18"/>
      <w:szCs w:val="18"/>
    </w:rPr>
  </w:style>
  <w:style w:type="character" w:styleId="Hyperlink">
    <w:name w:val="Hyperlink"/>
    <w:basedOn w:val="DefaultParagraphFont"/>
    <w:uiPriority w:val="99"/>
    <w:unhideWhenUsed/>
    <w:rsid w:val="006C5F3A"/>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49752653">
      <w:bodyDiv w:val="1"/>
      <w:marLeft w:val="0"/>
      <w:marRight w:val="0"/>
      <w:marTop w:val="0"/>
      <w:marBottom w:val="0"/>
      <w:divBdr>
        <w:top w:val="none" w:sz="0" w:space="0" w:color="auto"/>
        <w:left w:val="none" w:sz="0" w:space="0" w:color="auto"/>
        <w:bottom w:val="none" w:sz="0" w:space="0" w:color="auto"/>
        <w:right w:val="none" w:sz="0" w:space="0" w:color="auto"/>
      </w:divBdr>
      <w:divsChild>
        <w:div w:id="1439987576">
          <w:marLeft w:val="0"/>
          <w:marRight w:val="0"/>
          <w:marTop w:val="0"/>
          <w:marBottom w:val="0"/>
          <w:divBdr>
            <w:top w:val="none" w:sz="0" w:space="0" w:color="auto"/>
            <w:left w:val="none" w:sz="0" w:space="0" w:color="auto"/>
            <w:bottom w:val="none" w:sz="0" w:space="0" w:color="auto"/>
            <w:right w:val="none" w:sz="0" w:space="0" w:color="auto"/>
          </w:divBdr>
        </w:div>
        <w:div w:id="1688560618">
          <w:marLeft w:val="0"/>
          <w:marRight w:val="0"/>
          <w:marTop w:val="0"/>
          <w:marBottom w:val="0"/>
          <w:divBdr>
            <w:top w:val="none" w:sz="0" w:space="0" w:color="auto"/>
            <w:left w:val="none" w:sz="0" w:space="0" w:color="auto"/>
            <w:bottom w:val="none" w:sz="0" w:space="0" w:color="auto"/>
            <w:right w:val="none" w:sz="0" w:space="0" w:color="auto"/>
          </w:divBdr>
        </w:div>
      </w:divsChild>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image" Target="media/image1.emf"/><Relationship Id="rId8" Type="http://schemas.openxmlformats.org/officeDocument/2006/relationships/fontTable" Target="fontTable.xml"/><Relationship Id="rId9"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1AF9035-D255-D949-89ED-3936CFCAE4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60</TotalTime>
  <Pages>2</Pages>
  <Words>529</Words>
  <Characters>3018</Characters>
  <Application>Microsoft Macintosh Word</Application>
  <DocSecurity>0</DocSecurity>
  <Lines>25</Lines>
  <Paragraphs>7</Paragraphs>
  <ScaleCrop>false</ScaleCrop>
  <Company>Oregon Coalition of Local Health Officials, Inc</Company>
  <LinksUpToDate>false</LinksUpToDate>
  <CharactersWithSpaces>3540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Erin Mowlds</dc:creator>
  <cp:keywords/>
  <dc:description/>
  <cp:lastModifiedBy>Morgan D. Cowling</cp:lastModifiedBy>
  <cp:revision>7</cp:revision>
  <dcterms:created xsi:type="dcterms:W3CDTF">2017-08-17T18:47:00Z</dcterms:created>
  <dcterms:modified xsi:type="dcterms:W3CDTF">2017-09-18T23:47:00Z</dcterms:modified>
</cp:coreProperties>
</file>