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ACB94" w14:textId="77777777" w:rsidR="008F36E3" w:rsidRDefault="00353DC4" w:rsidP="008F36E3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EAD69" wp14:editId="622F3896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1371600" cy="1371600"/>
            <wp:effectExtent l="0" t="0" r="0" b="0"/>
            <wp:wrapThrough wrapText="bothSides">
              <wp:wrapPolygon edited="0">
                <wp:start x="3200" y="3200"/>
                <wp:lineTo x="2000" y="12400"/>
                <wp:lineTo x="2400" y="16800"/>
                <wp:lineTo x="2800" y="17600"/>
                <wp:lineTo x="18400" y="17600"/>
                <wp:lineTo x="20000" y="5200"/>
                <wp:lineTo x="17600" y="4000"/>
                <wp:lineTo x="6800" y="3200"/>
                <wp:lineTo x="3200" y="32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HO_logo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6E3">
        <w:t>COALITION OF LOCAL HEALTH OFFICIALS</w:t>
      </w:r>
    </w:p>
    <w:p w14:paraId="2960D4FE" w14:textId="443E1386" w:rsidR="008F36E3" w:rsidRDefault="008F655D" w:rsidP="008F36E3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June 15 2017</w:t>
      </w:r>
    </w:p>
    <w:p w14:paraId="02D7E127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  <w:r>
        <w:rPr>
          <w:rFonts w:ascii="Times" w:eastAsia="Times New Roman" w:hAnsi="Times" w:cs="Times New Roman"/>
          <w:b/>
          <w:color w:val="222222"/>
          <w:shd w:val="clear" w:color="auto" w:fill="FFFFFF"/>
        </w:rPr>
        <w:t>Meeting Minutes</w:t>
      </w:r>
    </w:p>
    <w:p w14:paraId="2EE55695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p w14:paraId="776F2CE6" w14:textId="3FA9B39D" w:rsidR="003F1EE0" w:rsidRPr="003F1EE0" w:rsidRDefault="008F36E3" w:rsidP="003F1EE0">
      <w:pPr>
        <w:rPr>
          <w:rFonts w:eastAsia="Times New Roman" w:cs="Times New Roman"/>
          <w:sz w:val="22"/>
          <w:szCs w:val="22"/>
        </w:rPr>
      </w:pPr>
      <w:r w:rsidRPr="003F1EE0">
        <w:rPr>
          <w:rFonts w:eastAsia="Times New Roman" w:cs="Times New Roman"/>
          <w:b/>
          <w:color w:val="222222"/>
          <w:sz w:val="22"/>
          <w:szCs w:val="22"/>
          <w:shd w:val="clear" w:color="auto" w:fill="FFFFFF"/>
        </w:rPr>
        <w:t xml:space="preserve">In attendance: </w:t>
      </w:r>
      <w:r w:rsidR="003F1EE0" w:rsidRPr="003F1EE0">
        <w:rPr>
          <w:rFonts w:eastAsia="Times New Roman" w:cs="Times New Roman"/>
          <w:sz w:val="22"/>
          <w:szCs w:val="22"/>
        </w:rPr>
        <w:t xml:space="preserve">Charlie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Fautin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Chair, Benton County, Carrie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Brogoitti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Vice-Chair, Center for Human Development, Union County, Tricia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Mortell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Secretary/ Treasurer, Washington County; Dawn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Emerick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Clackamas County; Sherrie Ford, Columbia County; Sherrill Lorenzo, Coos County; Muriel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DeLaVergne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-Brown, Crook County; Hillary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Saraceno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Deschutes County; Ellen Larsen, Hood River; Jackson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Baures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Jackson County; Diane Hoover, Josephine County; Mike Baker, Jefferson County; Jocelyn Warren, Lane County; Angie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Gerrard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Malheur County; Pam Hutchinson, Marion County;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Sherre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 Smith, Morrow County; Katrina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Rothenberger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Polk County;  Lindsey </w:t>
      </w:r>
      <w:proofErr w:type="spellStart"/>
      <w:r w:rsidR="003F1EE0" w:rsidRPr="003F1EE0">
        <w:rPr>
          <w:rFonts w:eastAsia="Times New Roman" w:cs="Times New Roman"/>
          <w:sz w:val="22"/>
          <w:szCs w:val="22"/>
        </w:rPr>
        <w:t>Manfrin</w:t>
      </w:r>
      <w:proofErr w:type="spellEnd"/>
      <w:r w:rsidR="003F1EE0" w:rsidRPr="003F1EE0">
        <w:rPr>
          <w:rFonts w:eastAsia="Times New Roman" w:cs="Times New Roman"/>
          <w:sz w:val="22"/>
          <w:szCs w:val="22"/>
        </w:rPr>
        <w:t xml:space="preserve">, Yamhill County; </w:t>
      </w:r>
    </w:p>
    <w:p w14:paraId="7F1A5D80" w14:textId="77777777" w:rsidR="003F1EE0" w:rsidRDefault="003F1EE0" w:rsidP="003F1EE0">
      <w:pPr>
        <w:rPr>
          <w:rFonts w:eastAsia="Times New Roman" w:cs="Times New Roman"/>
          <w:sz w:val="22"/>
          <w:szCs w:val="22"/>
        </w:rPr>
      </w:pPr>
    </w:p>
    <w:p w14:paraId="09267A96" w14:textId="2AE5C468" w:rsidR="003F1EE0" w:rsidRDefault="003F1EE0" w:rsidP="003F1EE0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CLEHS Rep: Frank Brown</w:t>
      </w:r>
    </w:p>
    <w:p w14:paraId="74129D39" w14:textId="77777777" w:rsidR="003F1EE0" w:rsidRPr="003F1EE0" w:rsidRDefault="003F1EE0" w:rsidP="003F1EE0">
      <w:pPr>
        <w:rPr>
          <w:rFonts w:eastAsia="Times New Roman" w:cs="Times New Roman"/>
          <w:sz w:val="22"/>
          <w:szCs w:val="22"/>
        </w:rPr>
      </w:pPr>
    </w:p>
    <w:p w14:paraId="3181F1B6" w14:textId="33D258B3" w:rsidR="003F1EE0" w:rsidRPr="003F1EE0" w:rsidRDefault="003F1EE0" w:rsidP="003F1EE0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PHD</w:t>
      </w:r>
      <w:r w:rsidRPr="003F1EE0">
        <w:rPr>
          <w:rFonts w:eastAsia="Times New Roman" w:cs="Times New Roman"/>
          <w:sz w:val="22"/>
          <w:szCs w:val="22"/>
        </w:rPr>
        <w:t xml:space="preserve">: Danna Drum, Sara </w:t>
      </w:r>
      <w:proofErr w:type="spellStart"/>
      <w:r w:rsidRPr="003F1EE0">
        <w:rPr>
          <w:rFonts w:eastAsia="Times New Roman" w:cs="Times New Roman"/>
          <w:sz w:val="22"/>
          <w:szCs w:val="22"/>
        </w:rPr>
        <w:t>Beadrault</w:t>
      </w:r>
      <w:proofErr w:type="spellEnd"/>
      <w:r w:rsidRPr="003F1EE0">
        <w:rPr>
          <w:rFonts w:eastAsia="Times New Roman" w:cs="Times New Roman"/>
          <w:sz w:val="22"/>
          <w:szCs w:val="22"/>
        </w:rPr>
        <w:t xml:space="preserve">, </w:t>
      </w:r>
    </w:p>
    <w:p w14:paraId="6122907B" w14:textId="77777777" w:rsidR="003F1EE0" w:rsidRPr="003F1EE0" w:rsidRDefault="003F1EE0" w:rsidP="003F1EE0">
      <w:pPr>
        <w:rPr>
          <w:rFonts w:eastAsia="Times New Roman" w:cs="Times New Roman"/>
          <w:sz w:val="22"/>
          <w:szCs w:val="22"/>
        </w:rPr>
      </w:pPr>
    </w:p>
    <w:p w14:paraId="060DB5D3" w14:textId="77777777" w:rsidR="003F1EE0" w:rsidRPr="003F1EE0" w:rsidRDefault="003F1EE0" w:rsidP="003F1EE0">
      <w:pPr>
        <w:rPr>
          <w:rFonts w:eastAsia="Times New Roman" w:cs="Times New Roman"/>
          <w:sz w:val="22"/>
          <w:szCs w:val="22"/>
        </w:rPr>
      </w:pPr>
      <w:r w:rsidRPr="003F1EE0">
        <w:rPr>
          <w:rFonts w:eastAsia="Times New Roman" w:cs="Times New Roman"/>
          <w:sz w:val="22"/>
          <w:szCs w:val="22"/>
        </w:rPr>
        <w:t>Staff: Morgan Cowling</w:t>
      </w:r>
    </w:p>
    <w:p w14:paraId="57050BC9" w14:textId="77777777" w:rsidR="003F1EE0" w:rsidRPr="003F1EE0" w:rsidRDefault="003F1EE0" w:rsidP="003F1EE0">
      <w:pPr>
        <w:rPr>
          <w:rFonts w:eastAsia="Times New Roman" w:cs="Times New Roman"/>
          <w:sz w:val="22"/>
          <w:szCs w:val="22"/>
        </w:rPr>
      </w:pPr>
    </w:p>
    <w:p w14:paraId="77A1F755" w14:textId="6C5C7788" w:rsidR="003F1EE0" w:rsidRPr="003F1EE0" w:rsidRDefault="003F1EE0" w:rsidP="003F1EE0">
      <w:pPr>
        <w:rPr>
          <w:rFonts w:eastAsia="Times New Roman" w:cs="Times New Roman"/>
          <w:sz w:val="22"/>
          <w:szCs w:val="22"/>
        </w:rPr>
      </w:pPr>
      <w:r w:rsidRPr="003F1EE0">
        <w:rPr>
          <w:rFonts w:eastAsia="Times New Roman" w:cs="Times New Roman"/>
          <w:sz w:val="22"/>
          <w:szCs w:val="22"/>
        </w:rPr>
        <w:t xml:space="preserve">Guests: Stacy </w:t>
      </w:r>
      <w:proofErr w:type="spellStart"/>
      <w:r w:rsidRPr="003F1EE0">
        <w:rPr>
          <w:rFonts w:eastAsia="Times New Roman" w:cs="Times New Roman"/>
          <w:sz w:val="22"/>
          <w:szCs w:val="22"/>
        </w:rPr>
        <w:t>Michaelson</w:t>
      </w:r>
      <w:proofErr w:type="spellEnd"/>
      <w:r>
        <w:rPr>
          <w:rFonts w:eastAsia="Times New Roman" w:cs="Times New Roman"/>
          <w:sz w:val="22"/>
          <w:szCs w:val="22"/>
        </w:rPr>
        <w:t>, Association of Oregon Counties</w:t>
      </w:r>
    </w:p>
    <w:p w14:paraId="13327D43" w14:textId="2A115ED0" w:rsidR="008F36E3" w:rsidRPr="008F36E3" w:rsidRDefault="008F36E3" w:rsidP="003F1EE0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tbl>
      <w:tblPr>
        <w:tblStyle w:val="TableGrid"/>
        <w:tblW w:w="1018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50"/>
        <w:gridCol w:w="6390"/>
      </w:tblGrid>
      <w:tr w:rsidR="008F36E3" w:rsidRPr="008F36E3" w14:paraId="02B20506" w14:textId="77777777" w:rsidTr="00622C2F">
        <w:trPr>
          <w:trHeight w:val="276"/>
        </w:trPr>
        <w:tc>
          <w:tcPr>
            <w:tcW w:w="2448" w:type="dxa"/>
          </w:tcPr>
          <w:p w14:paraId="12FC3E32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Item</w:t>
            </w:r>
          </w:p>
        </w:tc>
        <w:tc>
          <w:tcPr>
            <w:tcW w:w="1350" w:type="dxa"/>
          </w:tcPr>
          <w:p w14:paraId="71EAC93F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How</w:t>
            </w:r>
          </w:p>
        </w:tc>
        <w:tc>
          <w:tcPr>
            <w:tcW w:w="6390" w:type="dxa"/>
          </w:tcPr>
          <w:p w14:paraId="573761DB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Notes</w:t>
            </w:r>
          </w:p>
        </w:tc>
      </w:tr>
      <w:tr w:rsidR="008F36E3" w14:paraId="1F47BD39" w14:textId="77777777" w:rsidTr="00622C2F">
        <w:trPr>
          <w:trHeight w:val="276"/>
        </w:trPr>
        <w:tc>
          <w:tcPr>
            <w:tcW w:w="2448" w:type="dxa"/>
          </w:tcPr>
          <w:p w14:paraId="4CB7B39D" w14:textId="77777777" w:rsidR="00622C2F" w:rsidRPr="003F1EE0" w:rsidRDefault="008F36E3" w:rsidP="008F36E3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 xml:space="preserve">Convene &amp; </w:t>
            </w:r>
          </w:p>
          <w:p w14:paraId="02777154" w14:textId="3E726002" w:rsidR="008F36E3" w:rsidRPr="003F1EE0" w:rsidRDefault="008F36E3" w:rsidP="008F36E3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>Introduce</w:t>
            </w:r>
          </w:p>
        </w:tc>
        <w:tc>
          <w:tcPr>
            <w:tcW w:w="1350" w:type="dxa"/>
          </w:tcPr>
          <w:p w14:paraId="3B435532" w14:textId="77777777" w:rsidR="008F36E3" w:rsidRPr="003F1EE0" w:rsidRDefault="008F36E3" w:rsidP="008F36E3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6390" w:type="dxa"/>
          </w:tcPr>
          <w:p w14:paraId="21283A0D" w14:textId="77777777" w:rsidR="008F36E3" w:rsidRPr="003F1EE0" w:rsidRDefault="008F36E3" w:rsidP="008F36E3">
            <w:pPr>
              <w:ind w:right="-720"/>
              <w:rPr>
                <w:sz w:val="22"/>
                <w:szCs w:val="22"/>
              </w:rPr>
            </w:pPr>
          </w:p>
        </w:tc>
      </w:tr>
      <w:tr w:rsidR="008F36E3" w14:paraId="7644486F" w14:textId="77777777" w:rsidTr="00622C2F">
        <w:trPr>
          <w:trHeight w:val="556"/>
        </w:trPr>
        <w:tc>
          <w:tcPr>
            <w:tcW w:w="2448" w:type="dxa"/>
          </w:tcPr>
          <w:p w14:paraId="1E32E589" w14:textId="77777777" w:rsidR="008F36E3" w:rsidRPr="003F1EE0" w:rsidRDefault="008F36E3" w:rsidP="008F36E3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 xml:space="preserve">Minutes </w:t>
            </w:r>
          </w:p>
        </w:tc>
        <w:tc>
          <w:tcPr>
            <w:tcW w:w="1350" w:type="dxa"/>
          </w:tcPr>
          <w:p w14:paraId="219C8A98" w14:textId="77777777" w:rsidR="008F36E3" w:rsidRPr="003F1EE0" w:rsidRDefault="008F36E3" w:rsidP="008F36E3">
            <w:pPr>
              <w:ind w:right="-108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>APPROVE</w:t>
            </w:r>
          </w:p>
        </w:tc>
        <w:tc>
          <w:tcPr>
            <w:tcW w:w="6390" w:type="dxa"/>
          </w:tcPr>
          <w:p w14:paraId="167472F4" w14:textId="78B2D28D" w:rsidR="00C214F1" w:rsidRPr="003F1EE0" w:rsidRDefault="003F1EE0" w:rsidP="00C214F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Motion to approve the May Minutes, Katrina </w:t>
            </w:r>
            <w:proofErr w:type="spellStart"/>
            <w:r>
              <w:rPr>
                <w:b/>
                <w:i/>
                <w:sz w:val="22"/>
                <w:szCs w:val="22"/>
              </w:rPr>
              <w:t>Rothenberger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2</w:t>
            </w:r>
            <w:r w:rsidRPr="003F1EE0">
              <w:rPr>
                <w:b/>
                <w:i/>
                <w:sz w:val="22"/>
                <w:szCs w:val="22"/>
                <w:vertAlign w:val="superscript"/>
              </w:rPr>
              <w:t>nd</w:t>
            </w:r>
            <w:r>
              <w:rPr>
                <w:b/>
                <w:i/>
                <w:sz w:val="22"/>
                <w:szCs w:val="22"/>
              </w:rPr>
              <w:t xml:space="preserve">. All in Favor. </w:t>
            </w:r>
          </w:p>
          <w:p w14:paraId="0C6ABF94" w14:textId="77777777" w:rsidR="008F36E3" w:rsidRPr="003F1EE0" w:rsidRDefault="008F36E3" w:rsidP="008F36E3">
            <w:pPr>
              <w:ind w:right="-108"/>
              <w:rPr>
                <w:sz w:val="22"/>
                <w:szCs w:val="22"/>
              </w:rPr>
            </w:pPr>
          </w:p>
        </w:tc>
      </w:tr>
      <w:tr w:rsidR="00DD1D61" w14:paraId="6C00E7C2" w14:textId="77777777" w:rsidTr="00622C2F">
        <w:trPr>
          <w:trHeight w:val="556"/>
        </w:trPr>
        <w:tc>
          <w:tcPr>
            <w:tcW w:w="2448" w:type="dxa"/>
          </w:tcPr>
          <w:p w14:paraId="349BC8F4" w14:textId="77777777" w:rsidR="00DD1D61" w:rsidRPr="003F1EE0" w:rsidRDefault="00DD1D61" w:rsidP="008F36E3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>Appointments</w:t>
            </w:r>
          </w:p>
        </w:tc>
        <w:tc>
          <w:tcPr>
            <w:tcW w:w="1350" w:type="dxa"/>
          </w:tcPr>
          <w:p w14:paraId="57791194" w14:textId="3D397830" w:rsidR="00DD1D61" w:rsidRPr="003F1EE0" w:rsidRDefault="003F1EE0" w:rsidP="008F36E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Appoint</w:t>
            </w:r>
          </w:p>
        </w:tc>
        <w:tc>
          <w:tcPr>
            <w:tcW w:w="6390" w:type="dxa"/>
          </w:tcPr>
          <w:p w14:paraId="5AA44BE8" w14:textId="60C4A586" w:rsidR="00DD1D61" w:rsidRPr="003F1EE0" w:rsidRDefault="003F1EE0" w:rsidP="00C21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</w:p>
        </w:tc>
      </w:tr>
      <w:tr w:rsidR="008F36E3" w14:paraId="3DA17E70" w14:textId="77777777" w:rsidTr="00622C2F">
        <w:trPr>
          <w:trHeight w:val="276"/>
        </w:trPr>
        <w:tc>
          <w:tcPr>
            <w:tcW w:w="2448" w:type="dxa"/>
          </w:tcPr>
          <w:p w14:paraId="34B47D42" w14:textId="77777777" w:rsidR="008F36E3" w:rsidRPr="003F1EE0" w:rsidRDefault="003F1EE0" w:rsidP="008F36E3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 xml:space="preserve">OSU Affiliate Faculty </w:t>
            </w:r>
          </w:p>
          <w:p w14:paraId="79C7ED91" w14:textId="0B361D4E" w:rsidR="003F1EE0" w:rsidRPr="003F1EE0" w:rsidRDefault="003F1EE0" w:rsidP="008F36E3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>Appointments</w:t>
            </w:r>
          </w:p>
        </w:tc>
        <w:tc>
          <w:tcPr>
            <w:tcW w:w="1350" w:type="dxa"/>
          </w:tcPr>
          <w:p w14:paraId="05F1C9B1" w14:textId="32E35DB0" w:rsidR="008F36E3" w:rsidRPr="003F1EE0" w:rsidRDefault="008F36E3" w:rsidP="00D02C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390" w:type="dxa"/>
          </w:tcPr>
          <w:p w14:paraId="6B6E1FAB" w14:textId="77777777" w:rsidR="008F36E3" w:rsidRDefault="003F1EE0" w:rsidP="0062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Charlie reminded the CLHO about the opportunity for OSU Affiliate Faculty appointments.  This opportunity will be mutually beneficial for future partnerships. </w:t>
            </w:r>
          </w:p>
          <w:p w14:paraId="7A4C238E" w14:textId="77777777" w:rsidR="003F1EE0" w:rsidRDefault="003F1EE0" w:rsidP="00622C2F">
            <w:pPr>
              <w:rPr>
                <w:sz w:val="22"/>
                <w:szCs w:val="22"/>
              </w:rPr>
            </w:pPr>
          </w:p>
          <w:p w14:paraId="55FCFB31" w14:textId="77777777" w:rsidR="003F1EE0" w:rsidRDefault="003F1EE0" w:rsidP="0062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Question:  How many appointments may each Health Department have? </w:t>
            </w:r>
          </w:p>
          <w:p w14:paraId="7F18C097" w14:textId="77777777" w:rsidR="003F1EE0" w:rsidRDefault="003F1EE0" w:rsidP="00622C2F">
            <w:pPr>
              <w:rPr>
                <w:sz w:val="22"/>
                <w:szCs w:val="22"/>
              </w:rPr>
            </w:pPr>
          </w:p>
          <w:p w14:paraId="38234F2F" w14:textId="1A498F3B" w:rsidR="003F1EE0" w:rsidRPr="003F1EE0" w:rsidRDefault="003F1EE0" w:rsidP="0062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Answer: Only one – each health department may designate the best person for partnership with OSU. </w:t>
            </w:r>
          </w:p>
        </w:tc>
      </w:tr>
      <w:tr w:rsidR="008F36E3" w14:paraId="4A38BAAA" w14:textId="77777777" w:rsidTr="00622C2F">
        <w:trPr>
          <w:trHeight w:val="556"/>
        </w:trPr>
        <w:tc>
          <w:tcPr>
            <w:tcW w:w="2448" w:type="dxa"/>
          </w:tcPr>
          <w:p w14:paraId="777C69A6" w14:textId="653D6356" w:rsidR="008F36E3" w:rsidRPr="003F1EE0" w:rsidRDefault="003F1EE0" w:rsidP="00D02CCC">
            <w:pPr>
              <w:ind w:right="-108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>RWJF AIMHI Grant &amp; Financial Update</w:t>
            </w:r>
          </w:p>
        </w:tc>
        <w:tc>
          <w:tcPr>
            <w:tcW w:w="1350" w:type="dxa"/>
          </w:tcPr>
          <w:p w14:paraId="7AEDF2C6" w14:textId="7B6BA9AD" w:rsidR="008F36E3" w:rsidRPr="003F1EE0" w:rsidRDefault="008F36E3" w:rsidP="00F409CB">
            <w:pPr>
              <w:ind w:right="-108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 xml:space="preserve">Update </w:t>
            </w:r>
            <w:r w:rsidR="00D02CCC" w:rsidRPr="003F1EE0">
              <w:rPr>
                <w:sz w:val="22"/>
                <w:szCs w:val="22"/>
              </w:rPr>
              <w:t>and Approve</w:t>
            </w:r>
          </w:p>
        </w:tc>
        <w:tc>
          <w:tcPr>
            <w:tcW w:w="6390" w:type="dxa"/>
          </w:tcPr>
          <w:p w14:paraId="02D97DEE" w14:textId="77777777" w:rsidR="008F36E3" w:rsidRDefault="003F1EE0" w:rsidP="0062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Morgan provided the CLHO with an update on the RWJF annual reporting.  CLHO just submitted the 12 minutes annual report on June 30</w:t>
            </w:r>
            <w:r w:rsidRPr="003F1EE0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with our financial report as well.  We are currently </w:t>
            </w:r>
            <w:proofErr w:type="spellStart"/>
            <w:r>
              <w:rPr>
                <w:sz w:val="22"/>
                <w:szCs w:val="22"/>
              </w:rPr>
              <w:t>underspending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85618">
              <w:rPr>
                <w:sz w:val="22"/>
                <w:szCs w:val="22"/>
              </w:rPr>
              <w:t xml:space="preserve">the grant and will be discussing options with RWJF, PHNCI and JLT. </w:t>
            </w:r>
          </w:p>
          <w:p w14:paraId="3D0C7ACC" w14:textId="77777777" w:rsidR="00485618" w:rsidRDefault="00485618" w:rsidP="00622C2F">
            <w:pPr>
              <w:rPr>
                <w:sz w:val="22"/>
                <w:szCs w:val="22"/>
              </w:rPr>
            </w:pPr>
          </w:p>
          <w:p w14:paraId="1E105FB0" w14:textId="77777777" w:rsidR="00485618" w:rsidRDefault="00485618" w:rsidP="0062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Rede</w:t>
            </w:r>
            <w:proofErr w:type="spellEnd"/>
            <w:r>
              <w:rPr>
                <w:sz w:val="22"/>
                <w:szCs w:val="22"/>
              </w:rPr>
              <w:t xml:space="preserve"> Group was also present to talk about next steps for the continued development of the Road map.  </w:t>
            </w:r>
            <w:r w:rsidR="004E2C88">
              <w:rPr>
                <w:sz w:val="22"/>
                <w:szCs w:val="22"/>
              </w:rPr>
              <w:t xml:space="preserve">They have already pulled together two user panels to help </w:t>
            </w:r>
            <w:r w:rsidR="004E2C88">
              <w:rPr>
                <w:sz w:val="22"/>
                <w:szCs w:val="22"/>
              </w:rPr>
              <w:lastRenderedPageBreak/>
              <w:t xml:space="preserve">provide information on what will be helpful for local health officials to implement public health modernization. </w:t>
            </w:r>
          </w:p>
          <w:p w14:paraId="75339AE8" w14:textId="77777777" w:rsidR="004E2C88" w:rsidRDefault="004E2C88" w:rsidP="00622C2F">
            <w:pPr>
              <w:rPr>
                <w:sz w:val="22"/>
                <w:szCs w:val="22"/>
              </w:rPr>
            </w:pPr>
          </w:p>
          <w:p w14:paraId="57CAAA6B" w14:textId="77777777" w:rsidR="004E2C88" w:rsidRDefault="004E2C88" w:rsidP="0062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is one more user panel that will have two meetings in July and August.   This user panel will be in charge of reviewing materials and helping provide information on </w:t>
            </w:r>
            <w:proofErr w:type="gramStart"/>
            <w:r>
              <w:rPr>
                <w:sz w:val="22"/>
                <w:szCs w:val="22"/>
              </w:rPr>
              <w:t>check-lists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14:paraId="24F88794" w14:textId="77777777" w:rsidR="004E2C88" w:rsidRDefault="004E2C88" w:rsidP="00622C2F">
            <w:pPr>
              <w:rPr>
                <w:sz w:val="22"/>
                <w:szCs w:val="22"/>
              </w:rPr>
            </w:pPr>
          </w:p>
          <w:p w14:paraId="71BF1294" w14:textId="674EFCCD" w:rsidR="004E2C88" w:rsidRPr="003F1EE0" w:rsidRDefault="004E2C88" w:rsidP="0062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 – up: Anyone interested please let us </w:t>
            </w:r>
            <w:proofErr w:type="gramStart"/>
            <w:r>
              <w:rPr>
                <w:sz w:val="22"/>
                <w:szCs w:val="22"/>
              </w:rPr>
              <w:t>know</w:t>
            </w:r>
            <w:proofErr w:type="gramEnd"/>
            <w:r>
              <w:rPr>
                <w:sz w:val="22"/>
                <w:szCs w:val="22"/>
              </w:rPr>
              <w:t xml:space="preserve"> by June 30</w:t>
            </w:r>
            <w:r w:rsidRPr="004E2C8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8F36E3" w14:paraId="1BDDD322" w14:textId="77777777" w:rsidTr="00622C2F">
        <w:trPr>
          <w:trHeight w:val="556"/>
        </w:trPr>
        <w:tc>
          <w:tcPr>
            <w:tcW w:w="2448" w:type="dxa"/>
          </w:tcPr>
          <w:p w14:paraId="7D5DF22E" w14:textId="14F8B9B1" w:rsidR="008F36E3" w:rsidRPr="003F1EE0" w:rsidRDefault="003F1EE0" w:rsidP="008F36E3">
            <w:pPr>
              <w:ind w:right="-18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lastRenderedPageBreak/>
              <w:t>CLHO Retreat Planning</w:t>
            </w:r>
          </w:p>
        </w:tc>
        <w:tc>
          <w:tcPr>
            <w:tcW w:w="1350" w:type="dxa"/>
          </w:tcPr>
          <w:p w14:paraId="1820DA88" w14:textId="1281F2D1" w:rsidR="00D02CCC" w:rsidRPr="003F1EE0" w:rsidRDefault="008F36E3" w:rsidP="00D02CCC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 xml:space="preserve">Update </w:t>
            </w:r>
          </w:p>
          <w:p w14:paraId="3F6C44C9" w14:textId="6E95E7D9" w:rsidR="008F36E3" w:rsidRPr="003F1EE0" w:rsidRDefault="008F36E3" w:rsidP="008F36E3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6390" w:type="dxa"/>
          </w:tcPr>
          <w:p w14:paraId="5C454247" w14:textId="23880F21" w:rsidR="00F840A9" w:rsidRDefault="004E2C88" w:rsidP="00622C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reviewed the list of potential retreat topics to solicit feedback and help CLHO staff to start developing some outline of an agenda for the retreat. </w:t>
            </w:r>
          </w:p>
          <w:p w14:paraId="755A950E" w14:textId="77777777" w:rsidR="00B81DAC" w:rsidRDefault="00B81DAC" w:rsidP="00622C2F">
            <w:pPr>
              <w:ind w:right="-108"/>
              <w:rPr>
                <w:sz w:val="22"/>
                <w:szCs w:val="22"/>
              </w:rPr>
            </w:pPr>
          </w:p>
          <w:p w14:paraId="008C6C79" w14:textId="3FB14AEF" w:rsidR="00B81DAC" w:rsidRDefault="00B81DAC" w:rsidP="00622C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CLHO Feedback: </w:t>
            </w:r>
          </w:p>
          <w:p w14:paraId="2F1533B2" w14:textId="0F94989E" w:rsidR="00B81DAC" w:rsidRDefault="00B81DAC" w:rsidP="00B81DAC">
            <w:pPr>
              <w:pStyle w:val="ListParagraph"/>
              <w:numPr>
                <w:ilvl w:val="0"/>
                <w:numId w:val="5"/>
              </w:numPr>
              <w:ind w:right="-108"/>
              <w:rPr>
                <w:sz w:val="22"/>
                <w:szCs w:val="22"/>
              </w:rPr>
            </w:pPr>
            <w:r w:rsidRPr="00B81DAC">
              <w:rPr>
                <w:sz w:val="22"/>
                <w:szCs w:val="22"/>
              </w:rPr>
              <w:t>PHD/ LHD system PH Modernization implementation</w:t>
            </w:r>
          </w:p>
          <w:p w14:paraId="0B723549" w14:textId="5A46DE71" w:rsidR="00B81DAC" w:rsidRDefault="00B81DAC" w:rsidP="00B81DAC">
            <w:pPr>
              <w:pStyle w:val="ListParagraph"/>
              <w:numPr>
                <w:ilvl w:val="0"/>
                <w:numId w:val="5"/>
              </w:num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of the topics! </w:t>
            </w:r>
            <w:r w:rsidRPr="00B81DAC">
              <w:rPr>
                <w:sz w:val="22"/>
                <w:szCs w:val="22"/>
              </w:rPr>
              <w:sym w:font="Wingdings" w:char="F04A"/>
            </w:r>
          </w:p>
          <w:p w14:paraId="01C2390E" w14:textId="226A4005" w:rsidR="00B81DAC" w:rsidRDefault="00B81DAC" w:rsidP="00B81DAC">
            <w:pPr>
              <w:ind w:right="-108"/>
              <w:rPr>
                <w:sz w:val="22"/>
                <w:szCs w:val="22"/>
              </w:rPr>
            </w:pPr>
          </w:p>
          <w:p w14:paraId="58868202" w14:textId="5838A4C3" w:rsidR="00B81DAC" w:rsidRDefault="00B81DAC" w:rsidP="00B81DA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CLHO discussed what to prioritize </w:t>
            </w:r>
            <w:proofErr w:type="spellStart"/>
            <w:r>
              <w:rPr>
                <w:sz w:val="22"/>
                <w:szCs w:val="22"/>
              </w:rPr>
              <w:t>vs</w:t>
            </w:r>
            <w:proofErr w:type="spellEnd"/>
            <w:r>
              <w:rPr>
                <w:sz w:val="22"/>
                <w:szCs w:val="22"/>
              </w:rPr>
              <w:t xml:space="preserve"> extend the retreat</w:t>
            </w:r>
          </w:p>
          <w:p w14:paraId="1015C1F5" w14:textId="61839F11" w:rsidR="00B81DAC" w:rsidRPr="00B81DAC" w:rsidRDefault="00B81DAC" w:rsidP="00B81DAC">
            <w:pPr>
              <w:pStyle w:val="ListParagraph"/>
              <w:numPr>
                <w:ilvl w:val="0"/>
                <w:numId w:val="6"/>
              </w:numPr>
              <w:ind w:right="-108"/>
              <w:rPr>
                <w:sz w:val="22"/>
                <w:szCs w:val="22"/>
              </w:rPr>
            </w:pPr>
            <w:proofErr w:type="gramStart"/>
            <w:r w:rsidRPr="00B81DAC">
              <w:rPr>
                <w:sz w:val="22"/>
                <w:szCs w:val="22"/>
              </w:rPr>
              <w:t>maybe</w:t>
            </w:r>
            <w:proofErr w:type="gramEnd"/>
            <w:r w:rsidRPr="00B81DAC">
              <w:rPr>
                <w:sz w:val="22"/>
                <w:szCs w:val="22"/>
              </w:rPr>
              <w:t xml:space="preserve"> an evening session? </w:t>
            </w:r>
          </w:p>
          <w:p w14:paraId="00D371B2" w14:textId="00887F94" w:rsidR="00B81DAC" w:rsidRPr="00B81DAC" w:rsidRDefault="00B81DAC" w:rsidP="00B81DAC">
            <w:pPr>
              <w:pStyle w:val="ListParagraph"/>
              <w:numPr>
                <w:ilvl w:val="0"/>
                <w:numId w:val="6"/>
              </w:num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Thursday afternoon? </w:t>
            </w:r>
          </w:p>
          <w:p w14:paraId="01E7275D" w14:textId="7B4FA1A3" w:rsidR="004E2C88" w:rsidRPr="003F1EE0" w:rsidRDefault="004E2C88" w:rsidP="00622C2F">
            <w:pPr>
              <w:ind w:right="-108"/>
              <w:rPr>
                <w:sz w:val="22"/>
                <w:szCs w:val="22"/>
              </w:rPr>
            </w:pPr>
          </w:p>
        </w:tc>
      </w:tr>
      <w:tr w:rsidR="00622C2F" w14:paraId="5D3D57DE" w14:textId="77777777" w:rsidTr="00622C2F">
        <w:trPr>
          <w:trHeight w:val="556"/>
        </w:trPr>
        <w:tc>
          <w:tcPr>
            <w:tcW w:w="2448" w:type="dxa"/>
          </w:tcPr>
          <w:p w14:paraId="5D243E41" w14:textId="4ABD76CE" w:rsidR="00622C2F" w:rsidRPr="003F1EE0" w:rsidRDefault="003F1EE0" w:rsidP="008F36E3">
            <w:pPr>
              <w:ind w:right="-18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>Legislative Update</w:t>
            </w:r>
          </w:p>
        </w:tc>
        <w:tc>
          <w:tcPr>
            <w:tcW w:w="1350" w:type="dxa"/>
          </w:tcPr>
          <w:p w14:paraId="52753162" w14:textId="2F7E8C17" w:rsidR="00622C2F" w:rsidRPr="003F1EE0" w:rsidRDefault="003852E8" w:rsidP="00D02CCC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</w:t>
            </w:r>
          </w:p>
        </w:tc>
        <w:tc>
          <w:tcPr>
            <w:tcW w:w="6390" w:type="dxa"/>
          </w:tcPr>
          <w:p w14:paraId="0D7C82EC" w14:textId="77777777" w:rsidR="00622C2F" w:rsidRDefault="003852E8" w:rsidP="00622C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Morgan presented an update on the legislative activities and budget work with just less than a month to go with the legislature. </w:t>
            </w:r>
          </w:p>
          <w:p w14:paraId="7CB757B8" w14:textId="77777777" w:rsidR="003852E8" w:rsidRDefault="003852E8" w:rsidP="00622C2F">
            <w:pPr>
              <w:ind w:right="-108"/>
              <w:rPr>
                <w:sz w:val="22"/>
                <w:szCs w:val="22"/>
              </w:rPr>
            </w:pPr>
          </w:p>
          <w:p w14:paraId="24D11564" w14:textId="77777777" w:rsidR="003852E8" w:rsidRDefault="003852E8" w:rsidP="00622C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Morgan gave the major areas update: budget - $5 million for PH Modernization, policy bills (HB 3276, HB 2310) and tobacco prevention bills (TRL, T-21)</w:t>
            </w:r>
          </w:p>
          <w:p w14:paraId="00FE3394" w14:textId="77777777" w:rsidR="003852E8" w:rsidRDefault="003852E8" w:rsidP="00622C2F">
            <w:pPr>
              <w:ind w:right="-108"/>
              <w:rPr>
                <w:sz w:val="22"/>
                <w:szCs w:val="22"/>
              </w:rPr>
            </w:pPr>
          </w:p>
          <w:p w14:paraId="74F45A69" w14:textId="42816DEC" w:rsidR="003852E8" w:rsidRPr="003F1EE0" w:rsidRDefault="003852E8" w:rsidP="00622C2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Morgan presented on two additional bills: HB 3461 (guidance on the provision of personal information to protect Oregonians) and HB 3464 (additional DOJ enforcement to maintain compliance in Tobacco Master Settlement Agreement).  Tricia </w:t>
            </w:r>
            <w:proofErr w:type="spellStart"/>
            <w:r>
              <w:rPr>
                <w:sz w:val="22"/>
                <w:szCs w:val="22"/>
              </w:rPr>
              <w:t>Mortell</w:t>
            </w:r>
            <w:proofErr w:type="spellEnd"/>
            <w:r>
              <w:rPr>
                <w:sz w:val="22"/>
                <w:szCs w:val="22"/>
              </w:rPr>
              <w:t xml:space="preserve"> made a motion to support and Ellen Larsen 2</w:t>
            </w:r>
            <w:r w:rsidRPr="003852E8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– </w:t>
            </w:r>
            <w:r w:rsidRPr="003852E8">
              <w:rPr>
                <w:b/>
                <w:sz w:val="22"/>
                <w:szCs w:val="22"/>
              </w:rPr>
              <w:t>All in Favor – No opposed – Pam Hutchinson abstained.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409CB" w14:paraId="43252608" w14:textId="77777777" w:rsidTr="00622C2F">
        <w:trPr>
          <w:trHeight w:val="2150"/>
        </w:trPr>
        <w:tc>
          <w:tcPr>
            <w:tcW w:w="2448" w:type="dxa"/>
          </w:tcPr>
          <w:p w14:paraId="27F9899C" w14:textId="042E584D" w:rsidR="00F409CB" w:rsidRPr="003F1EE0" w:rsidRDefault="003F1EE0" w:rsidP="00F840A9">
            <w:pPr>
              <w:ind w:right="-18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 xml:space="preserve">County Health Rankings </w:t>
            </w:r>
          </w:p>
        </w:tc>
        <w:tc>
          <w:tcPr>
            <w:tcW w:w="1350" w:type="dxa"/>
          </w:tcPr>
          <w:p w14:paraId="2B20F061" w14:textId="7F7C9A99" w:rsidR="00F409CB" w:rsidRPr="003F1EE0" w:rsidRDefault="00F409CB" w:rsidP="002469D9">
            <w:pPr>
              <w:ind w:right="-720"/>
              <w:rPr>
                <w:sz w:val="22"/>
                <w:szCs w:val="22"/>
              </w:rPr>
            </w:pPr>
            <w:r w:rsidRPr="003F1EE0">
              <w:rPr>
                <w:sz w:val="22"/>
                <w:szCs w:val="22"/>
              </w:rPr>
              <w:t xml:space="preserve">Update </w:t>
            </w:r>
          </w:p>
        </w:tc>
        <w:tc>
          <w:tcPr>
            <w:tcW w:w="6390" w:type="dxa"/>
          </w:tcPr>
          <w:p w14:paraId="1D6CF7FE" w14:textId="77777777" w:rsidR="00F409CB" w:rsidRDefault="002469D9" w:rsidP="000E4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Morgan presented to the CLHO Board the final County Health Rankings report is on the website.  CLHO </w:t>
            </w:r>
            <w:proofErr w:type="gramStart"/>
            <w:r>
              <w:rPr>
                <w:sz w:val="22"/>
                <w:szCs w:val="22"/>
              </w:rPr>
              <w:t>staff are</w:t>
            </w:r>
            <w:proofErr w:type="gramEnd"/>
            <w:r>
              <w:rPr>
                <w:sz w:val="22"/>
                <w:szCs w:val="22"/>
              </w:rPr>
              <w:t xml:space="preserve"> working to do a better job to make sure the Board is informed on the final grant reports. </w:t>
            </w:r>
          </w:p>
          <w:p w14:paraId="5F85EE9B" w14:textId="77777777" w:rsidR="002469D9" w:rsidRDefault="002469D9" w:rsidP="000E48E1">
            <w:pPr>
              <w:rPr>
                <w:sz w:val="22"/>
                <w:szCs w:val="22"/>
              </w:rPr>
            </w:pPr>
          </w:p>
          <w:p w14:paraId="2ED882F8" w14:textId="301F8E0C" w:rsidR="002469D9" w:rsidRPr="003F1EE0" w:rsidRDefault="002469D9" w:rsidP="000E4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questions. </w:t>
            </w:r>
            <w:bookmarkStart w:id="0" w:name="_GoBack"/>
            <w:bookmarkEnd w:id="0"/>
          </w:p>
        </w:tc>
      </w:tr>
      <w:tr w:rsidR="00F840A9" w14:paraId="529929DF" w14:textId="77777777" w:rsidTr="00622C2F">
        <w:trPr>
          <w:trHeight w:val="4763"/>
        </w:trPr>
        <w:tc>
          <w:tcPr>
            <w:tcW w:w="2448" w:type="dxa"/>
          </w:tcPr>
          <w:p w14:paraId="0001443B" w14:textId="787299DF" w:rsidR="00F840A9" w:rsidRDefault="00F840A9" w:rsidP="00F840A9">
            <w:pPr>
              <w:ind w:right="-18"/>
            </w:pPr>
            <w:r>
              <w:t>CLHO Retreat</w:t>
            </w:r>
          </w:p>
        </w:tc>
        <w:tc>
          <w:tcPr>
            <w:tcW w:w="1350" w:type="dxa"/>
          </w:tcPr>
          <w:p w14:paraId="5D7DA329" w14:textId="77777777" w:rsidR="00F840A9" w:rsidRDefault="00F840A9" w:rsidP="008F36E3">
            <w:pPr>
              <w:ind w:right="-720"/>
            </w:pPr>
            <w:r>
              <w:t xml:space="preserve">Update &amp; </w:t>
            </w:r>
          </w:p>
          <w:p w14:paraId="4BA34BCC" w14:textId="3C6DAE6D" w:rsidR="00F840A9" w:rsidRDefault="00622C2F" w:rsidP="008F36E3">
            <w:pPr>
              <w:ind w:right="-720"/>
            </w:pPr>
            <w:r>
              <w:t>Dis</w:t>
            </w:r>
            <w:r w:rsidR="00F840A9">
              <w:t>c</w:t>
            </w:r>
            <w:r>
              <w:t>u</w:t>
            </w:r>
            <w:r w:rsidR="00F840A9">
              <w:t>ss</w:t>
            </w:r>
          </w:p>
        </w:tc>
        <w:tc>
          <w:tcPr>
            <w:tcW w:w="6390" w:type="dxa"/>
          </w:tcPr>
          <w:p w14:paraId="303AF5AD" w14:textId="46BB991F" w:rsidR="00622C2F" w:rsidRDefault="00622C2F" w:rsidP="00622C2F">
            <w:pPr>
              <w:rPr>
                <w:sz w:val="20"/>
                <w:szCs w:val="20"/>
              </w:rPr>
            </w:pPr>
          </w:p>
          <w:p w14:paraId="529FAC13" w14:textId="11CB6C2C" w:rsidR="00F840A9" w:rsidRDefault="00F840A9" w:rsidP="00F840A9">
            <w:pPr>
              <w:rPr>
                <w:sz w:val="20"/>
                <w:szCs w:val="20"/>
              </w:rPr>
            </w:pPr>
          </w:p>
        </w:tc>
      </w:tr>
    </w:tbl>
    <w:p w14:paraId="0330D4C1" w14:textId="3316214E" w:rsidR="00323012" w:rsidRDefault="00323012"/>
    <w:sectPr w:rsidR="00323012" w:rsidSect="0062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18FC"/>
    <w:multiLevelType w:val="hybridMultilevel"/>
    <w:tmpl w:val="CDFE22B8"/>
    <w:lvl w:ilvl="0" w:tplc="8090BC56">
      <w:start w:val="1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1526D34"/>
    <w:multiLevelType w:val="hybridMultilevel"/>
    <w:tmpl w:val="ABB8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A0102"/>
    <w:multiLevelType w:val="hybridMultilevel"/>
    <w:tmpl w:val="7B84F664"/>
    <w:lvl w:ilvl="0" w:tplc="5A2259F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D6695"/>
    <w:multiLevelType w:val="hybridMultilevel"/>
    <w:tmpl w:val="6624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E3706"/>
    <w:multiLevelType w:val="hybridMultilevel"/>
    <w:tmpl w:val="3E8A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84A00"/>
    <w:multiLevelType w:val="hybridMultilevel"/>
    <w:tmpl w:val="DE8A0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E3"/>
    <w:rsid w:val="000D5AF1"/>
    <w:rsid w:val="000E48E1"/>
    <w:rsid w:val="00136EDC"/>
    <w:rsid w:val="002469D9"/>
    <w:rsid w:val="00323012"/>
    <w:rsid w:val="00353DC4"/>
    <w:rsid w:val="003852E8"/>
    <w:rsid w:val="003F1EE0"/>
    <w:rsid w:val="00485618"/>
    <w:rsid w:val="004E2C88"/>
    <w:rsid w:val="004E4744"/>
    <w:rsid w:val="005A1993"/>
    <w:rsid w:val="00622C2F"/>
    <w:rsid w:val="00670844"/>
    <w:rsid w:val="006C5F3A"/>
    <w:rsid w:val="008F36E3"/>
    <w:rsid w:val="008F655D"/>
    <w:rsid w:val="0097007E"/>
    <w:rsid w:val="00AA5FA7"/>
    <w:rsid w:val="00B81DAC"/>
    <w:rsid w:val="00C214F1"/>
    <w:rsid w:val="00CA72F0"/>
    <w:rsid w:val="00CC5F0C"/>
    <w:rsid w:val="00D02CCC"/>
    <w:rsid w:val="00D21C96"/>
    <w:rsid w:val="00DD1D61"/>
    <w:rsid w:val="00E115B4"/>
    <w:rsid w:val="00F26252"/>
    <w:rsid w:val="00F409CB"/>
    <w:rsid w:val="00F8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C88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3CD16A-C462-6B49-B650-69C1B3AB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533</Words>
  <Characters>3041</Characters>
  <Application>Microsoft Macintosh Word</Application>
  <DocSecurity>0</DocSecurity>
  <Lines>25</Lines>
  <Paragraphs>7</Paragraphs>
  <ScaleCrop>false</ScaleCrop>
  <Company>Oregon Coalition of Local Health Officials, Inc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Morgan D. Cowling</cp:lastModifiedBy>
  <cp:revision>4</cp:revision>
  <dcterms:created xsi:type="dcterms:W3CDTF">2017-06-20T03:51:00Z</dcterms:created>
  <dcterms:modified xsi:type="dcterms:W3CDTF">2017-07-17T17:42:00Z</dcterms:modified>
</cp:coreProperties>
</file>