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20D8" w:rsidRDefault="00D378EE" w:rsidP="00783A11">
      <w:pPr>
        <w:tabs>
          <w:tab w:val="left" w:pos="2655"/>
        </w:tabs>
        <w:ind w:left="0"/>
        <w:contextualSpacing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1657350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8EE" w:rsidRDefault="00D378EE" w:rsidP="00D378EE">
                            <w:pPr>
                              <w:ind w:left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51181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ha_logo_sm (1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2.5pt;margin-top:.75pt;width:130.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" fillcolor="white [3201]" stroked="f" strokeweight=".5pt">
                <v:textbox>
                  <w:txbxContent>
                    <w:p w:rsidR="00D378EE" w:rsidRDefault="00D378EE" w:rsidP="00D378EE">
                      <w:pPr>
                        <w:ind w:left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51181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ha_logo_sm (1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0" cy="511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20D8" w:rsidRPr="00D378EE">
        <w:rPr>
          <w:rFonts w:asciiTheme="minorHAnsi" w:hAnsiTheme="minorHAnsi" w:cstheme="minorHAnsi"/>
          <w:b/>
          <w:sz w:val="28"/>
          <w:szCs w:val="28"/>
        </w:rPr>
        <w:t>Public Health Accountability Metrics Proposal</w:t>
      </w:r>
    </w:p>
    <w:p w:rsidR="00783A11" w:rsidRDefault="005D4D93" w:rsidP="00783A11">
      <w:pPr>
        <w:tabs>
          <w:tab w:val="left" w:pos="2655"/>
        </w:tabs>
        <w:ind w:left="0"/>
        <w:contextualSpacing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March 16, 2017 CLHO </w:t>
      </w:r>
      <w:r w:rsidR="00783A11">
        <w:rPr>
          <w:rFonts w:asciiTheme="minorHAnsi" w:hAnsiTheme="minorHAnsi" w:cstheme="minorHAnsi"/>
          <w:b/>
          <w:sz w:val="28"/>
          <w:szCs w:val="28"/>
        </w:rPr>
        <w:t>meeting</w:t>
      </w:r>
    </w:p>
    <w:p w:rsidR="00783A11" w:rsidRPr="00D378EE" w:rsidRDefault="00783A11" w:rsidP="00783A11">
      <w:pPr>
        <w:tabs>
          <w:tab w:val="left" w:pos="2655"/>
        </w:tabs>
        <w:ind w:left="0"/>
        <w:contextualSpacing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3127" w:rsidTr="00985627">
        <w:trPr>
          <w:trHeight w:val="4112"/>
        </w:trPr>
        <w:tc>
          <w:tcPr>
            <w:tcW w:w="9350" w:type="dxa"/>
          </w:tcPr>
          <w:p w:rsidR="00A83127" w:rsidRDefault="00A83127" w:rsidP="006260D6">
            <w:pPr>
              <w:tabs>
                <w:tab w:val="left" w:pos="2655"/>
              </w:tabs>
              <w:ind w:left="0" w:right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30FE">
              <w:rPr>
                <w:rFonts w:asciiTheme="minorHAnsi" w:hAnsiTheme="minorHAnsi" w:cstheme="minorHAnsi"/>
                <w:b/>
                <w:sz w:val="24"/>
                <w:szCs w:val="24"/>
              </w:rPr>
              <w:t>Identify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5198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population health outcome metrics</w:t>
            </w:r>
            <w:r w:rsidRPr="004630F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 each foundational program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(February-April 2017)</w:t>
            </w:r>
          </w:p>
          <w:p w:rsidR="00A83127" w:rsidRDefault="00A83127" w:rsidP="00D378EE">
            <w:pPr>
              <w:tabs>
                <w:tab w:val="left" w:pos="2655"/>
              </w:tabs>
              <w:ind w:left="0"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Population health outcome metrics </w:t>
            </w:r>
            <w:r w:rsidR="009D5D28">
              <w:rPr>
                <w:rFonts w:asciiTheme="minorHAnsi" w:hAnsiTheme="minorHAnsi" w:cstheme="minorHAnsi"/>
                <w:sz w:val="24"/>
                <w:szCs w:val="24"/>
              </w:rPr>
              <w:t>are intended to measure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progress for the public health system, not individual public health authorities.</w:t>
            </w:r>
          </w:p>
          <w:p w:rsidR="00A021B1" w:rsidRDefault="00A021B1" w:rsidP="00D378EE">
            <w:pPr>
              <w:tabs>
                <w:tab w:val="left" w:pos="2655"/>
              </w:tabs>
              <w:ind w:left="0" w:right="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83127" w:rsidRDefault="00A83127" w:rsidP="006260D6">
            <w:pPr>
              <w:pStyle w:val="ListParagraph"/>
              <w:numPr>
                <w:ilvl w:val="0"/>
                <w:numId w:val="13"/>
              </w:numPr>
              <w:tabs>
                <w:tab w:val="left" w:pos="2655"/>
              </w:tabs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Public Health Division will identify an initial set of recommended </w:t>
            </w:r>
            <w:r w:rsidR="00A021B1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health outcome metrics, pulling from the State Health Profile, State Health Improvement Plan and other health outcome metrics (for example, metrics for End HIV Oregon) for each foundational program. </w:t>
            </w:r>
          </w:p>
          <w:p w:rsidR="00A83127" w:rsidRDefault="00A83127" w:rsidP="006260D6">
            <w:pPr>
              <w:pStyle w:val="ListParagraph"/>
              <w:numPr>
                <w:ilvl w:val="0"/>
                <w:numId w:val="13"/>
              </w:numPr>
              <w:tabs>
                <w:tab w:val="left" w:pos="2655"/>
              </w:tabs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Public Health Division will make recommendations for statewide benchmarks.</w:t>
            </w:r>
          </w:p>
          <w:p w:rsidR="00A83127" w:rsidRDefault="00A83127" w:rsidP="006260D6">
            <w:pPr>
              <w:pStyle w:val="ListParagraph"/>
              <w:numPr>
                <w:ilvl w:val="0"/>
                <w:numId w:val="13"/>
              </w:numPr>
              <w:tabs>
                <w:tab w:val="left" w:pos="2655"/>
              </w:tabs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Public Health Division will review and solicit feedback from local and tribal public health authorities on this set of recommended </w:t>
            </w:r>
            <w:r w:rsidR="00A021B1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health outcome metrics.</w:t>
            </w:r>
          </w:p>
          <w:p w:rsidR="00A83127" w:rsidRDefault="00A83127" w:rsidP="006260D6">
            <w:pPr>
              <w:pStyle w:val="ListParagraph"/>
              <w:numPr>
                <w:ilvl w:val="0"/>
                <w:numId w:val="13"/>
              </w:numPr>
              <w:tabs>
                <w:tab w:val="left" w:pos="2655"/>
              </w:tabs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Recommended </w:t>
            </w:r>
            <w:r w:rsidR="00A021B1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health outcome metrics will be provided to the PHAB Accountability Metrics subcommittee.</w:t>
            </w:r>
          </w:p>
          <w:p w:rsidR="00A83127" w:rsidRDefault="00A83127" w:rsidP="00A83127">
            <w:pPr>
              <w:tabs>
                <w:tab w:val="left" w:pos="2655"/>
              </w:tabs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60D6" w:rsidTr="006260D6">
        <w:tc>
          <w:tcPr>
            <w:tcW w:w="9350" w:type="dxa"/>
          </w:tcPr>
          <w:p w:rsidR="00A83127" w:rsidRDefault="00A83127" w:rsidP="00A83127">
            <w:pPr>
              <w:pStyle w:val="ListParagraph"/>
              <w:ind w:left="0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Conduct s</w:t>
            </w:r>
            <w:r w:rsidRPr="001A0442">
              <w:rPr>
                <w:rFonts w:asciiTheme="minorHAnsi" w:hAnsiTheme="minorHAnsi" w:cstheme="minorHAnsi"/>
                <w:b/>
                <w:sz w:val="24"/>
                <w:szCs w:val="24"/>
              </w:rPr>
              <w:t>takeholder survey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on </w:t>
            </w:r>
            <w:r w:rsidR="00A021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population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health outcome metrics (March-May 2017)</w:t>
            </w:r>
          </w:p>
          <w:p w:rsidR="00A83127" w:rsidRDefault="00A83127" w:rsidP="00A83127">
            <w:pPr>
              <w:pStyle w:val="ListParagraph"/>
              <w:ind w:left="0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D8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Public Health Division and PHAB Accountability Metrics subcommittee will field a </w:t>
            </w:r>
            <w:r w:rsidR="00A021B1">
              <w:rPr>
                <w:rFonts w:asciiTheme="minorHAnsi" w:hAnsiTheme="minorHAnsi" w:cstheme="minorHAnsi"/>
                <w:sz w:val="24"/>
                <w:szCs w:val="24"/>
              </w:rPr>
              <w:t xml:space="preserve">stakeholder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survey to collect feedback </w:t>
            </w:r>
            <w:r w:rsidR="00A021B1">
              <w:rPr>
                <w:rFonts w:asciiTheme="minorHAnsi" w:hAnsiTheme="minorHAnsi" w:cstheme="minorHAnsi"/>
                <w:sz w:val="24"/>
                <w:szCs w:val="24"/>
              </w:rPr>
              <w:t xml:space="preserve">on the proposed population health outcome measures for the public health system, and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identify opportunities for measure alignment across sectors.</w:t>
            </w:r>
          </w:p>
          <w:p w:rsidR="00A83127" w:rsidRDefault="00A83127" w:rsidP="00A83127">
            <w:pPr>
              <w:pStyle w:val="ListParagraph"/>
              <w:ind w:left="0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83127" w:rsidRDefault="00A83127" w:rsidP="00A83127">
            <w:pPr>
              <w:pStyle w:val="ListParagraph"/>
              <w:numPr>
                <w:ilvl w:val="0"/>
                <w:numId w:val="12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Public Health Division and PHAB Accountability Metrics subcommittee will develop and launch survey.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12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PHAB Accountability Metrics subcommittee will review survey results.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12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PHAB Accountability Metrics subcommittee will finalize recommendations for </w:t>
            </w:r>
            <w:r w:rsidR="00F018A1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health outcome measures.</w:t>
            </w:r>
          </w:p>
          <w:p w:rsidR="00A83127" w:rsidRPr="005E30EE" w:rsidRDefault="00A83127" w:rsidP="00A83127">
            <w:pPr>
              <w:pStyle w:val="ListParagraph"/>
              <w:numPr>
                <w:ilvl w:val="0"/>
                <w:numId w:val="12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PHAB </w:t>
            </w:r>
            <w:r w:rsidR="009D5D28">
              <w:rPr>
                <w:rFonts w:asciiTheme="minorHAnsi" w:hAnsiTheme="minorHAnsi" w:cstheme="minorHAnsi"/>
                <w:sz w:val="24"/>
                <w:szCs w:val="24"/>
              </w:rPr>
              <w:t>will review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approve </w:t>
            </w:r>
            <w:r w:rsidR="00F018A1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health outcome measures</w:t>
            </w:r>
          </w:p>
          <w:p w:rsidR="006260D6" w:rsidRDefault="006260D6" w:rsidP="00D378EE">
            <w:pPr>
              <w:tabs>
                <w:tab w:val="left" w:pos="2655"/>
              </w:tabs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60D6" w:rsidTr="006260D6">
        <w:tc>
          <w:tcPr>
            <w:tcW w:w="9350" w:type="dxa"/>
          </w:tcPr>
          <w:p w:rsidR="00A83127" w:rsidRDefault="00A83127" w:rsidP="00A83127">
            <w:pPr>
              <w:tabs>
                <w:tab w:val="left" w:pos="2655"/>
              </w:tabs>
              <w:ind w:left="0" w:right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30F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Identify </w:t>
            </w:r>
            <w:r w:rsidRPr="0005198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local public health accountability metrics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5D4D93">
              <w:rPr>
                <w:rFonts w:asciiTheme="minorHAnsi" w:hAnsiTheme="minorHAnsi" w:cstheme="minorHAnsi"/>
                <w:b/>
                <w:sz w:val="24"/>
                <w:szCs w:val="24"/>
              </w:rPr>
              <w:t>July-September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A83127" w:rsidRDefault="00A83127" w:rsidP="00A83127">
            <w:pPr>
              <w:tabs>
                <w:tab w:val="left" w:pos="2655"/>
              </w:tabs>
              <w:ind w:left="0" w:right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1980">
              <w:rPr>
                <w:rFonts w:asciiTheme="minorHAnsi" w:hAnsiTheme="minorHAnsi" w:cstheme="minorHAnsi"/>
                <w:sz w:val="24"/>
                <w:szCs w:val="24"/>
              </w:rPr>
              <w:t xml:space="preserve">Local public health accountability metrics will </w:t>
            </w:r>
            <w:r w:rsidR="00BB2961">
              <w:rPr>
                <w:rFonts w:asciiTheme="minorHAnsi" w:hAnsiTheme="minorHAnsi" w:cstheme="minorHAnsi"/>
                <w:sz w:val="24"/>
                <w:szCs w:val="24"/>
              </w:rPr>
              <w:t>measure</w:t>
            </w:r>
            <w:r w:rsidRPr="00051980">
              <w:rPr>
                <w:rFonts w:asciiTheme="minorHAnsi" w:hAnsiTheme="minorHAnsi" w:cstheme="minorHAnsi"/>
                <w:sz w:val="24"/>
                <w:szCs w:val="24"/>
              </w:rPr>
              <w:t xml:space="preserve"> progress toward achieving roles and </w:t>
            </w:r>
            <w:r w:rsidR="009D5D28">
              <w:rPr>
                <w:rFonts w:asciiTheme="minorHAnsi" w:hAnsiTheme="minorHAnsi" w:cstheme="minorHAnsi"/>
                <w:sz w:val="24"/>
                <w:szCs w:val="24"/>
              </w:rPr>
              <w:t>deliverables</w:t>
            </w:r>
            <w:r w:rsidRPr="00051980">
              <w:rPr>
                <w:rFonts w:asciiTheme="minorHAnsi" w:hAnsiTheme="minorHAnsi" w:cstheme="minorHAnsi"/>
                <w:sz w:val="24"/>
                <w:szCs w:val="24"/>
              </w:rPr>
              <w:t xml:space="preserve"> outlined in the Public Health Modernization Manual.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Local public health accountability metrics will directly </w:t>
            </w:r>
            <w:r w:rsidR="009D5D28">
              <w:rPr>
                <w:rFonts w:asciiTheme="minorHAnsi" w:hAnsiTheme="minorHAnsi" w:cstheme="minorHAnsi"/>
                <w:sz w:val="24"/>
                <w:szCs w:val="24"/>
              </w:rPr>
              <w:t xml:space="preserve">connect to </w:t>
            </w:r>
            <w:r w:rsidR="00BB2961">
              <w:rPr>
                <w:rFonts w:asciiTheme="minorHAnsi" w:hAnsiTheme="minorHAnsi" w:cstheme="minorHAnsi"/>
                <w:sz w:val="24"/>
                <w:szCs w:val="24"/>
              </w:rPr>
              <w:t>population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health outcome metrics. 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PHD staff will convene small groups of subject matter experts (SMEs) to identify and develop local public health accountability metrics.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Small groups will include state and local public health staff. PHAB subcommittee members are welcome to be involved.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One to two small groups will be formed initially to focus on accountability metrics for 1-2 foundational programs. (possibly communicable disease and chronic disease</w:t>
            </w:r>
            <w:r w:rsidR="00BB2961">
              <w:rPr>
                <w:rFonts w:asciiTheme="minorHAnsi" w:hAnsiTheme="minorHAnsi" w:cstheme="minorHAnsi"/>
                <w:sz w:val="24"/>
                <w:szCs w:val="24"/>
              </w:rPr>
              <w:t>/prevention and health promotion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9D5D28" w:rsidRPr="00814DDB" w:rsidRDefault="00A83127" w:rsidP="00814DDB">
            <w:pPr>
              <w:pStyle w:val="ListParagraph"/>
              <w:numPr>
                <w:ilvl w:val="1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These groups can look at PHAST measures, </w:t>
            </w:r>
            <w:r w:rsidRPr="002B0B4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Public Health Modernization </w:t>
            </w:r>
            <w:r w:rsidRPr="002B0B47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Manual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deliverables, etc.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Small groups will use the criteria established by</w:t>
            </w:r>
            <w:r w:rsidR="00BB2961">
              <w:rPr>
                <w:rFonts w:asciiTheme="minorHAnsi" w:hAnsiTheme="minorHAnsi" w:cstheme="minorHAnsi"/>
                <w:sz w:val="24"/>
                <w:szCs w:val="24"/>
              </w:rPr>
              <w:t xml:space="preserve"> the PHAB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Accountability Metrics subcommittee to select measures</w:t>
            </w:r>
            <w:r w:rsidR="00814DDB">
              <w:rPr>
                <w:rFonts w:asciiTheme="minorHAnsi" w:hAnsiTheme="minorHAnsi" w:cstheme="minorHAnsi"/>
                <w:sz w:val="24"/>
                <w:szCs w:val="24"/>
              </w:rPr>
              <w:t xml:space="preserve"> to identify a small number (1-2) of recommended measures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83127" w:rsidRDefault="00A83127" w:rsidP="00A83127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Small groups will also define measurement criteria (what information is collected, pass/no pass)</w:t>
            </w:r>
          </w:p>
          <w:p w:rsidR="009D5D28" w:rsidRPr="009D5D28" w:rsidRDefault="009D5D28" w:rsidP="009D5D28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Recommendations will be provided to the PHAB Accountability Metrics subcommittee</w:t>
            </w:r>
          </w:p>
          <w:p w:rsidR="00BB2961" w:rsidRDefault="00BB2961" w:rsidP="00A83127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PHAB </w:t>
            </w:r>
            <w:r w:rsidR="009D5D28">
              <w:rPr>
                <w:rFonts w:asciiTheme="minorHAnsi" w:hAnsiTheme="minorHAnsi" w:cstheme="minorHAnsi"/>
                <w:sz w:val="24"/>
                <w:szCs w:val="24"/>
              </w:rPr>
              <w:t>will review and approve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local public health accountability metrics.</w:t>
            </w:r>
          </w:p>
          <w:p w:rsidR="006260D6" w:rsidRDefault="006260D6" w:rsidP="00D378EE">
            <w:pPr>
              <w:tabs>
                <w:tab w:val="left" w:pos="2655"/>
              </w:tabs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60D6" w:rsidTr="006260D6">
        <w:tc>
          <w:tcPr>
            <w:tcW w:w="9350" w:type="dxa"/>
          </w:tcPr>
          <w:p w:rsidR="00BB2961" w:rsidRPr="001A0442" w:rsidRDefault="00BB2961" w:rsidP="00BB2961">
            <w:pPr>
              <w:ind w:left="0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044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Identify and establish mechanism for </w:t>
            </w:r>
            <w:r w:rsidRPr="00051980">
              <w:rPr>
                <w:rFonts w:asciiTheme="minorHAnsi" w:hAnsiTheme="minorHAnsi" w:cstheme="minorHAnsi"/>
                <w:b/>
                <w:sz w:val="24"/>
                <w:szCs w:val="24"/>
              </w:rPr>
              <w:t>data collection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76292B">
              <w:rPr>
                <w:rFonts w:asciiTheme="minorHAnsi" w:hAnsiTheme="minorHAnsi" w:cstheme="minorHAnsi"/>
                <w:b/>
                <w:sz w:val="24"/>
                <w:szCs w:val="24"/>
              </w:rPr>
              <w:t>September-October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2017)</w:t>
            </w:r>
          </w:p>
          <w:p w:rsidR="00BB2961" w:rsidRDefault="00BB2961" w:rsidP="00BB2961">
            <w:pPr>
              <w:pStyle w:val="ListParagraph"/>
              <w:numPr>
                <w:ilvl w:val="0"/>
                <w:numId w:val="5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Public Health Division will identify short-term and long-term data collection mechanisms. </w:t>
            </w:r>
          </w:p>
          <w:p w:rsidR="00BB2961" w:rsidRDefault="00BB2961" w:rsidP="00BB2961">
            <w:pPr>
              <w:pStyle w:val="ListParagraph"/>
              <w:numPr>
                <w:ilvl w:val="0"/>
                <w:numId w:val="5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Public Health Division will make recommendations to the </w:t>
            </w:r>
            <w:r w:rsidR="00814DDB">
              <w:rPr>
                <w:rFonts w:asciiTheme="minorHAnsi" w:hAnsiTheme="minorHAnsi" w:cstheme="minorHAnsi"/>
                <w:sz w:val="24"/>
                <w:szCs w:val="24"/>
              </w:rPr>
              <w:t xml:space="preserve">PHAB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Accountability Metrics subcommittee</w:t>
            </w:r>
          </w:p>
          <w:p w:rsidR="006260D6" w:rsidRDefault="006260D6" w:rsidP="00D378EE">
            <w:pPr>
              <w:tabs>
                <w:tab w:val="left" w:pos="2655"/>
              </w:tabs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60D6" w:rsidTr="006260D6">
        <w:tc>
          <w:tcPr>
            <w:tcW w:w="9350" w:type="dxa"/>
          </w:tcPr>
          <w:p w:rsidR="00BB2961" w:rsidRDefault="00BB2961" w:rsidP="00BB2961">
            <w:pPr>
              <w:ind w:left="0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0442">
              <w:rPr>
                <w:rFonts w:asciiTheme="minorHAnsi" w:hAnsiTheme="minorHAnsi" w:cstheme="minorHAnsi"/>
                <w:b/>
                <w:sz w:val="24"/>
                <w:szCs w:val="24"/>
              </w:rPr>
              <w:t>Collect baseline data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814DDB">
              <w:rPr>
                <w:rFonts w:asciiTheme="minorHAnsi" w:hAnsiTheme="minorHAnsi" w:cstheme="minorHAnsi"/>
                <w:b/>
                <w:sz w:val="24"/>
                <w:szCs w:val="24"/>
              </w:rPr>
              <w:t>October-December 2017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BB2961" w:rsidRPr="00051980" w:rsidRDefault="00BB2961" w:rsidP="00BB2961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Collect and analyze baseline data</w:t>
            </w:r>
          </w:p>
          <w:p w:rsidR="00BB2961" w:rsidRPr="00051980" w:rsidRDefault="00BB2961" w:rsidP="00BB2961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Set benchmark and improvement targets </w:t>
            </w:r>
          </w:p>
          <w:p w:rsidR="00BB2961" w:rsidRDefault="00BB2961" w:rsidP="00BB2961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Issue accountability metrics report</w:t>
            </w:r>
          </w:p>
          <w:p w:rsidR="006260D6" w:rsidRDefault="006260D6" w:rsidP="00D378EE">
            <w:pPr>
              <w:tabs>
                <w:tab w:val="left" w:pos="2655"/>
              </w:tabs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60D6" w:rsidTr="006260D6">
        <w:tc>
          <w:tcPr>
            <w:tcW w:w="9350" w:type="dxa"/>
          </w:tcPr>
          <w:p w:rsidR="00BB2961" w:rsidRPr="004D7E8C" w:rsidRDefault="00BB2961" w:rsidP="00BB2961">
            <w:pPr>
              <w:pStyle w:val="ListParagraph"/>
              <w:ind w:left="0" w:righ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7E8C">
              <w:rPr>
                <w:rFonts w:asciiTheme="minorHAnsi" w:hAnsiTheme="minorHAnsi" w:cstheme="minorHAnsi"/>
                <w:b/>
                <w:sz w:val="24"/>
                <w:szCs w:val="24"/>
              </w:rPr>
              <w:t>Develop mechanism for awarding performance-based incentives to local public health authorities (timeline TBD)</w:t>
            </w:r>
          </w:p>
          <w:p w:rsidR="00BB2961" w:rsidRDefault="00BB2961" w:rsidP="00BB2961">
            <w:pPr>
              <w:pStyle w:val="ListParagraph"/>
              <w:numPr>
                <w:ilvl w:val="0"/>
                <w:numId w:val="10"/>
              </w:numPr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Work with Incentives and Funding subcommittee to develop a mechanism for awarding performance-based incentives to local public health authorities through the local public health funding formula.</w:t>
            </w:r>
          </w:p>
          <w:p w:rsidR="006260D6" w:rsidRDefault="006260D6" w:rsidP="00D378EE">
            <w:pPr>
              <w:tabs>
                <w:tab w:val="left" w:pos="2655"/>
              </w:tabs>
              <w:ind w:left="0"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720D8" w:rsidRDefault="00C720D8" w:rsidP="00051980">
      <w:pPr>
        <w:tabs>
          <w:tab w:val="left" w:pos="2655"/>
        </w:tabs>
        <w:ind w:left="0" w:right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C720D8" w:rsidRDefault="00C720D8" w:rsidP="00D378EE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</w:p>
    <w:p w:rsidR="001A0442" w:rsidRDefault="001A0442" w:rsidP="001A0442">
      <w:pPr>
        <w:pStyle w:val="ListParagraph"/>
        <w:ind w:right="0"/>
        <w:rPr>
          <w:rFonts w:asciiTheme="minorHAnsi" w:hAnsiTheme="minorHAnsi" w:cstheme="minorHAnsi"/>
          <w:sz w:val="24"/>
          <w:szCs w:val="24"/>
        </w:rPr>
      </w:pPr>
    </w:p>
    <w:p w:rsidR="00C720D8" w:rsidRDefault="00C720D8" w:rsidP="00F92D52">
      <w:pPr>
        <w:pStyle w:val="ListParagraph"/>
        <w:ind w:left="0" w:right="0"/>
        <w:rPr>
          <w:rFonts w:asciiTheme="minorHAnsi" w:hAnsiTheme="minorHAnsi" w:cstheme="minorHAnsi"/>
          <w:b/>
          <w:sz w:val="24"/>
          <w:szCs w:val="24"/>
        </w:rPr>
      </w:pPr>
    </w:p>
    <w:p w:rsidR="00C720D8" w:rsidRDefault="00C720D8" w:rsidP="00D378EE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</w:p>
    <w:p w:rsidR="00D6277D" w:rsidRDefault="00D6277D" w:rsidP="00D378EE">
      <w:pPr>
        <w:pStyle w:val="ListParagraph"/>
        <w:ind w:right="0"/>
        <w:rPr>
          <w:rFonts w:asciiTheme="minorHAnsi" w:hAnsiTheme="minorHAnsi" w:cstheme="minorHAnsi"/>
          <w:sz w:val="24"/>
          <w:szCs w:val="24"/>
        </w:rPr>
      </w:pPr>
    </w:p>
    <w:p w:rsidR="00C720D8" w:rsidRDefault="00C720D8" w:rsidP="00D378EE">
      <w:pPr>
        <w:pStyle w:val="ListParagraph"/>
        <w:ind w:left="0" w:right="0"/>
        <w:rPr>
          <w:rFonts w:asciiTheme="minorHAnsi" w:hAnsiTheme="minorHAnsi" w:cstheme="minorHAnsi"/>
          <w:b/>
          <w:sz w:val="24"/>
          <w:szCs w:val="24"/>
        </w:rPr>
      </w:pPr>
    </w:p>
    <w:p w:rsidR="00D34259" w:rsidRPr="00783A11" w:rsidRDefault="00D34259" w:rsidP="00783A11">
      <w:pPr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D34259" w:rsidRPr="00783A11" w:rsidSect="00783A1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DA" w:rsidRDefault="003A6ADA" w:rsidP="001C7BC4">
      <w:pPr>
        <w:spacing w:after="0" w:line="240" w:lineRule="auto"/>
      </w:pPr>
      <w:r>
        <w:separator/>
      </w:r>
    </w:p>
  </w:endnote>
  <w:endnote w:type="continuationSeparator" w:id="0">
    <w:p w:rsidR="003A6ADA" w:rsidRDefault="003A6ADA" w:rsidP="001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Times New Roman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90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8D6" w:rsidRDefault="007928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A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8D6" w:rsidRDefault="007928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DA" w:rsidRDefault="003A6ADA" w:rsidP="001C7BC4">
      <w:pPr>
        <w:spacing w:after="0" w:line="240" w:lineRule="auto"/>
      </w:pPr>
      <w:r>
        <w:separator/>
      </w:r>
    </w:p>
  </w:footnote>
  <w:footnote w:type="continuationSeparator" w:id="0">
    <w:p w:rsidR="003A6ADA" w:rsidRDefault="003A6ADA" w:rsidP="001C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C4" w:rsidRDefault="001C7B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50BC"/>
    <w:multiLevelType w:val="hybridMultilevel"/>
    <w:tmpl w:val="800CD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5ED"/>
    <w:multiLevelType w:val="hybridMultilevel"/>
    <w:tmpl w:val="0ACE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239"/>
    <w:multiLevelType w:val="hybridMultilevel"/>
    <w:tmpl w:val="6AEA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C7F3F"/>
    <w:multiLevelType w:val="hybridMultilevel"/>
    <w:tmpl w:val="E17E4AEA"/>
    <w:lvl w:ilvl="0" w:tplc="895ACED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753DA"/>
    <w:multiLevelType w:val="hybridMultilevel"/>
    <w:tmpl w:val="576C62AA"/>
    <w:lvl w:ilvl="0" w:tplc="B6B6F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E5B61"/>
    <w:multiLevelType w:val="hybridMultilevel"/>
    <w:tmpl w:val="6800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3511"/>
    <w:multiLevelType w:val="hybridMultilevel"/>
    <w:tmpl w:val="AC9C8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0E10"/>
    <w:multiLevelType w:val="hybridMultilevel"/>
    <w:tmpl w:val="CD96A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A6777"/>
    <w:multiLevelType w:val="hybridMultilevel"/>
    <w:tmpl w:val="63985CA4"/>
    <w:lvl w:ilvl="0" w:tplc="2D14A1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853C9"/>
    <w:multiLevelType w:val="hybridMultilevel"/>
    <w:tmpl w:val="8694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35C73"/>
    <w:multiLevelType w:val="hybridMultilevel"/>
    <w:tmpl w:val="C608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96ECE"/>
    <w:multiLevelType w:val="hybridMultilevel"/>
    <w:tmpl w:val="E906170A"/>
    <w:lvl w:ilvl="0" w:tplc="E0ACA0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84BF7"/>
    <w:multiLevelType w:val="hybridMultilevel"/>
    <w:tmpl w:val="E130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12"/>
    <w:rsid w:val="00004FD8"/>
    <w:rsid w:val="00010C19"/>
    <w:rsid w:val="00051980"/>
    <w:rsid w:val="000B19C5"/>
    <w:rsid w:val="000B2F72"/>
    <w:rsid w:val="001A0442"/>
    <w:rsid w:val="001A65C6"/>
    <w:rsid w:val="001A792D"/>
    <w:rsid w:val="001C7BC4"/>
    <w:rsid w:val="002201E6"/>
    <w:rsid w:val="00221163"/>
    <w:rsid w:val="00267715"/>
    <w:rsid w:val="00277C51"/>
    <w:rsid w:val="002B0B47"/>
    <w:rsid w:val="002B2A63"/>
    <w:rsid w:val="002D5313"/>
    <w:rsid w:val="00300035"/>
    <w:rsid w:val="0030655E"/>
    <w:rsid w:val="003A50DB"/>
    <w:rsid w:val="003A6ADA"/>
    <w:rsid w:val="003C1976"/>
    <w:rsid w:val="00402AB1"/>
    <w:rsid w:val="00422FC9"/>
    <w:rsid w:val="004275E8"/>
    <w:rsid w:val="00450EAE"/>
    <w:rsid w:val="004630FE"/>
    <w:rsid w:val="004C6209"/>
    <w:rsid w:val="004D7E8C"/>
    <w:rsid w:val="00571DD5"/>
    <w:rsid w:val="0059283D"/>
    <w:rsid w:val="005D4D93"/>
    <w:rsid w:val="005E243B"/>
    <w:rsid w:val="005E30EE"/>
    <w:rsid w:val="006260D6"/>
    <w:rsid w:val="00633E95"/>
    <w:rsid w:val="0065577B"/>
    <w:rsid w:val="006D6ACD"/>
    <w:rsid w:val="006E4948"/>
    <w:rsid w:val="00705922"/>
    <w:rsid w:val="0076292B"/>
    <w:rsid w:val="007641D3"/>
    <w:rsid w:val="00783A11"/>
    <w:rsid w:val="007928D6"/>
    <w:rsid w:val="007B0CA8"/>
    <w:rsid w:val="00814DDB"/>
    <w:rsid w:val="00924B44"/>
    <w:rsid w:val="0092563B"/>
    <w:rsid w:val="0094700A"/>
    <w:rsid w:val="009B7117"/>
    <w:rsid w:val="009D4A39"/>
    <w:rsid w:val="009D5D28"/>
    <w:rsid w:val="00A021B1"/>
    <w:rsid w:val="00A30712"/>
    <w:rsid w:val="00A406F3"/>
    <w:rsid w:val="00A83127"/>
    <w:rsid w:val="00AD6671"/>
    <w:rsid w:val="00B42B7E"/>
    <w:rsid w:val="00B77EAA"/>
    <w:rsid w:val="00BA0AF7"/>
    <w:rsid w:val="00BA34CC"/>
    <w:rsid w:val="00BB2961"/>
    <w:rsid w:val="00C1050F"/>
    <w:rsid w:val="00C720D8"/>
    <w:rsid w:val="00CF321F"/>
    <w:rsid w:val="00D20139"/>
    <w:rsid w:val="00D34259"/>
    <w:rsid w:val="00D36D8D"/>
    <w:rsid w:val="00D378EE"/>
    <w:rsid w:val="00D6277D"/>
    <w:rsid w:val="00E05303"/>
    <w:rsid w:val="00E27EC4"/>
    <w:rsid w:val="00E86CC6"/>
    <w:rsid w:val="00EB2CA5"/>
    <w:rsid w:val="00EF300E"/>
    <w:rsid w:val="00F018A1"/>
    <w:rsid w:val="00F163ED"/>
    <w:rsid w:val="00F32F52"/>
    <w:rsid w:val="00F33421"/>
    <w:rsid w:val="00F362EB"/>
    <w:rsid w:val="00F74F25"/>
    <w:rsid w:val="00F92D52"/>
    <w:rsid w:val="00FE1913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A5"/>
    <w:pPr>
      <w:ind w:left="1080" w:right="1080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2CA5"/>
    <w:rPr>
      <w:color w:val="0563C1" w:themeColor="hyperlink"/>
      <w:u w:val="single"/>
    </w:rPr>
  </w:style>
  <w:style w:type="paragraph" w:customStyle="1" w:styleId="TableH2">
    <w:name w:val="TableH2"/>
    <w:link w:val="TableH2Char"/>
    <w:qFormat/>
    <w:rsid w:val="00EB2CA5"/>
    <w:pPr>
      <w:keepNext/>
      <w:spacing w:after="0"/>
    </w:pPr>
    <w:rPr>
      <w:rFonts w:ascii="Arial Narrow" w:hAnsi="Arial Narrow" w:cs="Arial"/>
      <w:b/>
      <w:color w:val="FFFFFF" w:themeColor="background1"/>
      <w:sz w:val="26"/>
    </w:rPr>
  </w:style>
  <w:style w:type="character" w:customStyle="1" w:styleId="TableH2Char">
    <w:name w:val="TableH2 Char"/>
    <w:basedOn w:val="DefaultParagraphFont"/>
    <w:link w:val="TableH2"/>
    <w:rsid w:val="00EB2CA5"/>
    <w:rPr>
      <w:rFonts w:ascii="Arial Narrow" w:hAnsi="Arial Narrow" w:cs="Arial"/>
      <w:b/>
      <w:color w:val="FFFFFF" w:themeColor="background1"/>
      <w:sz w:val="26"/>
    </w:rPr>
  </w:style>
  <w:style w:type="paragraph" w:customStyle="1" w:styleId="TableBody">
    <w:name w:val="TableBody"/>
    <w:link w:val="TableBodyChar"/>
    <w:qFormat/>
    <w:rsid w:val="00EB2CA5"/>
    <w:pPr>
      <w:spacing w:after="0" w:line="240" w:lineRule="auto"/>
    </w:pPr>
    <w:rPr>
      <w:rFonts w:ascii="Arial Narrow" w:hAnsi="Arial Narrow"/>
      <w:sz w:val="26"/>
    </w:rPr>
  </w:style>
  <w:style w:type="character" w:customStyle="1" w:styleId="TableBodyChar">
    <w:name w:val="TableBody Char"/>
    <w:basedOn w:val="DefaultParagraphFont"/>
    <w:link w:val="TableBody"/>
    <w:rsid w:val="00EB2CA5"/>
    <w:rPr>
      <w:rFonts w:ascii="Arial Narrow" w:hAnsi="Arial Narrow"/>
      <w:sz w:val="26"/>
    </w:rPr>
  </w:style>
  <w:style w:type="paragraph" w:customStyle="1" w:styleId="Bullets">
    <w:name w:val="Bullets"/>
    <w:basedOn w:val="ListParagraph"/>
    <w:qFormat/>
    <w:rsid w:val="00EB2CA5"/>
    <w:pPr>
      <w:numPr>
        <w:numId w:val="1"/>
      </w:numPr>
      <w:ind w:left="1800"/>
      <w:contextualSpacing w:val="0"/>
    </w:pPr>
    <w:rPr>
      <w:szCs w:val="24"/>
    </w:rPr>
  </w:style>
  <w:style w:type="paragraph" w:customStyle="1" w:styleId="TableBullets">
    <w:name w:val="TableBullets"/>
    <w:basedOn w:val="Bullets"/>
    <w:link w:val="TableBulletsChar"/>
    <w:qFormat/>
    <w:rsid w:val="00EB2CA5"/>
    <w:pPr>
      <w:spacing w:after="120"/>
      <w:ind w:left="374" w:right="-14"/>
      <w:contextualSpacing/>
    </w:pPr>
    <w:rPr>
      <w:rFonts w:ascii="Arial Narrow" w:hAnsi="Arial Narrow"/>
    </w:rPr>
  </w:style>
  <w:style w:type="character" w:customStyle="1" w:styleId="TableBulletsChar">
    <w:name w:val="TableBullets Char"/>
    <w:basedOn w:val="DefaultParagraphFont"/>
    <w:link w:val="TableBullets"/>
    <w:rsid w:val="00EB2CA5"/>
    <w:rPr>
      <w:rFonts w:ascii="Arial Narrow" w:hAnsi="Arial Narrow"/>
      <w:sz w:val="26"/>
      <w:szCs w:val="24"/>
    </w:rPr>
  </w:style>
  <w:style w:type="paragraph" w:styleId="ListParagraph">
    <w:name w:val="List Paragraph"/>
    <w:basedOn w:val="Normal"/>
    <w:uiPriority w:val="34"/>
    <w:qFormat/>
    <w:rsid w:val="00EB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C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C7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C4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A5"/>
    <w:pPr>
      <w:ind w:left="1080" w:right="1080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2CA5"/>
    <w:rPr>
      <w:color w:val="0563C1" w:themeColor="hyperlink"/>
      <w:u w:val="single"/>
    </w:rPr>
  </w:style>
  <w:style w:type="paragraph" w:customStyle="1" w:styleId="TableH2">
    <w:name w:val="TableH2"/>
    <w:link w:val="TableH2Char"/>
    <w:qFormat/>
    <w:rsid w:val="00EB2CA5"/>
    <w:pPr>
      <w:keepNext/>
      <w:spacing w:after="0"/>
    </w:pPr>
    <w:rPr>
      <w:rFonts w:ascii="Arial Narrow" w:hAnsi="Arial Narrow" w:cs="Arial"/>
      <w:b/>
      <w:color w:val="FFFFFF" w:themeColor="background1"/>
      <w:sz w:val="26"/>
    </w:rPr>
  </w:style>
  <w:style w:type="character" w:customStyle="1" w:styleId="TableH2Char">
    <w:name w:val="TableH2 Char"/>
    <w:basedOn w:val="DefaultParagraphFont"/>
    <w:link w:val="TableH2"/>
    <w:rsid w:val="00EB2CA5"/>
    <w:rPr>
      <w:rFonts w:ascii="Arial Narrow" w:hAnsi="Arial Narrow" w:cs="Arial"/>
      <w:b/>
      <w:color w:val="FFFFFF" w:themeColor="background1"/>
      <w:sz w:val="26"/>
    </w:rPr>
  </w:style>
  <w:style w:type="paragraph" w:customStyle="1" w:styleId="TableBody">
    <w:name w:val="TableBody"/>
    <w:link w:val="TableBodyChar"/>
    <w:qFormat/>
    <w:rsid w:val="00EB2CA5"/>
    <w:pPr>
      <w:spacing w:after="0" w:line="240" w:lineRule="auto"/>
    </w:pPr>
    <w:rPr>
      <w:rFonts w:ascii="Arial Narrow" w:hAnsi="Arial Narrow"/>
      <w:sz w:val="26"/>
    </w:rPr>
  </w:style>
  <w:style w:type="character" w:customStyle="1" w:styleId="TableBodyChar">
    <w:name w:val="TableBody Char"/>
    <w:basedOn w:val="DefaultParagraphFont"/>
    <w:link w:val="TableBody"/>
    <w:rsid w:val="00EB2CA5"/>
    <w:rPr>
      <w:rFonts w:ascii="Arial Narrow" w:hAnsi="Arial Narrow"/>
      <w:sz w:val="26"/>
    </w:rPr>
  </w:style>
  <w:style w:type="paragraph" w:customStyle="1" w:styleId="Bullets">
    <w:name w:val="Bullets"/>
    <w:basedOn w:val="ListParagraph"/>
    <w:qFormat/>
    <w:rsid w:val="00EB2CA5"/>
    <w:pPr>
      <w:numPr>
        <w:numId w:val="1"/>
      </w:numPr>
      <w:ind w:left="1800"/>
      <w:contextualSpacing w:val="0"/>
    </w:pPr>
    <w:rPr>
      <w:szCs w:val="24"/>
    </w:rPr>
  </w:style>
  <w:style w:type="paragraph" w:customStyle="1" w:styleId="TableBullets">
    <w:name w:val="TableBullets"/>
    <w:basedOn w:val="Bullets"/>
    <w:link w:val="TableBulletsChar"/>
    <w:qFormat/>
    <w:rsid w:val="00EB2CA5"/>
    <w:pPr>
      <w:spacing w:after="120"/>
      <w:ind w:left="374" w:right="-14"/>
      <w:contextualSpacing/>
    </w:pPr>
    <w:rPr>
      <w:rFonts w:ascii="Arial Narrow" w:hAnsi="Arial Narrow"/>
    </w:rPr>
  </w:style>
  <w:style w:type="character" w:customStyle="1" w:styleId="TableBulletsChar">
    <w:name w:val="TableBullets Char"/>
    <w:basedOn w:val="DefaultParagraphFont"/>
    <w:link w:val="TableBullets"/>
    <w:rsid w:val="00EB2CA5"/>
    <w:rPr>
      <w:rFonts w:ascii="Arial Narrow" w:hAnsi="Arial Narrow"/>
      <w:sz w:val="26"/>
      <w:szCs w:val="24"/>
    </w:rPr>
  </w:style>
  <w:style w:type="paragraph" w:styleId="ListParagraph">
    <w:name w:val="List Paragraph"/>
    <w:basedOn w:val="Normal"/>
    <w:uiPriority w:val="34"/>
    <w:qFormat/>
    <w:rsid w:val="00EB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C4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C7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C4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10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BEAUDRAULT Sara</dc:creator>
  <cp:keywords/>
  <dc:description/>
  <cp:lastModifiedBy>Erin Mowlds</cp:lastModifiedBy>
  <cp:revision>2</cp:revision>
  <dcterms:created xsi:type="dcterms:W3CDTF">2017-03-15T16:56:00Z</dcterms:created>
  <dcterms:modified xsi:type="dcterms:W3CDTF">2017-03-15T16:56:00Z</dcterms:modified>
</cp:coreProperties>
</file>