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B37E9" w14:textId="77777777" w:rsidR="00A21FEF" w:rsidRDefault="00A21FEF"/>
    <w:p w14:paraId="0D2D9A86" w14:textId="3AFCC3F1" w:rsidR="004A1ABD" w:rsidRDefault="004A1ABD" w:rsidP="004A1ABD">
      <w:pPr>
        <w:rPr>
          <w:b/>
        </w:rPr>
      </w:pPr>
      <w:r>
        <w:rPr>
          <w:b/>
        </w:rPr>
        <w:t>***</w:t>
      </w:r>
      <w:r>
        <w:rPr>
          <w:b/>
        </w:rPr>
        <w:t>DRAFT</w:t>
      </w:r>
      <w:r>
        <w:rPr>
          <w:b/>
        </w:rPr>
        <w:t>***</w:t>
      </w:r>
      <w:r>
        <w:rPr>
          <w:b/>
        </w:rPr>
        <w:t xml:space="preserve"> </w:t>
      </w:r>
    </w:p>
    <w:p w14:paraId="298DB3DD" w14:textId="77777777" w:rsidR="004A1ABD" w:rsidRDefault="004A1ABD" w:rsidP="004A1ABD">
      <w:pPr>
        <w:rPr>
          <w:b/>
        </w:rPr>
      </w:pPr>
      <w:r>
        <w:rPr>
          <w:b/>
        </w:rPr>
        <w:t xml:space="preserve">Technical Assistance </w:t>
      </w:r>
      <w:r w:rsidRPr="00E50B69">
        <w:rPr>
          <w:b/>
        </w:rPr>
        <w:t>Specific to the OHA Modernization Grant</w:t>
      </w:r>
    </w:p>
    <w:p w14:paraId="3C39ED11" w14:textId="77777777" w:rsidR="004A1ABD" w:rsidRPr="00FE5AF8" w:rsidRDefault="004A1ABD" w:rsidP="004A1ABD">
      <w:pPr>
        <w:rPr>
          <w:b/>
        </w:rPr>
      </w:pPr>
      <w:r>
        <w:rPr>
          <w:b/>
        </w:rPr>
        <w:t xml:space="preserve">Note: The bulleted items are meant to </w:t>
      </w:r>
      <w:r w:rsidRPr="00FE5AF8">
        <w:rPr>
          <w:b/>
          <w:i/>
        </w:rPr>
        <w:t>suggestions</w:t>
      </w:r>
      <w:r>
        <w:rPr>
          <w:b/>
        </w:rPr>
        <w:t xml:space="preserve"> for ways the Rede can provide technical assistance. Quotes text is taken from OHA-PH </w:t>
      </w:r>
      <w:r w:rsidRPr="00FE5AF8">
        <w:rPr>
          <w:b/>
        </w:rPr>
        <w:t>Public Health Modernization RFP #4461</w:t>
      </w:r>
    </w:p>
    <w:p w14:paraId="15487F78" w14:textId="77777777" w:rsidR="004A1ABD" w:rsidRPr="00E50B69" w:rsidRDefault="004A1ABD" w:rsidP="004A1ABD">
      <w:pPr>
        <w:rPr>
          <w:b/>
        </w:rPr>
      </w:pPr>
    </w:p>
    <w:p w14:paraId="194ECD5A" w14:textId="77777777" w:rsidR="004A1ABD" w:rsidRDefault="004A1ABD" w:rsidP="004A1ABD">
      <w:pPr>
        <w:rPr>
          <w:rFonts w:ascii="MS Mincho" w:eastAsia="MS Mincho" w:hAnsi="MS Mincho" w:cs="MS Mincho"/>
        </w:rPr>
      </w:pPr>
      <w:r>
        <w:t>“</w:t>
      </w:r>
      <w:r w:rsidRPr="00463413">
        <w:t>Establish a formal governance structure for decision-making, resource allocation and implementation of approved work plans for LPHAs and partners participating in the regional partnership.</w:t>
      </w:r>
      <w:r>
        <w:t>”</w:t>
      </w:r>
      <w:r w:rsidRPr="00463413">
        <w:t xml:space="preserve"> </w:t>
      </w:r>
      <w:r w:rsidRPr="00463413">
        <w:rPr>
          <w:rFonts w:ascii="MS Mincho" w:eastAsia="MS Mincho" w:hAnsi="MS Mincho" w:cs="MS Mincho"/>
        </w:rPr>
        <w:t> </w:t>
      </w:r>
    </w:p>
    <w:p w14:paraId="7F28B65B" w14:textId="77777777" w:rsidR="004A1ABD" w:rsidRDefault="004A1ABD" w:rsidP="004A1ABD">
      <w:pPr>
        <w:pStyle w:val="ListParagraph"/>
        <w:numPr>
          <w:ilvl w:val="0"/>
          <w:numId w:val="1"/>
        </w:numPr>
      </w:pPr>
      <w:r>
        <w:t xml:space="preserve">Facilitate/moderate discussion </w:t>
      </w:r>
    </w:p>
    <w:p w14:paraId="57E8B7E5" w14:textId="77777777" w:rsidR="004A1ABD" w:rsidRDefault="004A1ABD" w:rsidP="004A1ABD">
      <w:pPr>
        <w:pStyle w:val="ListParagraph"/>
        <w:numPr>
          <w:ilvl w:val="0"/>
          <w:numId w:val="1"/>
        </w:numPr>
      </w:pPr>
      <w:r>
        <w:t>Review governance structure documents submitted with application</w:t>
      </w:r>
    </w:p>
    <w:p w14:paraId="15E3A955" w14:textId="77777777" w:rsidR="004A1ABD" w:rsidRDefault="004A1ABD" w:rsidP="004A1ABD">
      <w:pPr>
        <w:pStyle w:val="ListParagraph"/>
        <w:numPr>
          <w:ilvl w:val="0"/>
          <w:numId w:val="1"/>
        </w:numPr>
      </w:pPr>
      <w:r>
        <w:t>Support efforts to refine, solidify, clarify governance structure and governance structure documents</w:t>
      </w:r>
    </w:p>
    <w:p w14:paraId="59E3CCE3" w14:textId="77777777" w:rsidR="004A1ABD" w:rsidRPr="001E35C5" w:rsidRDefault="004A1ABD" w:rsidP="004A1ABD">
      <w:pPr>
        <w:pStyle w:val="ListParagraph"/>
        <w:numPr>
          <w:ilvl w:val="0"/>
          <w:numId w:val="1"/>
        </w:numPr>
      </w:pPr>
      <w:r>
        <w:t>Support efforts to develop procedural supports to accompany governance structure</w:t>
      </w:r>
    </w:p>
    <w:p w14:paraId="13380459" w14:textId="77777777" w:rsidR="004A1ABD" w:rsidRDefault="004A1ABD" w:rsidP="004A1ABD">
      <w:pPr>
        <w:rPr>
          <w:rFonts w:ascii="MS Mincho" w:eastAsia="MS Mincho" w:hAnsi="MS Mincho" w:cs="MS Mincho"/>
        </w:rPr>
      </w:pPr>
      <w:r>
        <w:t>“</w:t>
      </w:r>
      <w:r w:rsidRPr="00463413">
        <w:t>Identify local organizations to engage as strategic partners to control com</w:t>
      </w:r>
      <w:r>
        <w:t>municable disease transmission.”</w:t>
      </w:r>
      <w:r w:rsidRPr="00463413">
        <w:rPr>
          <w:rFonts w:ascii="MS Mincho" w:eastAsia="MS Mincho" w:hAnsi="MS Mincho" w:cs="MS Mincho"/>
        </w:rPr>
        <w:t> </w:t>
      </w:r>
    </w:p>
    <w:p w14:paraId="670B82AD" w14:textId="77777777" w:rsidR="004A1ABD" w:rsidRPr="002543BE" w:rsidRDefault="004A1ABD" w:rsidP="004A1ABD">
      <w:pPr>
        <w:pStyle w:val="ListParagraph"/>
      </w:pPr>
      <w:r w:rsidRPr="002543BE">
        <w:t>Review current partner structure and facilitate discussions to identify new strategic partners relevant to this work</w:t>
      </w:r>
    </w:p>
    <w:p w14:paraId="3FA11777" w14:textId="77777777" w:rsidR="004A1ABD" w:rsidRPr="002543BE" w:rsidRDefault="004A1ABD" w:rsidP="004A1ABD">
      <w:pPr>
        <w:pStyle w:val="ListParagraph"/>
      </w:pPr>
      <w:r w:rsidRPr="002543BE">
        <w:t>Support efforts to formalize partnerships</w:t>
      </w:r>
      <w:r>
        <w:t>,</w:t>
      </w:r>
      <w:r w:rsidRPr="002543BE">
        <w:t xml:space="preserve"> using state and national models</w:t>
      </w:r>
    </w:p>
    <w:p w14:paraId="220E0A4C" w14:textId="77777777" w:rsidR="004A1ABD" w:rsidRDefault="004A1ABD" w:rsidP="004A1ABD">
      <w:r>
        <w:t>“…a</w:t>
      </w:r>
      <w:r w:rsidRPr="00463413">
        <w:t xml:space="preserve"> minimum of one policy (e.g., Memoranda of Understanding, Joint Agreements, County Resolutions) describing the regional relationship between participating LPHAs and strategic partners.</w:t>
      </w:r>
      <w:r>
        <w:t>”</w:t>
      </w:r>
    </w:p>
    <w:p w14:paraId="0FADC5D4" w14:textId="77777777" w:rsidR="004A1ABD" w:rsidRPr="002543BE" w:rsidRDefault="004A1ABD" w:rsidP="004A1ABD">
      <w:pPr>
        <w:pStyle w:val="ListParagraph"/>
      </w:pPr>
      <w:r w:rsidRPr="002543BE">
        <w:t>Identify and share policy examples</w:t>
      </w:r>
    </w:p>
    <w:p w14:paraId="188AFCAE" w14:textId="77777777" w:rsidR="004A1ABD" w:rsidRPr="00463413" w:rsidRDefault="004A1ABD" w:rsidP="004A1ABD">
      <w:pPr>
        <w:pStyle w:val="ListParagraph"/>
      </w:pPr>
      <w:r w:rsidRPr="002543BE">
        <w:t>Support drafting policies</w:t>
      </w:r>
    </w:p>
    <w:p w14:paraId="270C6E90" w14:textId="77777777" w:rsidR="004A1ABD" w:rsidRDefault="004A1ABD" w:rsidP="004A1ABD">
      <w:pPr>
        <w:rPr>
          <w:rFonts w:ascii="MS Mincho" w:eastAsia="MS Mincho" w:hAnsi="MS Mincho" w:cs="MS Mincho"/>
        </w:rPr>
      </w:pPr>
      <w:r>
        <w:t>“</w:t>
      </w:r>
      <w:r w:rsidRPr="00463413">
        <w:t>Partner with regional health equity coalitions (if applicable), tribes (if applicable), community-based organizations and other entities in order to develop meaningful relationships with populations with a disproportionate burden of communicable di</w:t>
      </w:r>
      <w:r>
        <w:t>sease and poor health outcomes.”</w:t>
      </w:r>
      <w:r w:rsidRPr="00463413">
        <w:rPr>
          <w:rFonts w:ascii="MS Mincho" w:eastAsia="MS Mincho" w:hAnsi="MS Mincho" w:cs="MS Mincho"/>
        </w:rPr>
        <w:t> </w:t>
      </w:r>
    </w:p>
    <w:p w14:paraId="22FA4B81" w14:textId="77777777" w:rsidR="004A1ABD" w:rsidRDefault="004A1ABD" w:rsidP="004A1ABD">
      <w:pPr>
        <w:pStyle w:val="ListParagraph"/>
        <w:numPr>
          <w:ilvl w:val="0"/>
          <w:numId w:val="2"/>
        </w:numPr>
      </w:pPr>
      <w:r>
        <w:t>Develop strategic plans for identifying and engaging partners who represent groups or communities</w:t>
      </w:r>
      <w:r w:rsidRPr="00463413">
        <w:t xml:space="preserve"> with a disproportionate burden of communicable disease and poor health outcomes</w:t>
      </w:r>
      <w:r>
        <w:t>.</w:t>
      </w:r>
    </w:p>
    <w:p w14:paraId="772F4863" w14:textId="77777777" w:rsidR="004A1ABD" w:rsidRDefault="004A1ABD" w:rsidP="004A1ABD">
      <w:pPr>
        <w:pStyle w:val="ListParagraph"/>
        <w:numPr>
          <w:ilvl w:val="0"/>
          <w:numId w:val="2"/>
        </w:numPr>
      </w:pPr>
      <w:r>
        <w:t xml:space="preserve">Develop strategies for quality engagement with communities </w:t>
      </w:r>
      <w:r w:rsidRPr="00463413">
        <w:t>with a disproportionate burden of communicable disease and poor health outcomes</w:t>
      </w:r>
      <w:r>
        <w:t>.</w:t>
      </w:r>
    </w:p>
    <w:p w14:paraId="6BF8E477" w14:textId="77777777" w:rsidR="004A1ABD" w:rsidRPr="00463413" w:rsidRDefault="004A1ABD" w:rsidP="004A1ABD">
      <w:pPr>
        <w:pStyle w:val="ListParagraph"/>
        <w:numPr>
          <w:ilvl w:val="0"/>
          <w:numId w:val="2"/>
        </w:numPr>
      </w:pPr>
      <w:r>
        <w:t>Develop strategies for documenting and evaluating partner engagement/relationships</w:t>
      </w:r>
    </w:p>
    <w:p w14:paraId="466195A7" w14:textId="77777777" w:rsidR="004A1ABD" w:rsidRDefault="004A1ABD" w:rsidP="004A1ABD">
      <w:pPr>
        <w:rPr>
          <w:rFonts w:ascii="MS Mincho" w:eastAsia="MS Mincho" w:hAnsi="MS Mincho" w:cs="MS Mincho"/>
        </w:rPr>
      </w:pPr>
      <w:r>
        <w:t>“</w:t>
      </w:r>
      <w:r w:rsidRPr="00463413">
        <w:t>Develop systems for communications with strategic partn</w:t>
      </w:r>
      <w:r>
        <w:t>ers about disease transmission.”</w:t>
      </w:r>
      <w:r w:rsidRPr="00463413">
        <w:rPr>
          <w:rFonts w:ascii="MS Mincho" w:eastAsia="MS Mincho" w:hAnsi="MS Mincho" w:cs="MS Mincho"/>
        </w:rPr>
        <w:t> </w:t>
      </w:r>
    </w:p>
    <w:p w14:paraId="28B6FB37" w14:textId="77777777" w:rsidR="004A1ABD" w:rsidRDefault="004A1ABD" w:rsidP="004A1ABD">
      <w:pPr>
        <w:pStyle w:val="ListParagraph"/>
      </w:pPr>
      <w:r>
        <w:t>Develop communication strategies and tactical plans</w:t>
      </w:r>
    </w:p>
    <w:p w14:paraId="0ED034C4" w14:textId="77777777" w:rsidR="004A1ABD" w:rsidRDefault="004A1ABD" w:rsidP="004A1ABD">
      <w:pPr>
        <w:pStyle w:val="ListParagraph"/>
      </w:pPr>
      <w:r>
        <w:t>Develop communication flow documents</w:t>
      </w:r>
    </w:p>
    <w:p w14:paraId="6484F720" w14:textId="77777777" w:rsidR="004A1ABD" w:rsidRDefault="004A1ABD" w:rsidP="004A1ABD">
      <w:pPr>
        <w:pStyle w:val="ListParagraph"/>
      </w:pPr>
      <w:r>
        <w:t>Develop plans for evaluating communication efficacy</w:t>
      </w:r>
    </w:p>
    <w:p w14:paraId="5C09821B" w14:textId="77777777" w:rsidR="004A1ABD" w:rsidRDefault="004A1ABD" w:rsidP="004A1ABD">
      <w:pPr>
        <w:rPr>
          <w:rFonts w:ascii="MS Mincho" w:eastAsia="MS Mincho" w:hAnsi="MS Mincho" w:cs="MS Mincho"/>
        </w:rPr>
      </w:pPr>
      <w:r>
        <w:lastRenderedPageBreak/>
        <w:t>“</w:t>
      </w:r>
      <w:r w:rsidRPr="00463413">
        <w:t>Seek opportunities to share information about regional partnership strategies for communicable disease control and reducing health disparities with outside organizations. Examples may include statewide or national meetings or conferences, or through local, regional or statewide meetings of governmental agencies not includ</w:t>
      </w:r>
      <w:r>
        <w:t>ed in the regional partnership.”</w:t>
      </w:r>
      <w:r w:rsidRPr="00463413">
        <w:rPr>
          <w:rFonts w:ascii="MS Mincho" w:eastAsia="MS Mincho" w:hAnsi="MS Mincho" w:cs="MS Mincho"/>
        </w:rPr>
        <w:t> </w:t>
      </w:r>
    </w:p>
    <w:p w14:paraId="73D12CD5" w14:textId="77777777" w:rsidR="004A1ABD" w:rsidRDefault="004A1ABD" w:rsidP="004A1ABD">
      <w:pPr>
        <w:pStyle w:val="ListParagraph"/>
      </w:pPr>
      <w:r>
        <w:t>Identify and share opportunities</w:t>
      </w:r>
    </w:p>
    <w:p w14:paraId="3AB1DE37" w14:textId="77777777" w:rsidR="004A1ABD" w:rsidRPr="006A119C" w:rsidRDefault="004A1ABD" w:rsidP="004A1ABD">
      <w:pPr>
        <w:pStyle w:val="ListParagraph"/>
      </w:pPr>
      <w:r>
        <w:t xml:space="preserve">Assist with ideas for packaging </w:t>
      </w:r>
    </w:p>
    <w:p w14:paraId="54A6C11E" w14:textId="77777777" w:rsidR="004A1ABD" w:rsidRPr="00C65807" w:rsidRDefault="004A1ABD" w:rsidP="004A1ABD">
      <w:pPr>
        <w:rPr>
          <w:b/>
        </w:rPr>
      </w:pPr>
    </w:p>
    <w:p w14:paraId="1C4B6D46" w14:textId="77777777" w:rsidR="004A1ABD" w:rsidRDefault="004A1ABD" w:rsidP="004A1ABD">
      <w:r>
        <w:rPr>
          <w:b/>
        </w:rPr>
        <w:t>Technical Assistance to Support PH Modernization in General (based on need identified in AIMHI Regional Meeting)</w:t>
      </w:r>
    </w:p>
    <w:p w14:paraId="14ABD3F3" w14:textId="77777777" w:rsidR="004A1ABD" w:rsidRDefault="004A1ABD" w:rsidP="004A1ABD">
      <w:pPr>
        <w:rPr>
          <w:b/>
        </w:rPr>
      </w:pPr>
    </w:p>
    <w:p w14:paraId="1EEEC9A0" w14:textId="77777777" w:rsidR="004A1ABD" w:rsidRPr="00C452E3" w:rsidRDefault="004A1ABD" w:rsidP="004A1ABD">
      <w:pPr>
        <w:rPr>
          <w:b/>
        </w:rPr>
      </w:pPr>
      <w:r w:rsidRPr="00C452E3">
        <w:rPr>
          <w:b/>
        </w:rPr>
        <w:t xml:space="preserve">Change management </w:t>
      </w:r>
    </w:p>
    <w:p w14:paraId="49B9C961" w14:textId="77777777" w:rsidR="004A1ABD" w:rsidRDefault="004A1ABD" w:rsidP="004A1ABD">
      <w:r>
        <w:t>Resources review</w:t>
      </w:r>
    </w:p>
    <w:p w14:paraId="776F684D" w14:textId="77777777" w:rsidR="004A1ABD" w:rsidRDefault="004A1ABD" w:rsidP="004A1ABD">
      <w:r>
        <w:t>Change management planning</w:t>
      </w:r>
    </w:p>
    <w:p w14:paraId="0801388E" w14:textId="77777777" w:rsidR="004A1ABD" w:rsidRDefault="004A1ABD" w:rsidP="004A1ABD">
      <w:r>
        <w:t>Direct TA/Training with managers or staff</w:t>
      </w:r>
    </w:p>
    <w:p w14:paraId="31E34653" w14:textId="77777777" w:rsidR="004A1ABD" w:rsidRDefault="004A1ABD" w:rsidP="004A1ABD"/>
    <w:p w14:paraId="770DB477" w14:textId="77777777" w:rsidR="004A1ABD" w:rsidRDefault="004A1ABD" w:rsidP="004A1ABD"/>
    <w:p w14:paraId="63D14306" w14:textId="77777777" w:rsidR="004A1ABD" w:rsidRDefault="004A1ABD" w:rsidP="004A1ABD">
      <w:pPr>
        <w:rPr>
          <w:b/>
        </w:rPr>
      </w:pPr>
      <w:r w:rsidRPr="00C452E3">
        <w:rPr>
          <w:b/>
        </w:rPr>
        <w:t>Communication</w:t>
      </w:r>
      <w:r>
        <w:rPr>
          <w:b/>
        </w:rPr>
        <w:t xml:space="preserve"> to increase understanding of public health’s role in the community</w:t>
      </w:r>
    </w:p>
    <w:p w14:paraId="6E051884" w14:textId="77777777" w:rsidR="004A1ABD" w:rsidRDefault="004A1ABD" w:rsidP="004A1ABD">
      <w:r w:rsidRPr="00C452E3">
        <w:t>Communication planning support</w:t>
      </w:r>
    </w:p>
    <w:p w14:paraId="548A69E7" w14:textId="77777777" w:rsidR="004A1ABD" w:rsidRPr="00C452E3" w:rsidRDefault="004A1ABD" w:rsidP="004A1ABD">
      <w:r>
        <w:t>Technical support to develop cross-sector/cross jurisdictional communication strategies and plans.</w:t>
      </w:r>
    </w:p>
    <w:p w14:paraId="5D0D96C3" w14:textId="77777777" w:rsidR="004A1ABD" w:rsidRPr="00463413" w:rsidRDefault="004A1ABD" w:rsidP="004A1ABD"/>
    <w:p w14:paraId="31B523DD" w14:textId="77777777" w:rsidR="004A1ABD" w:rsidRDefault="004A1ABD"/>
    <w:p w14:paraId="309CAC74" w14:textId="77777777" w:rsidR="00102368" w:rsidRDefault="00102368"/>
    <w:p w14:paraId="0590AA92" w14:textId="77777777" w:rsidR="00102368" w:rsidRDefault="00102368"/>
    <w:p w14:paraId="19EC6102" w14:textId="77777777" w:rsidR="009C2774" w:rsidRDefault="009C2774"/>
    <w:p w14:paraId="1C524586" w14:textId="77777777" w:rsidR="009C2774" w:rsidRDefault="009C2774"/>
    <w:p w14:paraId="1B41D736" w14:textId="77777777" w:rsidR="009C2774" w:rsidRDefault="009C2774"/>
    <w:p w14:paraId="47E9E891" w14:textId="77777777" w:rsidR="009C2774" w:rsidRDefault="009C2774"/>
    <w:p w14:paraId="738BD41F" w14:textId="77777777" w:rsidR="009C2774" w:rsidRDefault="009C2774"/>
    <w:p w14:paraId="5655941C" w14:textId="77777777" w:rsidR="009C2774" w:rsidRDefault="009C2774"/>
    <w:p w14:paraId="2C1FD0E9" w14:textId="77777777" w:rsidR="009C2774" w:rsidRDefault="009C2774"/>
    <w:p w14:paraId="5B9E5335" w14:textId="77777777" w:rsidR="009C2774" w:rsidRDefault="009C2774"/>
    <w:p w14:paraId="63EB0CEA" w14:textId="77777777" w:rsidR="009C2774" w:rsidRDefault="009C2774"/>
    <w:p w14:paraId="4B5B6617" w14:textId="77777777" w:rsidR="009C2774" w:rsidRDefault="009C2774"/>
    <w:p w14:paraId="0C686E94" w14:textId="77777777" w:rsidR="009C2774" w:rsidRDefault="009C2774"/>
    <w:p w14:paraId="1D66DEA9" w14:textId="77777777" w:rsidR="009C2774" w:rsidRDefault="009C2774"/>
    <w:p w14:paraId="0E78CA65" w14:textId="77777777" w:rsidR="009C2774" w:rsidRDefault="009C2774"/>
    <w:p w14:paraId="4AF945BB" w14:textId="77777777" w:rsidR="009C2774" w:rsidRDefault="009C2774"/>
    <w:p w14:paraId="57F4E3E2" w14:textId="77777777" w:rsidR="009C2774" w:rsidRDefault="009C2774"/>
    <w:p w14:paraId="68D743D8" w14:textId="77777777" w:rsidR="009C2774" w:rsidRDefault="009C2774"/>
    <w:p w14:paraId="2552A125" w14:textId="77777777" w:rsidR="009C2774" w:rsidRDefault="009C2774"/>
    <w:p w14:paraId="6E5C9829" w14:textId="77777777" w:rsidR="009C2774" w:rsidRDefault="009C2774">
      <w:bookmarkStart w:id="0" w:name="_GoBack"/>
      <w:bookmarkEnd w:id="0"/>
    </w:p>
    <w:sectPr w:rsidR="009C2774" w:rsidSect="009C27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E1786" w14:textId="77777777" w:rsidR="002818AE" w:rsidRDefault="002818AE" w:rsidP="00102368">
      <w:r>
        <w:separator/>
      </w:r>
    </w:p>
  </w:endnote>
  <w:endnote w:type="continuationSeparator" w:id="0">
    <w:p w14:paraId="78A623E1" w14:textId="77777777" w:rsidR="002818AE" w:rsidRDefault="002818AE" w:rsidP="0010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00503060000020004"/>
    <w:charset w:val="00"/>
    <w:family w:val="swiss"/>
    <w:pitch w:val="variable"/>
    <w:sig w:usb0="80000067" w:usb1="00000000" w:usb2="00000000" w:usb3="00000000" w:csb0="00000001"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Next Condensed">
    <w:panose1 w:val="020B0506020202020204"/>
    <w:charset w:val="00"/>
    <w:family w:val="swiss"/>
    <w:pitch w:val="variable"/>
    <w:sig w:usb0="8000002F" w:usb1="5000204A" w:usb2="00000000" w:usb3="00000000" w:csb0="0000009B" w:csb1="00000000"/>
  </w:font>
  <w:font w:name="MS Mincho">
    <w:panose1 w:val="02020609040205080304"/>
    <w:charset w:val="80"/>
    <w:family w:val="roman"/>
    <w:pitch w:val="fixed"/>
    <w:sig w:usb0="E00002FF" w:usb1="6AC7FDFB" w:usb2="08000012" w:usb3="00000000" w:csb0="0002009F" w:csb1="00000000"/>
  </w:font>
  <w:font w:name="Gill Sans">
    <w:panose1 w:val="020B0502020104020203"/>
    <w:charset w:val="00"/>
    <w:family w:val="swiss"/>
    <w:pitch w:val="variable"/>
    <w:sig w:usb0="800002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94314" w14:textId="77777777" w:rsidR="009C2774" w:rsidRDefault="009C277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BA04E" w14:textId="77777777" w:rsidR="000232A7" w:rsidRPr="00102368" w:rsidRDefault="000232A7" w:rsidP="00102368">
    <w:pPr>
      <w:pStyle w:val="Footer"/>
      <w:jc w:val="center"/>
      <w:rPr>
        <w:rFonts w:ascii="Gill Sans SemiBold" w:hAnsi="Gill Sans SemiBold"/>
        <w:color w:val="0B4285"/>
        <w:sz w:val="20"/>
        <w:szCs w:val="20"/>
      </w:rPr>
    </w:pPr>
    <w:r w:rsidRPr="00632F99">
      <w:rPr>
        <w:rFonts w:ascii="Gill Sans" w:hAnsi="Gill Sans" w:cs="Gill Sans"/>
        <w:color w:val="0B4285"/>
        <w:sz w:val="20"/>
        <w:szCs w:val="20"/>
      </w:rPr>
      <w:t>240 N Broadway Suite 201</w:t>
    </w:r>
    <w:r w:rsidRPr="00102368">
      <w:rPr>
        <w:rFonts w:ascii="Wingdings" w:hAnsi="Wingdings"/>
        <w:color w:val="0B4285"/>
        <w:sz w:val="20"/>
        <w:szCs w:val="20"/>
      </w:rPr>
      <w:t></w:t>
    </w:r>
    <w:r w:rsidRPr="00102368">
      <w:rPr>
        <w:rFonts w:ascii="Gill Sans SemiBold" w:hAnsi="Gill Sans SemiBold"/>
        <w:color w:val="0B4285"/>
        <w:sz w:val="20"/>
        <w:szCs w:val="20"/>
      </w:rPr>
      <w:t xml:space="preserve"> </w:t>
    </w:r>
    <w:r w:rsidRPr="00632F99">
      <w:rPr>
        <w:rFonts w:ascii="Gill Sans" w:hAnsi="Gill Sans" w:cs="Gill Sans"/>
        <w:color w:val="0B4285"/>
        <w:sz w:val="20"/>
        <w:szCs w:val="20"/>
      </w:rPr>
      <w:t>Portland, OR 97227</w:t>
    </w:r>
    <w:r w:rsidRPr="00102368">
      <w:rPr>
        <w:rFonts w:ascii="Gill Sans SemiBold" w:hAnsi="Gill Sans SemiBold"/>
        <w:color w:val="0B4285"/>
        <w:sz w:val="20"/>
        <w:szCs w:val="20"/>
      </w:rPr>
      <w:t xml:space="preserve"> </w:t>
    </w:r>
    <w:r w:rsidRPr="00102368">
      <w:rPr>
        <w:rFonts w:ascii="Wingdings" w:hAnsi="Wingdings"/>
        <w:color w:val="0B4285"/>
        <w:sz w:val="20"/>
        <w:szCs w:val="20"/>
      </w:rPr>
      <w:t></w:t>
    </w:r>
    <w:r w:rsidRPr="00102368">
      <w:rPr>
        <w:rFonts w:ascii="Gill Sans SemiBold" w:hAnsi="Gill Sans SemiBold"/>
        <w:color w:val="0B4285"/>
        <w:sz w:val="20"/>
        <w:szCs w:val="20"/>
      </w:rPr>
      <w:t xml:space="preserve"> </w:t>
    </w:r>
    <w:r w:rsidRPr="00632F99">
      <w:rPr>
        <w:rFonts w:ascii="Gill Sans" w:hAnsi="Gill Sans" w:cs="Gill Sans"/>
        <w:color w:val="0B4285"/>
        <w:sz w:val="20"/>
        <w:szCs w:val="20"/>
      </w:rPr>
      <w:t>503-764-9696</w:t>
    </w:r>
    <w:r w:rsidRPr="00102368">
      <w:rPr>
        <w:rFonts w:ascii="Gill Sans SemiBold" w:hAnsi="Gill Sans SemiBold"/>
        <w:color w:val="0B4285"/>
        <w:sz w:val="20"/>
        <w:szCs w:val="20"/>
      </w:rPr>
      <w:t xml:space="preserve"> </w:t>
    </w:r>
    <w:r w:rsidRPr="00102368">
      <w:rPr>
        <w:rFonts w:ascii="Wingdings" w:hAnsi="Wingdings"/>
        <w:color w:val="0B4285"/>
        <w:sz w:val="20"/>
        <w:szCs w:val="20"/>
      </w:rPr>
      <w:t></w:t>
    </w:r>
    <w:r w:rsidRPr="00102368">
      <w:rPr>
        <w:rFonts w:ascii="Gill Sans SemiBold" w:hAnsi="Gill Sans SemiBold"/>
        <w:color w:val="0B4285"/>
        <w:sz w:val="20"/>
        <w:szCs w:val="20"/>
      </w:rPr>
      <w:t xml:space="preserve"> www.redegroup.co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9BC4" w14:textId="77777777" w:rsidR="009C2774" w:rsidRPr="00102368" w:rsidRDefault="009C2774" w:rsidP="009C2774">
    <w:pPr>
      <w:pStyle w:val="Footer"/>
      <w:jc w:val="center"/>
      <w:rPr>
        <w:rFonts w:ascii="Gill Sans SemiBold" w:hAnsi="Gill Sans SemiBold"/>
        <w:color w:val="0B4285"/>
        <w:sz w:val="20"/>
        <w:szCs w:val="20"/>
      </w:rPr>
    </w:pPr>
    <w:r w:rsidRPr="00632F99">
      <w:rPr>
        <w:rFonts w:ascii="Gill Sans" w:hAnsi="Gill Sans" w:cs="Gill Sans"/>
        <w:color w:val="0B4285"/>
        <w:sz w:val="20"/>
        <w:szCs w:val="20"/>
      </w:rPr>
      <w:t>240 N Broadway Suite 201</w:t>
    </w:r>
    <w:r w:rsidRPr="00102368">
      <w:rPr>
        <w:rFonts w:ascii="Wingdings" w:hAnsi="Wingdings"/>
        <w:color w:val="0B4285"/>
        <w:sz w:val="20"/>
        <w:szCs w:val="20"/>
      </w:rPr>
      <w:t></w:t>
    </w:r>
    <w:r w:rsidRPr="00102368">
      <w:rPr>
        <w:rFonts w:ascii="Gill Sans SemiBold" w:hAnsi="Gill Sans SemiBold"/>
        <w:color w:val="0B4285"/>
        <w:sz w:val="20"/>
        <w:szCs w:val="20"/>
      </w:rPr>
      <w:t xml:space="preserve"> </w:t>
    </w:r>
    <w:r w:rsidRPr="00632F99">
      <w:rPr>
        <w:rFonts w:ascii="Gill Sans" w:hAnsi="Gill Sans" w:cs="Gill Sans"/>
        <w:color w:val="0B4285"/>
        <w:sz w:val="20"/>
        <w:szCs w:val="20"/>
      </w:rPr>
      <w:t>Portland, OR 97227</w:t>
    </w:r>
    <w:r w:rsidRPr="00102368">
      <w:rPr>
        <w:rFonts w:ascii="Gill Sans SemiBold" w:hAnsi="Gill Sans SemiBold"/>
        <w:color w:val="0B4285"/>
        <w:sz w:val="20"/>
        <w:szCs w:val="20"/>
      </w:rPr>
      <w:t xml:space="preserve"> </w:t>
    </w:r>
    <w:r w:rsidRPr="00102368">
      <w:rPr>
        <w:rFonts w:ascii="Wingdings" w:hAnsi="Wingdings"/>
        <w:color w:val="0B4285"/>
        <w:sz w:val="20"/>
        <w:szCs w:val="20"/>
      </w:rPr>
      <w:t></w:t>
    </w:r>
    <w:r w:rsidRPr="00102368">
      <w:rPr>
        <w:rFonts w:ascii="Gill Sans SemiBold" w:hAnsi="Gill Sans SemiBold"/>
        <w:color w:val="0B4285"/>
        <w:sz w:val="20"/>
        <w:szCs w:val="20"/>
      </w:rPr>
      <w:t xml:space="preserve"> </w:t>
    </w:r>
    <w:r w:rsidRPr="00632F99">
      <w:rPr>
        <w:rFonts w:ascii="Gill Sans" w:hAnsi="Gill Sans" w:cs="Gill Sans"/>
        <w:color w:val="0B4285"/>
        <w:sz w:val="20"/>
        <w:szCs w:val="20"/>
      </w:rPr>
      <w:t>503-764-9696</w:t>
    </w:r>
    <w:r w:rsidRPr="00102368">
      <w:rPr>
        <w:rFonts w:ascii="Gill Sans SemiBold" w:hAnsi="Gill Sans SemiBold"/>
        <w:color w:val="0B4285"/>
        <w:sz w:val="20"/>
        <w:szCs w:val="20"/>
      </w:rPr>
      <w:t xml:space="preserve"> </w:t>
    </w:r>
    <w:r w:rsidRPr="00102368">
      <w:rPr>
        <w:rFonts w:ascii="Wingdings" w:hAnsi="Wingdings"/>
        <w:color w:val="0B4285"/>
        <w:sz w:val="20"/>
        <w:szCs w:val="20"/>
      </w:rPr>
      <w:t></w:t>
    </w:r>
    <w:r w:rsidRPr="00102368">
      <w:rPr>
        <w:rFonts w:ascii="Gill Sans SemiBold" w:hAnsi="Gill Sans SemiBold"/>
        <w:color w:val="0B4285"/>
        <w:sz w:val="20"/>
        <w:szCs w:val="20"/>
      </w:rPr>
      <w:t xml:space="preserve"> www.redegroup.co</w:t>
    </w:r>
  </w:p>
  <w:p w14:paraId="7830AE2D" w14:textId="77777777" w:rsidR="009C2774" w:rsidRDefault="009C27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1E985" w14:textId="77777777" w:rsidR="002818AE" w:rsidRDefault="002818AE" w:rsidP="00102368">
      <w:r>
        <w:separator/>
      </w:r>
    </w:p>
  </w:footnote>
  <w:footnote w:type="continuationSeparator" w:id="0">
    <w:p w14:paraId="794C3DF4" w14:textId="77777777" w:rsidR="002818AE" w:rsidRDefault="002818AE" w:rsidP="001023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FDB3" w14:textId="77777777" w:rsidR="009C2774" w:rsidRDefault="009C277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299B8" w14:textId="77777777" w:rsidR="000232A7" w:rsidRDefault="000232A7" w:rsidP="0010236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2471" w14:textId="77777777" w:rsidR="009C2774" w:rsidRDefault="009C2774">
    <w:pPr>
      <w:pStyle w:val="Header"/>
    </w:pPr>
    <w:r>
      <w:rPr>
        <w:noProof/>
        <w:lang w:eastAsia="en-US"/>
      </w:rPr>
      <w:drawing>
        <wp:inline distT="0" distB="0" distL="0" distR="0" wp14:anchorId="4D37D2F8" wp14:editId="71A54D42">
          <wp:extent cx="1259840" cy="625431"/>
          <wp:effectExtent l="0" t="0" r="10160" b="10160"/>
          <wp:docPr id="4" name="Picture 4" descr="Untitled:Users:rhutson:Dropbox (Rede Group):Letterhead and logo:Redegroup-Logo-engage-web-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rhutson:Dropbox (Rede Group):Letterhead and logo:Redegroup-Logo-engage-web-h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338" cy="62567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07F05"/>
    <w:multiLevelType w:val="hybridMultilevel"/>
    <w:tmpl w:val="345AAD98"/>
    <w:lvl w:ilvl="0" w:tplc="519401A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087C25"/>
    <w:multiLevelType w:val="hybridMultilevel"/>
    <w:tmpl w:val="E9DC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16B31"/>
    <w:multiLevelType w:val="hybridMultilevel"/>
    <w:tmpl w:val="F3E0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68"/>
    <w:rsid w:val="000232A7"/>
    <w:rsid w:val="000F0959"/>
    <w:rsid w:val="00102368"/>
    <w:rsid w:val="00134B11"/>
    <w:rsid w:val="002818AE"/>
    <w:rsid w:val="004A1ABD"/>
    <w:rsid w:val="00632F99"/>
    <w:rsid w:val="00806F1B"/>
    <w:rsid w:val="008A7932"/>
    <w:rsid w:val="009C2774"/>
    <w:rsid w:val="00A21FEF"/>
    <w:rsid w:val="00DF4541"/>
    <w:rsid w:val="00EA30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CB743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tima" w:eastAsiaTheme="minorEastAsia" w:hAnsi="Optima"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793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541"/>
    <w:rPr>
      <w:rFonts w:ascii="Lucida Grande" w:hAnsi="Lucida Grande" w:cs="Lucida Grande"/>
      <w:sz w:val="18"/>
      <w:szCs w:val="18"/>
    </w:rPr>
  </w:style>
  <w:style w:type="paragraph" w:styleId="Header">
    <w:name w:val="header"/>
    <w:basedOn w:val="Normal"/>
    <w:link w:val="HeaderChar"/>
    <w:uiPriority w:val="99"/>
    <w:unhideWhenUsed/>
    <w:rsid w:val="00102368"/>
    <w:pPr>
      <w:tabs>
        <w:tab w:val="center" w:pos="4320"/>
        <w:tab w:val="right" w:pos="8640"/>
      </w:tabs>
    </w:pPr>
  </w:style>
  <w:style w:type="character" w:customStyle="1" w:styleId="HeaderChar">
    <w:name w:val="Header Char"/>
    <w:basedOn w:val="DefaultParagraphFont"/>
    <w:link w:val="Header"/>
    <w:uiPriority w:val="99"/>
    <w:rsid w:val="00102368"/>
  </w:style>
  <w:style w:type="paragraph" w:styleId="Footer">
    <w:name w:val="footer"/>
    <w:basedOn w:val="Normal"/>
    <w:link w:val="FooterChar"/>
    <w:uiPriority w:val="99"/>
    <w:unhideWhenUsed/>
    <w:rsid w:val="00102368"/>
    <w:pPr>
      <w:tabs>
        <w:tab w:val="center" w:pos="4320"/>
        <w:tab w:val="right" w:pos="8640"/>
      </w:tabs>
    </w:pPr>
  </w:style>
  <w:style w:type="character" w:customStyle="1" w:styleId="FooterChar">
    <w:name w:val="Footer Char"/>
    <w:basedOn w:val="DefaultParagraphFont"/>
    <w:link w:val="Footer"/>
    <w:uiPriority w:val="99"/>
    <w:rsid w:val="00102368"/>
  </w:style>
  <w:style w:type="character" w:styleId="Hyperlink">
    <w:name w:val="Hyperlink"/>
    <w:basedOn w:val="DefaultParagraphFont"/>
    <w:uiPriority w:val="99"/>
    <w:unhideWhenUsed/>
    <w:rsid w:val="00102368"/>
    <w:rPr>
      <w:color w:val="0000FF" w:themeColor="hyperlink"/>
      <w:u w:val="single"/>
    </w:rPr>
  </w:style>
  <w:style w:type="paragraph" w:styleId="ListParagraph">
    <w:name w:val="List Paragraph"/>
    <w:basedOn w:val="Normal"/>
    <w:uiPriority w:val="34"/>
    <w:qFormat/>
    <w:rsid w:val="004A1ABD"/>
    <w:pPr>
      <w:numPr>
        <w:numId w:val="3"/>
      </w:numPr>
      <w:contextualSpacing/>
    </w:pPr>
    <w:rPr>
      <w:rFonts w:ascii="Avenir Next Condensed" w:eastAsia="MS Mincho" w:hAnsi="Avenir Next Condensed" w:cs="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2611</Characters>
  <Application>Microsoft Macintosh Word</Application>
  <DocSecurity>0</DocSecurity>
  <Lines>21</Lines>
  <Paragraphs>6</Paragraphs>
  <ScaleCrop>false</ScaleCrop>
  <Company>Rede Group</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Charpentier</dc:creator>
  <cp:keywords/>
  <dc:description/>
  <cp:lastModifiedBy>Jill Huston</cp:lastModifiedBy>
  <cp:revision>2</cp:revision>
  <cp:lastPrinted>2017-03-20T16:14:00Z</cp:lastPrinted>
  <dcterms:created xsi:type="dcterms:W3CDTF">2017-12-19T17:47:00Z</dcterms:created>
  <dcterms:modified xsi:type="dcterms:W3CDTF">2017-12-19T17:47:00Z</dcterms:modified>
</cp:coreProperties>
</file>