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60E29" w14:textId="77777777" w:rsidR="00A13B95" w:rsidRPr="00446AF5" w:rsidRDefault="00A13B95" w:rsidP="00A13B95">
      <w:pPr>
        <w:jc w:val="center"/>
        <w:rPr>
          <w:rFonts w:ascii="Century Gothic" w:hAnsi="Century Gothic"/>
          <w:sz w:val="22"/>
          <w:szCs w:val="22"/>
        </w:rPr>
      </w:pPr>
      <w:r w:rsidRPr="00446AF5">
        <w:rPr>
          <w:rFonts w:ascii="Century Gothic" w:hAnsi="Century Gothic"/>
          <w:sz w:val="22"/>
          <w:szCs w:val="22"/>
        </w:rPr>
        <w:t>Coalition of Local Health Officials</w:t>
      </w:r>
    </w:p>
    <w:p w14:paraId="1D3A0021" w14:textId="77777777" w:rsidR="00A13B95" w:rsidRPr="00446AF5" w:rsidRDefault="00A13B95" w:rsidP="00A13B95">
      <w:pPr>
        <w:jc w:val="center"/>
        <w:rPr>
          <w:rFonts w:ascii="Century Gothic" w:hAnsi="Century Gothic"/>
          <w:sz w:val="22"/>
          <w:szCs w:val="22"/>
        </w:rPr>
      </w:pPr>
      <w:r w:rsidRPr="00446AF5">
        <w:rPr>
          <w:rFonts w:ascii="Century Gothic" w:hAnsi="Century Gothic"/>
          <w:sz w:val="22"/>
          <w:szCs w:val="22"/>
        </w:rPr>
        <w:t>2015 Legislative Session</w:t>
      </w:r>
    </w:p>
    <w:p w14:paraId="5523C588" w14:textId="77777777" w:rsidR="005E0FF8" w:rsidRPr="00446AF5" w:rsidRDefault="00A13B95" w:rsidP="00A13B95">
      <w:pPr>
        <w:jc w:val="center"/>
        <w:rPr>
          <w:rFonts w:ascii="Century Gothic" w:hAnsi="Century Gothic"/>
          <w:sz w:val="22"/>
          <w:szCs w:val="22"/>
        </w:rPr>
      </w:pPr>
      <w:r w:rsidRPr="00446AF5">
        <w:rPr>
          <w:rFonts w:ascii="Century Gothic" w:hAnsi="Century Gothic"/>
          <w:sz w:val="22"/>
          <w:szCs w:val="22"/>
        </w:rPr>
        <w:t>Final End of Session Report</w:t>
      </w:r>
    </w:p>
    <w:p w14:paraId="585DE08D" w14:textId="77777777" w:rsidR="00A13B95" w:rsidRPr="00446AF5" w:rsidRDefault="00A13B95">
      <w:pPr>
        <w:rPr>
          <w:rFonts w:ascii="Century Gothic" w:hAnsi="Century Gothic"/>
          <w:sz w:val="22"/>
          <w:szCs w:val="22"/>
        </w:rPr>
      </w:pPr>
    </w:p>
    <w:p w14:paraId="247C5B83" w14:textId="77777777" w:rsidR="00A13B95" w:rsidRPr="00446AF5" w:rsidRDefault="00A13B95" w:rsidP="00A13B95">
      <w:pPr>
        <w:jc w:val="center"/>
        <w:rPr>
          <w:rFonts w:ascii="Century Gothic" w:hAnsi="Century Gothic"/>
          <w:sz w:val="22"/>
          <w:szCs w:val="22"/>
        </w:rPr>
      </w:pPr>
    </w:p>
    <w:p w14:paraId="51CF85B5" w14:textId="365DAE78" w:rsidR="00A13B95" w:rsidRPr="00446AF5" w:rsidRDefault="00F675E3" w:rsidP="00A13B95">
      <w:pPr>
        <w:jc w:val="center"/>
        <w:rPr>
          <w:rFonts w:ascii="Century Gothic" w:hAnsi="Century Gothic"/>
          <w:sz w:val="22"/>
          <w:szCs w:val="22"/>
        </w:rPr>
      </w:pPr>
      <w:r w:rsidRPr="00446AF5">
        <w:rPr>
          <w:rFonts w:ascii="Century Gothic" w:hAnsi="Century Gothic"/>
          <w:sz w:val="22"/>
          <w:szCs w:val="22"/>
        </w:rPr>
        <w:t>Adjourned Sine Die July 6</w:t>
      </w:r>
      <w:r w:rsidR="00A13B95" w:rsidRPr="00446AF5">
        <w:rPr>
          <w:rFonts w:ascii="Century Gothic" w:hAnsi="Century Gothic"/>
          <w:sz w:val="22"/>
          <w:szCs w:val="22"/>
        </w:rPr>
        <w:t>th</w:t>
      </w:r>
    </w:p>
    <w:p w14:paraId="214957C8" w14:textId="77777777" w:rsidR="00A13B95" w:rsidRPr="00446AF5" w:rsidRDefault="00A13B95">
      <w:pPr>
        <w:rPr>
          <w:rFonts w:ascii="Century Gothic" w:hAnsi="Century Gothic"/>
          <w:sz w:val="22"/>
          <w:szCs w:val="22"/>
        </w:rPr>
      </w:pPr>
    </w:p>
    <w:p w14:paraId="15B96422" w14:textId="77777777" w:rsidR="00BF6E77" w:rsidRPr="00446AF5" w:rsidRDefault="00BF6E77">
      <w:pPr>
        <w:rPr>
          <w:rFonts w:ascii="Century Gothic" w:hAnsi="Century Gothic"/>
          <w:sz w:val="22"/>
          <w:szCs w:val="22"/>
        </w:rPr>
      </w:pPr>
      <w:r w:rsidRPr="00446AF5">
        <w:rPr>
          <w:rFonts w:ascii="Century Gothic" w:hAnsi="Century Gothic"/>
          <w:sz w:val="22"/>
          <w:szCs w:val="22"/>
        </w:rPr>
        <w:br w:type="page"/>
      </w:r>
    </w:p>
    <w:p w14:paraId="044322FA" w14:textId="77777777" w:rsidR="00BF6E77" w:rsidRPr="00446AF5" w:rsidRDefault="00BF6E77" w:rsidP="00BF6E77">
      <w:pPr>
        <w:jc w:val="center"/>
        <w:rPr>
          <w:rFonts w:ascii="Century Gothic" w:hAnsi="Century Gothic"/>
          <w:sz w:val="22"/>
          <w:szCs w:val="22"/>
        </w:rPr>
      </w:pPr>
      <w:r w:rsidRPr="00446AF5">
        <w:rPr>
          <w:rFonts w:ascii="Century Gothic" w:hAnsi="Century Gothic"/>
          <w:sz w:val="22"/>
          <w:szCs w:val="22"/>
        </w:rPr>
        <w:lastRenderedPageBreak/>
        <w:t>End of Session Report</w:t>
      </w:r>
    </w:p>
    <w:p w14:paraId="1EA19442" w14:textId="77777777" w:rsidR="00BF6E77" w:rsidRPr="00446AF5" w:rsidRDefault="00BF6E77" w:rsidP="00BF6E77">
      <w:pPr>
        <w:jc w:val="center"/>
        <w:rPr>
          <w:rFonts w:ascii="Century Gothic" w:hAnsi="Century Gothic"/>
          <w:sz w:val="22"/>
          <w:szCs w:val="22"/>
        </w:rPr>
      </w:pPr>
      <w:r w:rsidRPr="00446AF5">
        <w:rPr>
          <w:rFonts w:ascii="Century Gothic" w:hAnsi="Century Gothic"/>
          <w:sz w:val="22"/>
          <w:szCs w:val="22"/>
        </w:rPr>
        <w:t>Table of Contents</w:t>
      </w:r>
    </w:p>
    <w:p w14:paraId="3E93D3E5" w14:textId="77777777" w:rsidR="004F4FCC" w:rsidRDefault="006B1487">
      <w:pPr>
        <w:pStyle w:val="TOC1"/>
        <w:tabs>
          <w:tab w:val="right" w:leader="dot" w:pos="8630"/>
        </w:tabs>
        <w:rPr>
          <w:rFonts w:asciiTheme="minorHAnsi" w:hAnsiTheme="minorHAnsi" w:cstheme="minorBidi"/>
          <w:b w:val="0"/>
          <w:noProof/>
          <w:color w:val="auto"/>
          <w:lang w:eastAsia="ja-JP"/>
        </w:rPr>
      </w:pPr>
      <w:r w:rsidRPr="00446AF5">
        <w:rPr>
          <w:rFonts w:ascii="Century Gothic" w:hAnsi="Century Gothic"/>
        </w:rPr>
        <w:fldChar w:fldCharType="begin"/>
      </w:r>
      <w:r w:rsidRPr="00446AF5">
        <w:rPr>
          <w:rFonts w:ascii="Century Gothic" w:hAnsi="Century Gothic"/>
        </w:rPr>
        <w:instrText xml:space="preserve"> TOC \o "1-3" </w:instrText>
      </w:r>
      <w:r w:rsidRPr="00446AF5">
        <w:rPr>
          <w:rFonts w:ascii="Century Gothic" w:hAnsi="Century Gothic"/>
        </w:rPr>
        <w:fldChar w:fldCharType="separate"/>
      </w:r>
      <w:bookmarkStart w:id="0" w:name="_GoBack"/>
      <w:bookmarkEnd w:id="0"/>
      <w:r w:rsidR="004F4FCC" w:rsidRPr="00CB3501">
        <w:rPr>
          <w:rFonts w:ascii="Century Gothic" w:hAnsi="Century Gothic"/>
          <w:noProof/>
        </w:rPr>
        <w:t>2015 Legislative Session Overview</w:t>
      </w:r>
      <w:r w:rsidR="004F4FCC">
        <w:rPr>
          <w:noProof/>
        </w:rPr>
        <w:tab/>
      </w:r>
      <w:r w:rsidR="004F4FCC">
        <w:rPr>
          <w:noProof/>
        </w:rPr>
        <w:fldChar w:fldCharType="begin"/>
      </w:r>
      <w:r w:rsidR="004F4FCC">
        <w:rPr>
          <w:noProof/>
        </w:rPr>
        <w:instrText xml:space="preserve"> PAGEREF _Toc298580294 \h </w:instrText>
      </w:r>
      <w:r w:rsidR="004F4FCC">
        <w:rPr>
          <w:noProof/>
        </w:rPr>
      </w:r>
      <w:r w:rsidR="004F4FCC">
        <w:rPr>
          <w:noProof/>
        </w:rPr>
        <w:fldChar w:fldCharType="separate"/>
      </w:r>
      <w:r w:rsidR="004F4FCC">
        <w:rPr>
          <w:noProof/>
        </w:rPr>
        <w:t>4</w:t>
      </w:r>
      <w:r w:rsidR="004F4FCC">
        <w:rPr>
          <w:noProof/>
        </w:rPr>
        <w:fldChar w:fldCharType="end"/>
      </w:r>
    </w:p>
    <w:p w14:paraId="4834C418"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CLHO Priorities and Background</w:t>
      </w:r>
      <w:r>
        <w:rPr>
          <w:noProof/>
        </w:rPr>
        <w:tab/>
      </w:r>
      <w:r>
        <w:rPr>
          <w:noProof/>
        </w:rPr>
        <w:fldChar w:fldCharType="begin"/>
      </w:r>
      <w:r>
        <w:rPr>
          <w:noProof/>
        </w:rPr>
        <w:instrText xml:space="preserve"> PAGEREF _Toc298580295 \h </w:instrText>
      </w:r>
      <w:r>
        <w:rPr>
          <w:noProof/>
        </w:rPr>
      </w:r>
      <w:r>
        <w:rPr>
          <w:noProof/>
        </w:rPr>
        <w:fldChar w:fldCharType="separate"/>
      </w:r>
      <w:r>
        <w:rPr>
          <w:noProof/>
        </w:rPr>
        <w:t>5</w:t>
      </w:r>
      <w:r>
        <w:rPr>
          <w:noProof/>
        </w:rPr>
        <w:fldChar w:fldCharType="end"/>
      </w:r>
    </w:p>
    <w:p w14:paraId="2B53A6A2"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HB 3100 - Public Health Modernization</w:t>
      </w:r>
      <w:r>
        <w:rPr>
          <w:noProof/>
        </w:rPr>
        <w:tab/>
      </w:r>
      <w:r>
        <w:rPr>
          <w:noProof/>
        </w:rPr>
        <w:fldChar w:fldCharType="begin"/>
      </w:r>
      <w:r>
        <w:rPr>
          <w:noProof/>
        </w:rPr>
        <w:instrText xml:space="preserve"> PAGEREF _Toc298580296 \h </w:instrText>
      </w:r>
      <w:r>
        <w:rPr>
          <w:noProof/>
        </w:rPr>
      </w:r>
      <w:r>
        <w:rPr>
          <w:noProof/>
        </w:rPr>
        <w:fldChar w:fldCharType="separate"/>
      </w:r>
      <w:r>
        <w:rPr>
          <w:noProof/>
        </w:rPr>
        <w:t>6</w:t>
      </w:r>
      <w:r>
        <w:rPr>
          <w:noProof/>
        </w:rPr>
        <w:fldChar w:fldCharType="end"/>
      </w:r>
    </w:p>
    <w:p w14:paraId="432C6D7E"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Budget Bills</w:t>
      </w:r>
      <w:r>
        <w:rPr>
          <w:noProof/>
        </w:rPr>
        <w:tab/>
      </w:r>
      <w:r>
        <w:rPr>
          <w:noProof/>
        </w:rPr>
        <w:fldChar w:fldCharType="begin"/>
      </w:r>
      <w:r>
        <w:rPr>
          <w:noProof/>
        </w:rPr>
        <w:instrText xml:space="preserve"> PAGEREF _Toc298580297 \h </w:instrText>
      </w:r>
      <w:r>
        <w:rPr>
          <w:noProof/>
        </w:rPr>
      </w:r>
      <w:r>
        <w:rPr>
          <w:noProof/>
        </w:rPr>
        <w:fldChar w:fldCharType="separate"/>
      </w:r>
      <w:r>
        <w:rPr>
          <w:noProof/>
        </w:rPr>
        <w:t>6</w:t>
      </w:r>
      <w:r>
        <w:rPr>
          <w:noProof/>
        </w:rPr>
        <w:fldChar w:fldCharType="end"/>
      </w:r>
    </w:p>
    <w:p w14:paraId="1A71500B"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SB5526 – Oregon Health Authority Budget</w:t>
      </w:r>
      <w:r>
        <w:rPr>
          <w:noProof/>
        </w:rPr>
        <w:tab/>
      </w:r>
      <w:r>
        <w:rPr>
          <w:noProof/>
        </w:rPr>
        <w:fldChar w:fldCharType="begin"/>
      </w:r>
      <w:r>
        <w:rPr>
          <w:noProof/>
        </w:rPr>
        <w:instrText xml:space="preserve"> PAGEREF _Toc298580298 \h </w:instrText>
      </w:r>
      <w:r>
        <w:rPr>
          <w:noProof/>
        </w:rPr>
      </w:r>
      <w:r>
        <w:rPr>
          <w:noProof/>
        </w:rPr>
        <w:fldChar w:fldCharType="separate"/>
      </w:r>
      <w:r>
        <w:rPr>
          <w:noProof/>
        </w:rPr>
        <w:t>7</w:t>
      </w:r>
      <w:r>
        <w:rPr>
          <w:noProof/>
        </w:rPr>
        <w:fldChar w:fldCharType="end"/>
      </w:r>
    </w:p>
    <w:p w14:paraId="0818849A"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HB5016 – Oregon Department of Education</w:t>
      </w:r>
      <w:r>
        <w:rPr>
          <w:noProof/>
        </w:rPr>
        <w:tab/>
      </w:r>
      <w:r>
        <w:rPr>
          <w:noProof/>
        </w:rPr>
        <w:fldChar w:fldCharType="begin"/>
      </w:r>
      <w:r>
        <w:rPr>
          <w:noProof/>
        </w:rPr>
        <w:instrText xml:space="preserve"> PAGEREF _Toc298580299 \h </w:instrText>
      </w:r>
      <w:r>
        <w:rPr>
          <w:noProof/>
        </w:rPr>
      </w:r>
      <w:r>
        <w:rPr>
          <w:noProof/>
        </w:rPr>
        <w:fldChar w:fldCharType="separate"/>
      </w:r>
      <w:r>
        <w:rPr>
          <w:noProof/>
        </w:rPr>
        <w:t>7</w:t>
      </w:r>
      <w:r>
        <w:rPr>
          <w:noProof/>
        </w:rPr>
        <w:fldChar w:fldCharType="end"/>
      </w:r>
    </w:p>
    <w:p w14:paraId="2FA3A9D0"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HB5039 – Tobacco Master Settlement Agreement</w:t>
      </w:r>
      <w:r>
        <w:rPr>
          <w:noProof/>
        </w:rPr>
        <w:tab/>
      </w:r>
      <w:r>
        <w:rPr>
          <w:noProof/>
        </w:rPr>
        <w:fldChar w:fldCharType="begin"/>
      </w:r>
      <w:r>
        <w:rPr>
          <w:noProof/>
        </w:rPr>
        <w:instrText xml:space="preserve"> PAGEREF _Toc298580300 \h </w:instrText>
      </w:r>
      <w:r>
        <w:rPr>
          <w:noProof/>
        </w:rPr>
      </w:r>
      <w:r>
        <w:rPr>
          <w:noProof/>
        </w:rPr>
        <w:fldChar w:fldCharType="separate"/>
      </w:r>
      <w:r>
        <w:rPr>
          <w:noProof/>
        </w:rPr>
        <w:t>8</w:t>
      </w:r>
      <w:r>
        <w:rPr>
          <w:noProof/>
        </w:rPr>
        <w:fldChar w:fldCharType="end"/>
      </w:r>
    </w:p>
    <w:p w14:paraId="34B66E4C"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SB5507 – Budget Rebalance Bill</w:t>
      </w:r>
      <w:r>
        <w:rPr>
          <w:noProof/>
        </w:rPr>
        <w:tab/>
      </w:r>
      <w:r>
        <w:rPr>
          <w:noProof/>
        </w:rPr>
        <w:fldChar w:fldCharType="begin"/>
      </w:r>
      <w:r>
        <w:rPr>
          <w:noProof/>
        </w:rPr>
        <w:instrText xml:space="preserve"> PAGEREF _Toc298580301 \h </w:instrText>
      </w:r>
      <w:r>
        <w:rPr>
          <w:noProof/>
        </w:rPr>
      </w:r>
      <w:r>
        <w:rPr>
          <w:noProof/>
        </w:rPr>
        <w:fldChar w:fldCharType="separate"/>
      </w:r>
      <w:r>
        <w:rPr>
          <w:noProof/>
        </w:rPr>
        <w:t>8</w:t>
      </w:r>
      <w:r>
        <w:rPr>
          <w:noProof/>
        </w:rPr>
        <w:fldChar w:fldCharType="end"/>
      </w:r>
    </w:p>
    <w:p w14:paraId="55B23C5D"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Tobacco Bills</w:t>
      </w:r>
      <w:r>
        <w:rPr>
          <w:noProof/>
        </w:rPr>
        <w:tab/>
      </w:r>
      <w:r>
        <w:rPr>
          <w:noProof/>
        </w:rPr>
        <w:fldChar w:fldCharType="begin"/>
      </w:r>
      <w:r>
        <w:rPr>
          <w:noProof/>
        </w:rPr>
        <w:instrText xml:space="preserve"> PAGEREF _Toc298580302 \h </w:instrText>
      </w:r>
      <w:r>
        <w:rPr>
          <w:noProof/>
        </w:rPr>
      </w:r>
      <w:r>
        <w:rPr>
          <w:noProof/>
        </w:rPr>
        <w:fldChar w:fldCharType="separate"/>
      </w:r>
      <w:r>
        <w:rPr>
          <w:noProof/>
        </w:rPr>
        <w:t>10</w:t>
      </w:r>
      <w:r>
        <w:rPr>
          <w:noProof/>
        </w:rPr>
        <w:fldChar w:fldCharType="end"/>
      </w:r>
    </w:p>
    <w:p w14:paraId="31C2A510"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HB2546 – E-Cigarette Regulation</w:t>
      </w:r>
      <w:r>
        <w:rPr>
          <w:noProof/>
        </w:rPr>
        <w:tab/>
      </w:r>
      <w:r>
        <w:rPr>
          <w:noProof/>
        </w:rPr>
        <w:fldChar w:fldCharType="begin"/>
      </w:r>
      <w:r>
        <w:rPr>
          <w:noProof/>
        </w:rPr>
        <w:instrText xml:space="preserve"> PAGEREF _Toc298580303 \h </w:instrText>
      </w:r>
      <w:r>
        <w:rPr>
          <w:noProof/>
        </w:rPr>
      </w:r>
      <w:r>
        <w:rPr>
          <w:noProof/>
        </w:rPr>
        <w:fldChar w:fldCharType="separate"/>
      </w:r>
      <w:r>
        <w:rPr>
          <w:noProof/>
        </w:rPr>
        <w:t>11</w:t>
      </w:r>
      <w:r>
        <w:rPr>
          <w:noProof/>
        </w:rPr>
        <w:fldChar w:fldCharType="end"/>
      </w:r>
    </w:p>
    <w:p w14:paraId="13431229"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HB2041 – Tax on Recreational Marijuana</w:t>
      </w:r>
      <w:r>
        <w:rPr>
          <w:noProof/>
        </w:rPr>
        <w:tab/>
      </w:r>
      <w:r>
        <w:rPr>
          <w:noProof/>
        </w:rPr>
        <w:fldChar w:fldCharType="begin"/>
      </w:r>
      <w:r>
        <w:rPr>
          <w:noProof/>
        </w:rPr>
        <w:instrText xml:space="preserve"> PAGEREF _Toc298580304 \h </w:instrText>
      </w:r>
      <w:r>
        <w:rPr>
          <w:noProof/>
        </w:rPr>
      </w:r>
      <w:r>
        <w:rPr>
          <w:noProof/>
        </w:rPr>
        <w:fldChar w:fldCharType="separate"/>
      </w:r>
      <w:r>
        <w:rPr>
          <w:noProof/>
        </w:rPr>
        <w:t>11</w:t>
      </w:r>
      <w:r>
        <w:rPr>
          <w:noProof/>
        </w:rPr>
        <w:fldChar w:fldCharType="end"/>
      </w:r>
    </w:p>
    <w:p w14:paraId="0F1C5CFB"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HB3400 – Retail Sale of Marijuana</w:t>
      </w:r>
      <w:r>
        <w:rPr>
          <w:noProof/>
        </w:rPr>
        <w:tab/>
      </w:r>
      <w:r>
        <w:rPr>
          <w:noProof/>
        </w:rPr>
        <w:fldChar w:fldCharType="begin"/>
      </w:r>
      <w:r>
        <w:rPr>
          <w:noProof/>
        </w:rPr>
        <w:instrText xml:space="preserve"> PAGEREF _Toc298580305 \h </w:instrText>
      </w:r>
      <w:r>
        <w:rPr>
          <w:noProof/>
        </w:rPr>
      </w:r>
      <w:r>
        <w:rPr>
          <w:noProof/>
        </w:rPr>
        <w:fldChar w:fldCharType="separate"/>
      </w:r>
      <w:r>
        <w:rPr>
          <w:noProof/>
        </w:rPr>
        <w:t>11</w:t>
      </w:r>
      <w:r>
        <w:rPr>
          <w:noProof/>
        </w:rPr>
        <w:fldChar w:fldCharType="end"/>
      </w:r>
    </w:p>
    <w:p w14:paraId="4E27B17F"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SB460 – Marijuana Dispensaries</w:t>
      </w:r>
      <w:r>
        <w:rPr>
          <w:noProof/>
        </w:rPr>
        <w:tab/>
      </w:r>
      <w:r>
        <w:rPr>
          <w:noProof/>
        </w:rPr>
        <w:fldChar w:fldCharType="begin"/>
      </w:r>
      <w:r>
        <w:rPr>
          <w:noProof/>
        </w:rPr>
        <w:instrText xml:space="preserve"> PAGEREF _Toc298580306 \h </w:instrText>
      </w:r>
      <w:r>
        <w:rPr>
          <w:noProof/>
        </w:rPr>
      </w:r>
      <w:r>
        <w:rPr>
          <w:noProof/>
        </w:rPr>
        <w:fldChar w:fldCharType="separate"/>
      </w:r>
      <w:r>
        <w:rPr>
          <w:noProof/>
        </w:rPr>
        <w:t>11</w:t>
      </w:r>
      <w:r>
        <w:rPr>
          <w:noProof/>
        </w:rPr>
        <w:fldChar w:fldCharType="end"/>
      </w:r>
    </w:p>
    <w:p w14:paraId="63D12456"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shd w:val="clear" w:color="auto" w:fill="FFFFFF"/>
        </w:rPr>
        <w:t>SB844 – Task Force on Cannabis</w:t>
      </w:r>
      <w:r>
        <w:rPr>
          <w:noProof/>
        </w:rPr>
        <w:tab/>
      </w:r>
      <w:r>
        <w:rPr>
          <w:noProof/>
        </w:rPr>
        <w:fldChar w:fldCharType="begin"/>
      </w:r>
      <w:r>
        <w:rPr>
          <w:noProof/>
        </w:rPr>
        <w:instrText xml:space="preserve"> PAGEREF _Toc298580307 \h </w:instrText>
      </w:r>
      <w:r>
        <w:rPr>
          <w:noProof/>
        </w:rPr>
      </w:r>
      <w:r>
        <w:rPr>
          <w:noProof/>
        </w:rPr>
        <w:fldChar w:fldCharType="separate"/>
      </w:r>
      <w:r>
        <w:rPr>
          <w:noProof/>
        </w:rPr>
        <w:t>12</w:t>
      </w:r>
      <w:r>
        <w:rPr>
          <w:noProof/>
        </w:rPr>
        <w:fldChar w:fldCharType="end"/>
      </w:r>
    </w:p>
    <w:p w14:paraId="696BD0DB"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shd w:val="clear" w:color="auto" w:fill="FFFFFF"/>
        </w:rPr>
        <w:t>HB5047 – Implementing BM 91</w:t>
      </w:r>
      <w:r>
        <w:rPr>
          <w:noProof/>
        </w:rPr>
        <w:tab/>
      </w:r>
      <w:r>
        <w:rPr>
          <w:noProof/>
        </w:rPr>
        <w:fldChar w:fldCharType="begin"/>
      </w:r>
      <w:r>
        <w:rPr>
          <w:noProof/>
        </w:rPr>
        <w:instrText xml:space="preserve"> PAGEREF _Toc298580308 \h </w:instrText>
      </w:r>
      <w:r>
        <w:rPr>
          <w:noProof/>
        </w:rPr>
      </w:r>
      <w:r>
        <w:rPr>
          <w:noProof/>
        </w:rPr>
        <w:fldChar w:fldCharType="separate"/>
      </w:r>
      <w:r>
        <w:rPr>
          <w:noProof/>
        </w:rPr>
        <w:t>12</w:t>
      </w:r>
      <w:r>
        <w:rPr>
          <w:noProof/>
        </w:rPr>
        <w:fldChar w:fldCharType="end"/>
      </w:r>
    </w:p>
    <w:p w14:paraId="683844B0"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Women’s Health Bills</w:t>
      </w:r>
      <w:r>
        <w:rPr>
          <w:noProof/>
        </w:rPr>
        <w:tab/>
      </w:r>
      <w:r>
        <w:rPr>
          <w:noProof/>
        </w:rPr>
        <w:fldChar w:fldCharType="begin"/>
      </w:r>
      <w:r>
        <w:rPr>
          <w:noProof/>
        </w:rPr>
        <w:instrText xml:space="preserve"> PAGEREF _Toc298580309 \h </w:instrText>
      </w:r>
      <w:r>
        <w:rPr>
          <w:noProof/>
        </w:rPr>
      </w:r>
      <w:r>
        <w:rPr>
          <w:noProof/>
        </w:rPr>
        <w:fldChar w:fldCharType="separate"/>
      </w:r>
      <w:r>
        <w:rPr>
          <w:noProof/>
        </w:rPr>
        <w:t>12</w:t>
      </w:r>
      <w:r>
        <w:rPr>
          <w:noProof/>
        </w:rPr>
        <w:fldChar w:fldCharType="end"/>
      </w:r>
    </w:p>
    <w:p w14:paraId="51AFF9B0"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HB2758 – Client Protection</w:t>
      </w:r>
      <w:r>
        <w:rPr>
          <w:noProof/>
        </w:rPr>
        <w:tab/>
      </w:r>
      <w:r>
        <w:rPr>
          <w:noProof/>
        </w:rPr>
        <w:fldChar w:fldCharType="begin"/>
      </w:r>
      <w:r>
        <w:rPr>
          <w:noProof/>
        </w:rPr>
        <w:instrText xml:space="preserve"> PAGEREF _Toc298580310 \h </w:instrText>
      </w:r>
      <w:r>
        <w:rPr>
          <w:noProof/>
        </w:rPr>
      </w:r>
      <w:r>
        <w:rPr>
          <w:noProof/>
        </w:rPr>
        <w:fldChar w:fldCharType="separate"/>
      </w:r>
      <w:r>
        <w:rPr>
          <w:noProof/>
        </w:rPr>
        <w:t>13</w:t>
      </w:r>
      <w:r>
        <w:rPr>
          <w:noProof/>
        </w:rPr>
        <w:fldChar w:fldCharType="end"/>
      </w:r>
    </w:p>
    <w:p w14:paraId="670AC866"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HB2879 – Pharmacy Prescribing Birth Control</w:t>
      </w:r>
      <w:r>
        <w:rPr>
          <w:noProof/>
        </w:rPr>
        <w:tab/>
      </w:r>
      <w:r>
        <w:rPr>
          <w:noProof/>
        </w:rPr>
        <w:fldChar w:fldCharType="begin"/>
      </w:r>
      <w:r>
        <w:rPr>
          <w:noProof/>
        </w:rPr>
        <w:instrText xml:space="preserve"> PAGEREF _Toc298580311 \h </w:instrText>
      </w:r>
      <w:r>
        <w:rPr>
          <w:noProof/>
        </w:rPr>
      </w:r>
      <w:r>
        <w:rPr>
          <w:noProof/>
        </w:rPr>
        <w:fldChar w:fldCharType="separate"/>
      </w:r>
      <w:r>
        <w:rPr>
          <w:noProof/>
        </w:rPr>
        <w:t>13</w:t>
      </w:r>
      <w:r>
        <w:rPr>
          <w:noProof/>
        </w:rPr>
        <w:fldChar w:fldCharType="end"/>
      </w:r>
    </w:p>
    <w:p w14:paraId="23B6EDBD"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HB3343 – 12 Months Dispensing of Birth Control</w:t>
      </w:r>
      <w:r>
        <w:rPr>
          <w:noProof/>
        </w:rPr>
        <w:tab/>
      </w:r>
      <w:r>
        <w:rPr>
          <w:noProof/>
        </w:rPr>
        <w:fldChar w:fldCharType="begin"/>
      </w:r>
      <w:r>
        <w:rPr>
          <w:noProof/>
        </w:rPr>
        <w:instrText xml:space="preserve"> PAGEREF _Toc298580312 \h </w:instrText>
      </w:r>
      <w:r>
        <w:rPr>
          <w:noProof/>
        </w:rPr>
      </w:r>
      <w:r>
        <w:rPr>
          <w:noProof/>
        </w:rPr>
        <w:fldChar w:fldCharType="separate"/>
      </w:r>
      <w:r>
        <w:rPr>
          <w:noProof/>
        </w:rPr>
        <w:t>13</w:t>
      </w:r>
      <w:r>
        <w:rPr>
          <w:noProof/>
        </w:rPr>
        <w:fldChar w:fldCharType="end"/>
      </w:r>
    </w:p>
    <w:p w14:paraId="3BCB28BA"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Environmental Health Bills</w:t>
      </w:r>
      <w:r>
        <w:rPr>
          <w:noProof/>
        </w:rPr>
        <w:tab/>
      </w:r>
      <w:r>
        <w:rPr>
          <w:noProof/>
        </w:rPr>
        <w:fldChar w:fldCharType="begin"/>
      </w:r>
      <w:r>
        <w:rPr>
          <w:noProof/>
        </w:rPr>
        <w:instrText xml:space="preserve"> PAGEREF _Toc298580313 \h </w:instrText>
      </w:r>
      <w:r>
        <w:rPr>
          <w:noProof/>
        </w:rPr>
      </w:r>
      <w:r>
        <w:rPr>
          <w:noProof/>
        </w:rPr>
        <w:fldChar w:fldCharType="separate"/>
      </w:r>
      <w:r>
        <w:rPr>
          <w:noProof/>
        </w:rPr>
        <w:t>13</w:t>
      </w:r>
      <w:r>
        <w:rPr>
          <w:noProof/>
        </w:rPr>
        <w:fldChar w:fldCharType="end"/>
      </w:r>
    </w:p>
    <w:p w14:paraId="7BE642D4"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SB478 – Toxic-Free Kids Act</w:t>
      </w:r>
      <w:r>
        <w:rPr>
          <w:noProof/>
        </w:rPr>
        <w:tab/>
      </w:r>
      <w:r>
        <w:rPr>
          <w:noProof/>
        </w:rPr>
        <w:fldChar w:fldCharType="begin"/>
      </w:r>
      <w:r>
        <w:rPr>
          <w:noProof/>
        </w:rPr>
        <w:instrText xml:space="preserve"> PAGEREF _Toc298580314 \h </w:instrText>
      </w:r>
      <w:r>
        <w:rPr>
          <w:noProof/>
        </w:rPr>
      </w:r>
      <w:r>
        <w:rPr>
          <w:noProof/>
        </w:rPr>
        <w:fldChar w:fldCharType="separate"/>
      </w:r>
      <w:r>
        <w:rPr>
          <w:noProof/>
        </w:rPr>
        <w:t>13</w:t>
      </w:r>
      <w:r>
        <w:rPr>
          <w:noProof/>
        </w:rPr>
        <w:fldChar w:fldCharType="end"/>
      </w:r>
    </w:p>
    <w:p w14:paraId="4B9EC85C"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HB3225 – Oil Train Planning</w:t>
      </w:r>
      <w:r>
        <w:rPr>
          <w:noProof/>
        </w:rPr>
        <w:tab/>
      </w:r>
      <w:r>
        <w:rPr>
          <w:noProof/>
        </w:rPr>
        <w:fldChar w:fldCharType="begin"/>
      </w:r>
      <w:r>
        <w:rPr>
          <w:noProof/>
        </w:rPr>
        <w:instrText xml:space="preserve"> PAGEREF _Toc298580315 \h </w:instrText>
      </w:r>
      <w:r>
        <w:rPr>
          <w:noProof/>
        </w:rPr>
      </w:r>
      <w:r>
        <w:rPr>
          <w:noProof/>
        </w:rPr>
        <w:fldChar w:fldCharType="separate"/>
      </w:r>
      <w:r>
        <w:rPr>
          <w:noProof/>
        </w:rPr>
        <w:t>13</w:t>
      </w:r>
      <w:r>
        <w:rPr>
          <w:noProof/>
        </w:rPr>
        <w:fldChar w:fldCharType="end"/>
      </w:r>
    </w:p>
    <w:p w14:paraId="25794951"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HB3549 – Aerial Pesticides</w:t>
      </w:r>
      <w:r>
        <w:rPr>
          <w:noProof/>
        </w:rPr>
        <w:tab/>
      </w:r>
      <w:r>
        <w:rPr>
          <w:noProof/>
        </w:rPr>
        <w:fldChar w:fldCharType="begin"/>
      </w:r>
      <w:r>
        <w:rPr>
          <w:noProof/>
        </w:rPr>
        <w:instrText xml:space="preserve"> PAGEREF _Toc298580316 \h </w:instrText>
      </w:r>
      <w:r>
        <w:rPr>
          <w:noProof/>
        </w:rPr>
      </w:r>
      <w:r>
        <w:rPr>
          <w:noProof/>
        </w:rPr>
        <w:fldChar w:fldCharType="separate"/>
      </w:r>
      <w:r>
        <w:rPr>
          <w:noProof/>
        </w:rPr>
        <w:t>14</w:t>
      </w:r>
      <w:r>
        <w:rPr>
          <w:noProof/>
        </w:rPr>
        <w:fldChar w:fldCharType="end"/>
      </w:r>
    </w:p>
    <w:p w14:paraId="38FE5E60"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Child Health &amp; Early Learning Bills</w:t>
      </w:r>
      <w:r>
        <w:rPr>
          <w:noProof/>
        </w:rPr>
        <w:tab/>
      </w:r>
      <w:r>
        <w:rPr>
          <w:noProof/>
        </w:rPr>
        <w:fldChar w:fldCharType="begin"/>
      </w:r>
      <w:r>
        <w:rPr>
          <w:noProof/>
        </w:rPr>
        <w:instrText xml:space="preserve"> PAGEREF _Toc298580317 \h </w:instrText>
      </w:r>
      <w:r>
        <w:rPr>
          <w:noProof/>
        </w:rPr>
      </w:r>
      <w:r>
        <w:rPr>
          <w:noProof/>
        </w:rPr>
        <w:fldChar w:fldCharType="separate"/>
      </w:r>
      <w:r>
        <w:rPr>
          <w:noProof/>
        </w:rPr>
        <w:t>14</w:t>
      </w:r>
      <w:r>
        <w:rPr>
          <w:noProof/>
        </w:rPr>
        <w:fldChar w:fldCharType="end"/>
      </w:r>
    </w:p>
    <w:p w14:paraId="11775A53"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SB213 – Early Learning Hub Metrics</w:t>
      </w:r>
      <w:r>
        <w:rPr>
          <w:noProof/>
        </w:rPr>
        <w:tab/>
      </w:r>
      <w:r>
        <w:rPr>
          <w:noProof/>
        </w:rPr>
        <w:fldChar w:fldCharType="begin"/>
      </w:r>
      <w:r>
        <w:rPr>
          <w:noProof/>
        </w:rPr>
        <w:instrText xml:space="preserve"> PAGEREF _Toc298580318 \h </w:instrText>
      </w:r>
      <w:r>
        <w:rPr>
          <w:noProof/>
        </w:rPr>
      </w:r>
      <w:r>
        <w:rPr>
          <w:noProof/>
        </w:rPr>
        <w:fldChar w:fldCharType="separate"/>
      </w:r>
      <w:r>
        <w:rPr>
          <w:noProof/>
        </w:rPr>
        <w:t>14</w:t>
      </w:r>
      <w:r>
        <w:rPr>
          <w:noProof/>
        </w:rPr>
        <w:fldChar w:fldCharType="end"/>
      </w:r>
    </w:p>
    <w:p w14:paraId="2AD0E6A3"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SB520 – Pharmacists Immunizations</w:t>
      </w:r>
      <w:r>
        <w:rPr>
          <w:noProof/>
        </w:rPr>
        <w:tab/>
      </w:r>
      <w:r>
        <w:rPr>
          <w:noProof/>
        </w:rPr>
        <w:fldChar w:fldCharType="begin"/>
      </w:r>
      <w:r>
        <w:rPr>
          <w:noProof/>
        </w:rPr>
        <w:instrText xml:space="preserve"> PAGEREF _Toc298580319 \h </w:instrText>
      </w:r>
      <w:r>
        <w:rPr>
          <w:noProof/>
        </w:rPr>
      </w:r>
      <w:r>
        <w:rPr>
          <w:noProof/>
        </w:rPr>
        <w:fldChar w:fldCharType="separate"/>
      </w:r>
      <w:r>
        <w:rPr>
          <w:noProof/>
        </w:rPr>
        <w:t>14</w:t>
      </w:r>
      <w:r>
        <w:rPr>
          <w:noProof/>
        </w:rPr>
        <w:fldChar w:fldCharType="end"/>
      </w:r>
    </w:p>
    <w:p w14:paraId="2B2CD5CE"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SB698 – School Nurses</w:t>
      </w:r>
      <w:r>
        <w:rPr>
          <w:noProof/>
        </w:rPr>
        <w:tab/>
      </w:r>
      <w:r>
        <w:rPr>
          <w:noProof/>
        </w:rPr>
        <w:fldChar w:fldCharType="begin"/>
      </w:r>
      <w:r>
        <w:rPr>
          <w:noProof/>
        </w:rPr>
        <w:instrText xml:space="preserve"> PAGEREF _Toc298580320 \h </w:instrText>
      </w:r>
      <w:r>
        <w:rPr>
          <w:noProof/>
        </w:rPr>
      </w:r>
      <w:r>
        <w:rPr>
          <w:noProof/>
        </w:rPr>
        <w:fldChar w:fldCharType="separate"/>
      </w:r>
      <w:r>
        <w:rPr>
          <w:noProof/>
        </w:rPr>
        <w:t>14</w:t>
      </w:r>
      <w:r>
        <w:rPr>
          <w:noProof/>
        </w:rPr>
        <w:fldChar w:fldCharType="end"/>
      </w:r>
    </w:p>
    <w:p w14:paraId="72130A76"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SB895 – Immunization Education</w:t>
      </w:r>
      <w:r>
        <w:rPr>
          <w:noProof/>
        </w:rPr>
        <w:tab/>
      </w:r>
      <w:r>
        <w:rPr>
          <w:noProof/>
        </w:rPr>
        <w:fldChar w:fldCharType="begin"/>
      </w:r>
      <w:r>
        <w:rPr>
          <w:noProof/>
        </w:rPr>
        <w:instrText xml:space="preserve"> PAGEREF _Toc298580321 \h </w:instrText>
      </w:r>
      <w:r>
        <w:rPr>
          <w:noProof/>
        </w:rPr>
      </w:r>
      <w:r>
        <w:rPr>
          <w:noProof/>
        </w:rPr>
        <w:fldChar w:fldCharType="separate"/>
      </w:r>
      <w:r>
        <w:rPr>
          <w:noProof/>
        </w:rPr>
        <w:t>14</w:t>
      </w:r>
      <w:r>
        <w:rPr>
          <w:noProof/>
        </w:rPr>
        <w:fldChar w:fldCharType="end"/>
      </w:r>
    </w:p>
    <w:p w14:paraId="5F854DC5"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SB901 – Insurance reimburse provider, not the client</w:t>
      </w:r>
      <w:r>
        <w:rPr>
          <w:noProof/>
        </w:rPr>
        <w:tab/>
      </w:r>
      <w:r>
        <w:rPr>
          <w:noProof/>
        </w:rPr>
        <w:fldChar w:fldCharType="begin"/>
      </w:r>
      <w:r>
        <w:rPr>
          <w:noProof/>
        </w:rPr>
        <w:instrText xml:space="preserve"> PAGEREF _Toc298580322 \h </w:instrText>
      </w:r>
      <w:r>
        <w:rPr>
          <w:noProof/>
        </w:rPr>
      </w:r>
      <w:r>
        <w:rPr>
          <w:noProof/>
        </w:rPr>
        <w:fldChar w:fldCharType="separate"/>
      </w:r>
      <w:r>
        <w:rPr>
          <w:noProof/>
        </w:rPr>
        <w:t>15</w:t>
      </w:r>
      <w:r>
        <w:rPr>
          <w:noProof/>
        </w:rPr>
        <w:fldChar w:fldCharType="end"/>
      </w:r>
    </w:p>
    <w:p w14:paraId="180576FB"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Social Determinants of Health Bills</w:t>
      </w:r>
      <w:r>
        <w:rPr>
          <w:noProof/>
        </w:rPr>
        <w:tab/>
      </w:r>
      <w:r>
        <w:rPr>
          <w:noProof/>
        </w:rPr>
        <w:fldChar w:fldCharType="begin"/>
      </w:r>
      <w:r>
        <w:rPr>
          <w:noProof/>
        </w:rPr>
        <w:instrText xml:space="preserve"> PAGEREF _Toc298580323 \h </w:instrText>
      </w:r>
      <w:r>
        <w:rPr>
          <w:noProof/>
        </w:rPr>
      </w:r>
      <w:r>
        <w:rPr>
          <w:noProof/>
        </w:rPr>
        <w:fldChar w:fldCharType="separate"/>
      </w:r>
      <w:r>
        <w:rPr>
          <w:noProof/>
        </w:rPr>
        <w:t>15</w:t>
      </w:r>
      <w:r>
        <w:rPr>
          <w:noProof/>
        </w:rPr>
        <w:fldChar w:fldCharType="end"/>
      </w:r>
    </w:p>
    <w:p w14:paraId="24B22AB1"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SB454 – Mandatory Sick Time</w:t>
      </w:r>
      <w:r>
        <w:rPr>
          <w:noProof/>
        </w:rPr>
        <w:tab/>
      </w:r>
      <w:r>
        <w:rPr>
          <w:noProof/>
        </w:rPr>
        <w:fldChar w:fldCharType="begin"/>
      </w:r>
      <w:r>
        <w:rPr>
          <w:noProof/>
        </w:rPr>
        <w:instrText xml:space="preserve"> PAGEREF _Toc298580324 \h </w:instrText>
      </w:r>
      <w:r>
        <w:rPr>
          <w:noProof/>
        </w:rPr>
      </w:r>
      <w:r>
        <w:rPr>
          <w:noProof/>
        </w:rPr>
        <w:fldChar w:fldCharType="separate"/>
      </w:r>
      <w:r>
        <w:rPr>
          <w:noProof/>
        </w:rPr>
        <w:t>15</w:t>
      </w:r>
      <w:r>
        <w:rPr>
          <w:noProof/>
        </w:rPr>
        <w:fldChar w:fldCharType="end"/>
      </w:r>
    </w:p>
    <w:p w14:paraId="621C81EB"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Bills that Did Not Pass</w:t>
      </w:r>
      <w:r>
        <w:rPr>
          <w:noProof/>
        </w:rPr>
        <w:tab/>
      </w:r>
      <w:r>
        <w:rPr>
          <w:noProof/>
        </w:rPr>
        <w:fldChar w:fldCharType="begin"/>
      </w:r>
      <w:r>
        <w:rPr>
          <w:noProof/>
        </w:rPr>
        <w:instrText xml:space="preserve"> PAGEREF _Toc298580325 \h </w:instrText>
      </w:r>
      <w:r>
        <w:rPr>
          <w:noProof/>
        </w:rPr>
      </w:r>
      <w:r>
        <w:rPr>
          <w:noProof/>
        </w:rPr>
        <w:fldChar w:fldCharType="separate"/>
      </w:r>
      <w:r>
        <w:rPr>
          <w:noProof/>
        </w:rPr>
        <w:t>15</w:t>
      </w:r>
      <w:r>
        <w:rPr>
          <w:noProof/>
        </w:rPr>
        <w:fldChar w:fldCharType="end"/>
      </w:r>
    </w:p>
    <w:p w14:paraId="7AB1085B"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Tobacco Retail Licensure – SB663/ SB417 /HB3534</w:t>
      </w:r>
      <w:r>
        <w:rPr>
          <w:noProof/>
        </w:rPr>
        <w:tab/>
      </w:r>
      <w:r>
        <w:rPr>
          <w:noProof/>
        </w:rPr>
        <w:fldChar w:fldCharType="begin"/>
      </w:r>
      <w:r>
        <w:rPr>
          <w:noProof/>
        </w:rPr>
        <w:instrText xml:space="preserve"> PAGEREF _Toc298580326 \h </w:instrText>
      </w:r>
      <w:r>
        <w:rPr>
          <w:noProof/>
        </w:rPr>
      </w:r>
      <w:r>
        <w:rPr>
          <w:noProof/>
        </w:rPr>
        <w:fldChar w:fldCharType="separate"/>
      </w:r>
      <w:r>
        <w:rPr>
          <w:noProof/>
        </w:rPr>
        <w:t>15</w:t>
      </w:r>
      <w:r>
        <w:rPr>
          <w:noProof/>
        </w:rPr>
        <w:fldChar w:fldCharType="end"/>
      </w:r>
    </w:p>
    <w:p w14:paraId="749A9227"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Smoke Shop Fee - SB416</w:t>
      </w:r>
      <w:r>
        <w:rPr>
          <w:noProof/>
        </w:rPr>
        <w:tab/>
      </w:r>
      <w:r>
        <w:rPr>
          <w:noProof/>
        </w:rPr>
        <w:fldChar w:fldCharType="begin"/>
      </w:r>
      <w:r>
        <w:rPr>
          <w:noProof/>
        </w:rPr>
        <w:instrText xml:space="preserve"> PAGEREF _Toc298580327 \h </w:instrText>
      </w:r>
      <w:r>
        <w:rPr>
          <w:noProof/>
        </w:rPr>
      </w:r>
      <w:r>
        <w:rPr>
          <w:noProof/>
        </w:rPr>
        <w:fldChar w:fldCharType="separate"/>
      </w:r>
      <w:r>
        <w:rPr>
          <w:noProof/>
        </w:rPr>
        <w:t>15</w:t>
      </w:r>
      <w:r>
        <w:rPr>
          <w:noProof/>
        </w:rPr>
        <w:fldChar w:fldCharType="end"/>
      </w:r>
    </w:p>
    <w:p w14:paraId="68E5CF30"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Tobacco Tax – HB2066/ HB2166 / HB2555</w:t>
      </w:r>
      <w:r>
        <w:rPr>
          <w:noProof/>
        </w:rPr>
        <w:tab/>
      </w:r>
      <w:r>
        <w:rPr>
          <w:noProof/>
        </w:rPr>
        <w:fldChar w:fldCharType="begin"/>
      </w:r>
      <w:r>
        <w:rPr>
          <w:noProof/>
        </w:rPr>
        <w:instrText xml:space="preserve"> PAGEREF _Toc298580328 \h </w:instrText>
      </w:r>
      <w:r>
        <w:rPr>
          <w:noProof/>
        </w:rPr>
      </w:r>
      <w:r>
        <w:rPr>
          <w:noProof/>
        </w:rPr>
        <w:fldChar w:fldCharType="separate"/>
      </w:r>
      <w:r>
        <w:rPr>
          <w:noProof/>
        </w:rPr>
        <w:t>16</w:t>
      </w:r>
      <w:r>
        <w:rPr>
          <w:noProof/>
        </w:rPr>
        <w:fldChar w:fldCharType="end"/>
      </w:r>
    </w:p>
    <w:p w14:paraId="534A495D"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E-Cigarette Tax – HB2074/ HB2134</w:t>
      </w:r>
      <w:r>
        <w:rPr>
          <w:noProof/>
        </w:rPr>
        <w:tab/>
      </w:r>
      <w:r>
        <w:rPr>
          <w:noProof/>
        </w:rPr>
        <w:fldChar w:fldCharType="begin"/>
      </w:r>
      <w:r>
        <w:rPr>
          <w:noProof/>
        </w:rPr>
        <w:instrText xml:space="preserve"> PAGEREF _Toc298580329 \h </w:instrText>
      </w:r>
      <w:r>
        <w:rPr>
          <w:noProof/>
        </w:rPr>
      </w:r>
      <w:r>
        <w:rPr>
          <w:noProof/>
        </w:rPr>
        <w:fldChar w:fldCharType="separate"/>
      </w:r>
      <w:r>
        <w:rPr>
          <w:noProof/>
        </w:rPr>
        <w:t>16</w:t>
      </w:r>
      <w:r>
        <w:rPr>
          <w:noProof/>
        </w:rPr>
        <w:fldChar w:fldCharType="end"/>
      </w:r>
    </w:p>
    <w:p w14:paraId="63ED6853"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Tobacco Preemption Lift – HB2160/ HB2162</w:t>
      </w:r>
      <w:r>
        <w:rPr>
          <w:noProof/>
        </w:rPr>
        <w:tab/>
      </w:r>
      <w:r>
        <w:rPr>
          <w:noProof/>
        </w:rPr>
        <w:fldChar w:fldCharType="begin"/>
      </w:r>
      <w:r>
        <w:rPr>
          <w:noProof/>
        </w:rPr>
        <w:instrText xml:space="preserve"> PAGEREF _Toc298580330 \h </w:instrText>
      </w:r>
      <w:r>
        <w:rPr>
          <w:noProof/>
        </w:rPr>
      </w:r>
      <w:r>
        <w:rPr>
          <w:noProof/>
        </w:rPr>
        <w:fldChar w:fldCharType="separate"/>
      </w:r>
      <w:r>
        <w:rPr>
          <w:noProof/>
        </w:rPr>
        <w:t>16</w:t>
      </w:r>
      <w:r>
        <w:rPr>
          <w:noProof/>
        </w:rPr>
        <w:fldChar w:fldCharType="end"/>
      </w:r>
    </w:p>
    <w:p w14:paraId="25C81571"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Community Benefit to Public Health – HB2304</w:t>
      </w:r>
      <w:r>
        <w:rPr>
          <w:noProof/>
        </w:rPr>
        <w:tab/>
      </w:r>
      <w:r>
        <w:rPr>
          <w:noProof/>
        </w:rPr>
        <w:fldChar w:fldCharType="begin"/>
      </w:r>
      <w:r>
        <w:rPr>
          <w:noProof/>
        </w:rPr>
        <w:instrText xml:space="preserve"> PAGEREF _Toc298580331 \h </w:instrText>
      </w:r>
      <w:r>
        <w:rPr>
          <w:noProof/>
        </w:rPr>
      </w:r>
      <w:r>
        <w:rPr>
          <w:noProof/>
        </w:rPr>
        <w:fldChar w:fldCharType="separate"/>
      </w:r>
      <w:r>
        <w:rPr>
          <w:noProof/>
        </w:rPr>
        <w:t>16</w:t>
      </w:r>
      <w:r>
        <w:rPr>
          <w:noProof/>
        </w:rPr>
        <w:fldChar w:fldCharType="end"/>
      </w:r>
    </w:p>
    <w:p w14:paraId="07EB4900"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Tobacco Flavor Ban – SB415</w:t>
      </w:r>
      <w:r>
        <w:rPr>
          <w:noProof/>
        </w:rPr>
        <w:tab/>
      </w:r>
      <w:r>
        <w:rPr>
          <w:noProof/>
        </w:rPr>
        <w:fldChar w:fldCharType="begin"/>
      </w:r>
      <w:r>
        <w:rPr>
          <w:noProof/>
        </w:rPr>
        <w:instrText xml:space="preserve"> PAGEREF _Toc298580332 \h </w:instrText>
      </w:r>
      <w:r>
        <w:rPr>
          <w:noProof/>
        </w:rPr>
      </w:r>
      <w:r>
        <w:rPr>
          <w:noProof/>
        </w:rPr>
        <w:fldChar w:fldCharType="separate"/>
      </w:r>
      <w:r>
        <w:rPr>
          <w:noProof/>
        </w:rPr>
        <w:t>16</w:t>
      </w:r>
      <w:r>
        <w:rPr>
          <w:noProof/>
        </w:rPr>
        <w:fldChar w:fldCharType="end"/>
      </w:r>
    </w:p>
    <w:p w14:paraId="685C3A46"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Eliminate Immunization Exemptions – SB442</w:t>
      </w:r>
      <w:r>
        <w:rPr>
          <w:noProof/>
        </w:rPr>
        <w:tab/>
      </w:r>
      <w:r>
        <w:rPr>
          <w:noProof/>
        </w:rPr>
        <w:fldChar w:fldCharType="begin"/>
      </w:r>
      <w:r>
        <w:rPr>
          <w:noProof/>
        </w:rPr>
        <w:instrText xml:space="preserve"> PAGEREF _Toc298580333 \h </w:instrText>
      </w:r>
      <w:r>
        <w:rPr>
          <w:noProof/>
        </w:rPr>
      </w:r>
      <w:r>
        <w:rPr>
          <w:noProof/>
        </w:rPr>
        <w:fldChar w:fldCharType="separate"/>
      </w:r>
      <w:r>
        <w:rPr>
          <w:noProof/>
        </w:rPr>
        <w:t>16</w:t>
      </w:r>
      <w:r>
        <w:rPr>
          <w:noProof/>
        </w:rPr>
        <w:fldChar w:fldCharType="end"/>
      </w:r>
    </w:p>
    <w:p w14:paraId="35346EE4"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Comprehensive Women’s Health – SB894</w:t>
      </w:r>
      <w:r>
        <w:rPr>
          <w:noProof/>
        </w:rPr>
        <w:tab/>
      </w:r>
      <w:r>
        <w:rPr>
          <w:noProof/>
        </w:rPr>
        <w:fldChar w:fldCharType="begin"/>
      </w:r>
      <w:r>
        <w:rPr>
          <w:noProof/>
        </w:rPr>
        <w:instrText xml:space="preserve"> PAGEREF _Toc298580334 \h </w:instrText>
      </w:r>
      <w:r>
        <w:rPr>
          <w:noProof/>
        </w:rPr>
      </w:r>
      <w:r>
        <w:rPr>
          <w:noProof/>
        </w:rPr>
        <w:fldChar w:fldCharType="separate"/>
      </w:r>
      <w:r>
        <w:rPr>
          <w:noProof/>
        </w:rPr>
        <w:t>16</w:t>
      </w:r>
      <w:r>
        <w:rPr>
          <w:noProof/>
        </w:rPr>
        <w:fldChar w:fldCharType="end"/>
      </w:r>
    </w:p>
    <w:p w14:paraId="378EE40A"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Clean Diesel – SB 824</w:t>
      </w:r>
      <w:r>
        <w:rPr>
          <w:noProof/>
        </w:rPr>
        <w:tab/>
      </w:r>
      <w:r>
        <w:rPr>
          <w:noProof/>
        </w:rPr>
        <w:fldChar w:fldCharType="begin"/>
      </w:r>
      <w:r>
        <w:rPr>
          <w:noProof/>
        </w:rPr>
        <w:instrText xml:space="preserve"> PAGEREF _Toc298580335 \h </w:instrText>
      </w:r>
      <w:r>
        <w:rPr>
          <w:noProof/>
        </w:rPr>
      </w:r>
      <w:r>
        <w:rPr>
          <w:noProof/>
        </w:rPr>
        <w:fldChar w:fldCharType="separate"/>
      </w:r>
      <w:r>
        <w:rPr>
          <w:noProof/>
        </w:rPr>
        <w:t>16</w:t>
      </w:r>
      <w:r>
        <w:rPr>
          <w:noProof/>
        </w:rPr>
        <w:fldChar w:fldCharType="end"/>
      </w:r>
    </w:p>
    <w:p w14:paraId="7FCF2AD9"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Minimum Wage Increase $15 – HB2009</w:t>
      </w:r>
      <w:r>
        <w:rPr>
          <w:noProof/>
        </w:rPr>
        <w:tab/>
      </w:r>
      <w:r>
        <w:rPr>
          <w:noProof/>
        </w:rPr>
        <w:fldChar w:fldCharType="begin"/>
      </w:r>
      <w:r>
        <w:rPr>
          <w:noProof/>
        </w:rPr>
        <w:instrText xml:space="preserve"> PAGEREF _Toc298580336 \h </w:instrText>
      </w:r>
      <w:r>
        <w:rPr>
          <w:noProof/>
        </w:rPr>
      </w:r>
      <w:r>
        <w:rPr>
          <w:noProof/>
        </w:rPr>
        <w:fldChar w:fldCharType="separate"/>
      </w:r>
      <w:r>
        <w:rPr>
          <w:noProof/>
        </w:rPr>
        <w:t>16</w:t>
      </w:r>
      <w:r>
        <w:rPr>
          <w:noProof/>
        </w:rPr>
        <w:fldChar w:fldCharType="end"/>
      </w:r>
    </w:p>
    <w:p w14:paraId="49ABB128"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Nurses at Blood Drives – HB2541</w:t>
      </w:r>
      <w:r>
        <w:rPr>
          <w:noProof/>
        </w:rPr>
        <w:tab/>
      </w:r>
      <w:r>
        <w:rPr>
          <w:noProof/>
        </w:rPr>
        <w:fldChar w:fldCharType="begin"/>
      </w:r>
      <w:r>
        <w:rPr>
          <w:noProof/>
        </w:rPr>
        <w:instrText xml:space="preserve"> PAGEREF _Toc298580337 \h </w:instrText>
      </w:r>
      <w:r>
        <w:rPr>
          <w:noProof/>
        </w:rPr>
      </w:r>
      <w:r>
        <w:rPr>
          <w:noProof/>
        </w:rPr>
        <w:fldChar w:fldCharType="separate"/>
      </w:r>
      <w:r>
        <w:rPr>
          <w:noProof/>
        </w:rPr>
        <w:t>17</w:t>
      </w:r>
      <w:r>
        <w:rPr>
          <w:noProof/>
        </w:rPr>
        <w:fldChar w:fldCharType="end"/>
      </w:r>
    </w:p>
    <w:p w14:paraId="5AB81BC7" w14:textId="77777777" w:rsidR="004F4FCC" w:rsidRDefault="004F4FCC">
      <w:pPr>
        <w:pStyle w:val="TOC2"/>
        <w:tabs>
          <w:tab w:val="right" w:leader="dot" w:pos="8630"/>
        </w:tabs>
        <w:rPr>
          <w:rFonts w:cstheme="minorBidi"/>
          <w:noProof/>
          <w:sz w:val="24"/>
          <w:szCs w:val="24"/>
          <w:lang w:eastAsia="ja-JP"/>
        </w:rPr>
      </w:pPr>
      <w:r w:rsidRPr="00CB3501">
        <w:rPr>
          <w:rFonts w:ascii="Century Gothic" w:hAnsi="Century Gothic"/>
          <w:noProof/>
        </w:rPr>
        <w:t>Senior Farm Direct Nutrition Increase – SB700</w:t>
      </w:r>
      <w:r>
        <w:rPr>
          <w:noProof/>
        </w:rPr>
        <w:tab/>
      </w:r>
      <w:r>
        <w:rPr>
          <w:noProof/>
        </w:rPr>
        <w:fldChar w:fldCharType="begin"/>
      </w:r>
      <w:r>
        <w:rPr>
          <w:noProof/>
        </w:rPr>
        <w:instrText xml:space="preserve"> PAGEREF _Toc298580338 \h </w:instrText>
      </w:r>
      <w:r>
        <w:rPr>
          <w:noProof/>
        </w:rPr>
      </w:r>
      <w:r>
        <w:rPr>
          <w:noProof/>
        </w:rPr>
        <w:fldChar w:fldCharType="separate"/>
      </w:r>
      <w:r>
        <w:rPr>
          <w:noProof/>
        </w:rPr>
        <w:t>17</w:t>
      </w:r>
      <w:r>
        <w:rPr>
          <w:noProof/>
        </w:rPr>
        <w:fldChar w:fldCharType="end"/>
      </w:r>
    </w:p>
    <w:p w14:paraId="640E8FBC" w14:textId="77777777" w:rsidR="004F4FCC" w:rsidRDefault="004F4FCC">
      <w:pPr>
        <w:pStyle w:val="TOC1"/>
        <w:tabs>
          <w:tab w:val="right" w:leader="dot" w:pos="8630"/>
        </w:tabs>
        <w:rPr>
          <w:rFonts w:asciiTheme="minorHAnsi" w:hAnsiTheme="minorHAnsi" w:cstheme="minorBidi"/>
          <w:b w:val="0"/>
          <w:noProof/>
          <w:color w:val="auto"/>
          <w:lang w:eastAsia="ja-JP"/>
        </w:rPr>
      </w:pPr>
      <w:r w:rsidRPr="00CB3501">
        <w:rPr>
          <w:rFonts w:ascii="Century Gothic" w:hAnsi="Century Gothic"/>
          <w:noProof/>
        </w:rPr>
        <w:t>Appendices –</w:t>
      </w:r>
      <w:r>
        <w:rPr>
          <w:noProof/>
        </w:rPr>
        <w:tab/>
      </w:r>
      <w:r>
        <w:rPr>
          <w:noProof/>
        </w:rPr>
        <w:fldChar w:fldCharType="begin"/>
      </w:r>
      <w:r>
        <w:rPr>
          <w:noProof/>
        </w:rPr>
        <w:instrText xml:space="preserve"> PAGEREF _Toc298580339 \h </w:instrText>
      </w:r>
      <w:r>
        <w:rPr>
          <w:noProof/>
        </w:rPr>
      </w:r>
      <w:r>
        <w:rPr>
          <w:noProof/>
        </w:rPr>
        <w:fldChar w:fldCharType="separate"/>
      </w:r>
      <w:r>
        <w:rPr>
          <w:noProof/>
        </w:rPr>
        <w:t>17</w:t>
      </w:r>
      <w:r>
        <w:rPr>
          <w:noProof/>
        </w:rPr>
        <w:fldChar w:fldCharType="end"/>
      </w:r>
    </w:p>
    <w:p w14:paraId="29E8CB45" w14:textId="77777777" w:rsidR="006B1487" w:rsidRPr="00446AF5" w:rsidRDefault="006B1487" w:rsidP="00BF6E77">
      <w:pPr>
        <w:jc w:val="center"/>
        <w:rPr>
          <w:rFonts w:ascii="Century Gothic" w:hAnsi="Century Gothic"/>
          <w:sz w:val="22"/>
          <w:szCs w:val="22"/>
        </w:rPr>
      </w:pPr>
      <w:r w:rsidRPr="00446AF5">
        <w:rPr>
          <w:rFonts w:ascii="Century Gothic" w:hAnsi="Century Gothic"/>
          <w:sz w:val="22"/>
          <w:szCs w:val="22"/>
        </w:rPr>
        <w:fldChar w:fldCharType="end"/>
      </w:r>
    </w:p>
    <w:p w14:paraId="79DB46E7" w14:textId="77777777" w:rsidR="006A6218" w:rsidRPr="00446AF5" w:rsidRDefault="006A6218" w:rsidP="006B1487">
      <w:pPr>
        <w:pStyle w:val="Heading1"/>
        <w:rPr>
          <w:rFonts w:ascii="Century Gothic" w:hAnsi="Century Gothic"/>
          <w:sz w:val="22"/>
          <w:szCs w:val="22"/>
        </w:rPr>
      </w:pPr>
      <w:r w:rsidRPr="00446AF5">
        <w:rPr>
          <w:rFonts w:ascii="Century Gothic" w:hAnsi="Century Gothic"/>
          <w:sz w:val="22"/>
          <w:szCs w:val="22"/>
        </w:rPr>
        <w:br w:type="page"/>
      </w:r>
    </w:p>
    <w:p w14:paraId="77D2EC45" w14:textId="3E5E6326" w:rsidR="00BF6E77" w:rsidRPr="00EC4E9E" w:rsidRDefault="006A6218" w:rsidP="006B1487">
      <w:pPr>
        <w:pStyle w:val="Heading1"/>
        <w:rPr>
          <w:rFonts w:ascii="Century Gothic" w:hAnsi="Century Gothic"/>
          <w:sz w:val="24"/>
          <w:szCs w:val="24"/>
        </w:rPr>
      </w:pPr>
      <w:bookmarkStart w:id="1" w:name="_Toc298580294"/>
      <w:r w:rsidRPr="00EC4E9E">
        <w:rPr>
          <w:rFonts w:ascii="Century Gothic" w:hAnsi="Century Gothic"/>
          <w:sz w:val="24"/>
          <w:szCs w:val="24"/>
        </w:rPr>
        <w:t>2015</w:t>
      </w:r>
      <w:r w:rsidR="00BF6E77" w:rsidRPr="00EC4E9E">
        <w:rPr>
          <w:rFonts w:ascii="Century Gothic" w:hAnsi="Century Gothic"/>
          <w:sz w:val="24"/>
          <w:szCs w:val="24"/>
        </w:rPr>
        <w:t xml:space="preserve"> Legislative Session</w:t>
      </w:r>
      <w:r w:rsidRPr="00EC4E9E">
        <w:rPr>
          <w:rFonts w:ascii="Century Gothic" w:hAnsi="Century Gothic"/>
          <w:sz w:val="24"/>
          <w:szCs w:val="24"/>
        </w:rPr>
        <w:t xml:space="preserve"> Overview</w:t>
      </w:r>
      <w:bookmarkEnd w:id="1"/>
      <w:r w:rsidR="00BF6E77" w:rsidRPr="00EC4E9E">
        <w:rPr>
          <w:rFonts w:ascii="Century Gothic" w:hAnsi="Century Gothic"/>
          <w:sz w:val="24"/>
          <w:szCs w:val="24"/>
        </w:rPr>
        <w:t xml:space="preserve"> </w:t>
      </w:r>
    </w:p>
    <w:p w14:paraId="4B283E74" w14:textId="77777777" w:rsidR="002011CA" w:rsidRPr="00446AF5" w:rsidRDefault="002011CA" w:rsidP="006A6218">
      <w:pPr>
        <w:rPr>
          <w:rFonts w:ascii="Century Gothic" w:hAnsi="Century Gothic"/>
          <w:sz w:val="22"/>
          <w:szCs w:val="22"/>
        </w:rPr>
      </w:pPr>
    </w:p>
    <w:p w14:paraId="399A6CF9" w14:textId="4B1CCF09" w:rsidR="008F0366" w:rsidRPr="00446AF5" w:rsidRDefault="008F0366" w:rsidP="006A6218">
      <w:pPr>
        <w:rPr>
          <w:rFonts w:ascii="Century Gothic" w:eastAsia="Times New Roman" w:hAnsi="Century Gothic" w:cs="Times New Roman"/>
          <w:sz w:val="22"/>
          <w:szCs w:val="22"/>
        </w:rPr>
      </w:pPr>
      <w:r w:rsidRPr="00446AF5">
        <w:rPr>
          <w:rFonts w:ascii="Century Gothic" w:eastAsia="Times New Roman" w:hAnsi="Century Gothic" w:cs="Tahoma"/>
          <w:color w:val="444444"/>
          <w:sz w:val="22"/>
          <w:szCs w:val="22"/>
          <w:shd w:val="clear" w:color="auto" w:fill="FFFFFF"/>
        </w:rPr>
        <w:t>​</w:t>
      </w:r>
      <w:r w:rsidRPr="00446AF5">
        <w:rPr>
          <w:rFonts w:ascii="Century Gothic" w:eastAsia="Times New Roman" w:hAnsi="Century Gothic" w:cs="Tahoma"/>
          <w:sz w:val="22"/>
          <w:szCs w:val="22"/>
          <w:shd w:val="clear" w:color="auto" w:fill="FFFFFF"/>
        </w:rPr>
        <w:t>The 2015 Legislative Session of the Oregon Legislative Assembly organized on January 12, 2015, with newly elected officials being sworn in</w:t>
      </w:r>
      <w:r w:rsidR="00697137">
        <w:rPr>
          <w:rFonts w:ascii="Century Gothic" w:eastAsia="Times New Roman" w:hAnsi="Century Gothic" w:cs="Tahoma"/>
          <w:sz w:val="22"/>
          <w:szCs w:val="22"/>
          <w:shd w:val="clear" w:color="auto" w:fill="FFFFFF"/>
        </w:rPr>
        <w:t>. O</w:t>
      </w:r>
      <w:r w:rsidRPr="00446AF5">
        <w:rPr>
          <w:rFonts w:ascii="Century Gothic" w:eastAsia="Times New Roman" w:hAnsi="Century Gothic" w:cs="Tahoma"/>
          <w:sz w:val="22"/>
          <w:szCs w:val="22"/>
          <w:shd w:val="clear" w:color="auto" w:fill="FFFFFF"/>
        </w:rPr>
        <w:t>n February 2</w:t>
      </w:r>
      <w:r w:rsidRPr="00446AF5">
        <w:rPr>
          <w:rFonts w:ascii="Century Gothic" w:eastAsia="Times New Roman" w:hAnsi="Century Gothic" w:cs="Tahoma"/>
          <w:sz w:val="22"/>
          <w:szCs w:val="22"/>
          <w:shd w:val="clear" w:color="auto" w:fill="FFFFFF"/>
          <w:vertAlign w:val="superscript"/>
        </w:rPr>
        <w:t>nd</w:t>
      </w:r>
      <w:r w:rsidRPr="00446AF5">
        <w:rPr>
          <w:rFonts w:ascii="Century Gothic" w:eastAsia="Times New Roman" w:hAnsi="Century Gothic" w:cs="Tahoma"/>
          <w:sz w:val="22"/>
          <w:szCs w:val="22"/>
          <w:shd w:val="clear" w:color="auto" w:fill="FFFFFF"/>
        </w:rPr>
        <w:t>, 2015</w:t>
      </w:r>
      <w:r w:rsidR="00697137">
        <w:rPr>
          <w:rFonts w:ascii="Century Gothic" w:eastAsia="Times New Roman" w:hAnsi="Century Gothic" w:cs="Tahoma"/>
          <w:sz w:val="22"/>
          <w:szCs w:val="22"/>
          <w:shd w:val="clear" w:color="auto" w:fill="FFFFFF"/>
        </w:rPr>
        <w:t xml:space="preserve"> the session began in earnest</w:t>
      </w:r>
      <w:r w:rsidRPr="00446AF5">
        <w:rPr>
          <w:rFonts w:ascii="Century Gothic" w:eastAsia="Times New Roman" w:hAnsi="Century Gothic" w:cs="Tahoma"/>
          <w:sz w:val="22"/>
          <w:szCs w:val="22"/>
          <w:shd w:val="clear" w:color="auto" w:fill="FFFFFF"/>
        </w:rPr>
        <w:t>.</w:t>
      </w:r>
      <w:r w:rsidRPr="00446AF5">
        <w:rPr>
          <w:rFonts w:ascii="Century Gothic" w:eastAsia="Times New Roman" w:hAnsi="Century Gothic" w:cs="Times New Roman"/>
          <w:sz w:val="22"/>
          <w:szCs w:val="22"/>
        </w:rPr>
        <w:t xml:space="preserve"> </w:t>
      </w:r>
    </w:p>
    <w:p w14:paraId="3EA7E1DC" w14:textId="77777777" w:rsidR="008F0366" w:rsidRPr="00446AF5" w:rsidRDefault="008F0366" w:rsidP="006A6218">
      <w:pPr>
        <w:rPr>
          <w:rFonts w:ascii="Century Gothic" w:eastAsia="Times New Roman" w:hAnsi="Century Gothic" w:cs="Times New Roman"/>
          <w:sz w:val="22"/>
          <w:szCs w:val="22"/>
        </w:rPr>
      </w:pPr>
    </w:p>
    <w:p w14:paraId="04A18B67" w14:textId="2B3F65BC" w:rsidR="006A6218" w:rsidRPr="00446AF5" w:rsidRDefault="002E79B6" w:rsidP="006A6218">
      <w:pPr>
        <w:rPr>
          <w:rFonts w:ascii="Century Gothic" w:eastAsia="Times New Roman" w:hAnsi="Century Gothic" w:cs="Times New Roman"/>
          <w:sz w:val="22"/>
          <w:szCs w:val="22"/>
        </w:rPr>
      </w:pPr>
      <w:r w:rsidRPr="00446AF5">
        <w:rPr>
          <w:rFonts w:ascii="Century Gothic" w:hAnsi="Century Gothic"/>
          <w:sz w:val="22"/>
          <w:szCs w:val="22"/>
        </w:rPr>
        <w:t xml:space="preserve">The 2014 </w:t>
      </w:r>
      <w:r w:rsidR="008F0366" w:rsidRPr="00446AF5">
        <w:rPr>
          <w:rFonts w:ascii="Century Gothic" w:hAnsi="Century Gothic"/>
          <w:sz w:val="22"/>
          <w:szCs w:val="22"/>
        </w:rPr>
        <w:t xml:space="preserve">November </w:t>
      </w:r>
      <w:r w:rsidRPr="00446AF5">
        <w:rPr>
          <w:rFonts w:ascii="Century Gothic" w:hAnsi="Century Gothic"/>
          <w:sz w:val="22"/>
          <w:szCs w:val="22"/>
        </w:rPr>
        <w:t xml:space="preserve">General Elections left the Democrats with strong majorities in both the House (35-25) and Senate (18-12). </w:t>
      </w:r>
      <w:r w:rsidR="006A6218" w:rsidRPr="00446AF5">
        <w:rPr>
          <w:rFonts w:ascii="Century Gothic" w:hAnsi="Century Gothic"/>
          <w:sz w:val="22"/>
          <w:szCs w:val="22"/>
        </w:rPr>
        <w:t xml:space="preserve"> </w:t>
      </w:r>
      <w:r w:rsidR="008F0366" w:rsidRPr="00446AF5">
        <w:rPr>
          <w:rFonts w:ascii="Century Gothic" w:eastAsia="Times New Roman" w:hAnsi="Century Gothic" w:cs="Times New Roman"/>
          <w:sz w:val="22"/>
          <w:szCs w:val="22"/>
        </w:rPr>
        <w:t xml:space="preserve"> </w:t>
      </w:r>
      <w:r w:rsidR="006A6218" w:rsidRPr="00446AF5">
        <w:rPr>
          <w:rFonts w:ascii="Century Gothic" w:hAnsi="Century Gothic"/>
          <w:sz w:val="22"/>
          <w:szCs w:val="22"/>
        </w:rPr>
        <w:t>House Speaker Tina Kotek (D- N.</w:t>
      </w:r>
      <w:r w:rsidR="00697137">
        <w:rPr>
          <w:rFonts w:ascii="Century Gothic" w:hAnsi="Century Gothic"/>
          <w:sz w:val="22"/>
          <w:szCs w:val="22"/>
        </w:rPr>
        <w:t xml:space="preserve"> </w:t>
      </w:r>
      <w:r w:rsidR="006A6218" w:rsidRPr="00446AF5">
        <w:rPr>
          <w:rFonts w:ascii="Century Gothic" w:hAnsi="Century Gothic"/>
          <w:sz w:val="22"/>
          <w:szCs w:val="22"/>
        </w:rPr>
        <w:t xml:space="preserve">Portland) and Senate President Courtney (D-Salem) </w:t>
      </w:r>
      <w:r w:rsidRPr="00446AF5">
        <w:rPr>
          <w:rFonts w:ascii="Century Gothic" w:hAnsi="Century Gothic"/>
          <w:sz w:val="22"/>
          <w:szCs w:val="22"/>
        </w:rPr>
        <w:t>were both re-elected by their peers to lead their respective Chambers. Senator Devlin and Representative</w:t>
      </w:r>
      <w:r w:rsidR="005608C3" w:rsidRPr="00446AF5">
        <w:rPr>
          <w:rFonts w:ascii="Century Gothic" w:hAnsi="Century Gothic"/>
          <w:sz w:val="22"/>
          <w:szCs w:val="22"/>
        </w:rPr>
        <w:t xml:space="preserve"> Buckley were appointed to Co-Chairs of the important Ways and Means budget committee. </w:t>
      </w:r>
      <w:r w:rsidRPr="00446AF5">
        <w:rPr>
          <w:rFonts w:ascii="Century Gothic" w:hAnsi="Century Gothic"/>
          <w:sz w:val="22"/>
          <w:szCs w:val="22"/>
        </w:rPr>
        <w:t xml:space="preserve"> </w:t>
      </w:r>
      <w:r w:rsidR="006A6218" w:rsidRPr="00446AF5">
        <w:rPr>
          <w:rFonts w:ascii="Century Gothic" w:hAnsi="Century Gothic"/>
          <w:sz w:val="22"/>
          <w:szCs w:val="22"/>
        </w:rPr>
        <w:t xml:space="preserve"> </w:t>
      </w:r>
    </w:p>
    <w:p w14:paraId="2599C21F" w14:textId="77777777" w:rsidR="006A6218" w:rsidRPr="00446AF5" w:rsidRDefault="006A6218" w:rsidP="006A6218">
      <w:pPr>
        <w:rPr>
          <w:rFonts w:ascii="Century Gothic" w:hAnsi="Century Gothic"/>
          <w:sz w:val="22"/>
          <w:szCs w:val="22"/>
        </w:rPr>
      </w:pPr>
    </w:p>
    <w:p w14:paraId="19C9622D" w14:textId="49C6406F" w:rsidR="002E79B6" w:rsidRPr="00446AF5" w:rsidRDefault="002E79B6" w:rsidP="002E79B6">
      <w:pPr>
        <w:rPr>
          <w:rFonts w:ascii="Century Gothic" w:hAnsi="Century Gothic"/>
          <w:sz w:val="22"/>
          <w:szCs w:val="22"/>
        </w:rPr>
      </w:pPr>
      <w:r w:rsidRPr="00446AF5">
        <w:rPr>
          <w:rFonts w:ascii="Century Gothic" w:hAnsi="Century Gothic"/>
          <w:sz w:val="22"/>
          <w:szCs w:val="22"/>
        </w:rPr>
        <w:t xml:space="preserve">While it seems like a lifetime ago this session will be remembered for the </w:t>
      </w:r>
      <w:r w:rsidR="008F0366" w:rsidRPr="00446AF5">
        <w:rPr>
          <w:rFonts w:ascii="Century Gothic" w:hAnsi="Century Gothic"/>
          <w:sz w:val="22"/>
          <w:szCs w:val="22"/>
        </w:rPr>
        <w:t xml:space="preserve">political </w:t>
      </w:r>
      <w:r w:rsidRPr="00446AF5">
        <w:rPr>
          <w:rFonts w:ascii="Century Gothic" w:hAnsi="Century Gothic"/>
          <w:sz w:val="22"/>
          <w:szCs w:val="22"/>
        </w:rPr>
        <w:t>controversy</w:t>
      </w:r>
      <w:r w:rsidR="008F0366" w:rsidRPr="00446AF5">
        <w:rPr>
          <w:rFonts w:ascii="Century Gothic" w:hAnsi="Century Gothic"/>
          <w:sz w:val="22"/>
          <w:szCs w:val="22"/>
        </w:rPr>
        <w:t xml:space="preserve"> surrounding Oregon’s First Lady, Cylvia Hayes,</w:t>
      </w:r>
      <w:r w:rsidRPr="00446AF5">
        <w:rPr>
          <w:rFonts w:ascii="Century Gothic" w:hAnsi="Century Gothic"/>
          <w:sz w:val="22"/>
          <w:szCs w:val="22"/>
        </w:rPr>
        <w:t xml:space="preserve"> at the beginning of the legislative session w</w:t>
      </w:r>
      <w:r w:rsidR="005608C3" w:rsidRPr="00446AF5">
        <w:rPr>
          <w:rFonts w:ascii="Century Gothic" w:hAnsi="Century Gothic"/>
          <w:sz w:val="22"/>
          <w:szCs w:val="22"/>
        </w:rPr>
        <w:t>ith former-Governor Kitzhaber. In early February t</w:t>
      </w:r>
      <w:r w:rsidRPr="00446AF5">
        <w:rPr>
          <w:rFonts w:ascii="Century Gothic" w:hAnsi="Century Gothic"/>
          <w:sz w:val="22"/>
          <w:szCs w:val="22"/>
        </w:rPr>
        <w:t xml:space="preserve">he rumors in the Capitol had reached a fever pitch when the leaders of the House and the Senate finally asked Governor Kitzhaber to resign.  </w:t>
      </w:r>
      <w:r w:rsidR="008F0366" w:rsidRPr="00446AF5">
        <w:rPr>
          <w:rFonts w:ascii="Century Gothic" w:hAnsi="Century Gothic"/>
          <w:sz w:val="22"/>
          <w:szCs w:val="22"/>
        </w:rPr>
        <w:t>Governor Kitzhaber resigned on Friday, February 13</w:t>
      </w:r>
      <w:r w:rsidR="008F0366" w:rsidRPr="00446AF5">
        <w:rPr>
          <w:rFonts w:ascii="Century Gothic" w:hAnsi="Century Gothic"/>
          <w:sz w:val="22"/>
          <w:szCs w:val="22"/>
          <w:vertAlign w:val="superscript"/>
        </w:rPr>
        <w:t>th</w:t>
      </w:r>
      <w:r w:rsidR="008F0366" w:rsidRPr="00446AF5">
        <w:rPr>
          <w:rFonts w:ascii="Century Gothic" w:hAnsi="Century Gothic"/>
          <w:sz w:val="22"/>
          <w:szCs w:val="22"/>
        </w:rPr>
        <w:t>, and on February 18</w:t>
      </w:r>
      <w:r w:rsidR="008F0366" w:rsidRPr="00446AF5">
        <w:rPr>
          <w:rFonts w:ascii="Century Gothic" w:hAnsi="Century Gothic"/>
          <w:sz w:val="22"/>
          <w:szCs w:val="22"/>
          <w:vertAlign w:val="superscript"/>
        </w:rPr>
        <w:t>th</w:t>
      </w:r>
      <w:r w:rsidR="008F0366" w:rsidRPr="00446AF5">
        <w:rPr>
          <w:rFonts w:ascii="Century Gothic" w:hAnsi="Century Gothic"/>
          <w:sz w:val="22"/>
          <w:szCs w:val="22"/>
        </w:rPr>
        <w:t xml:space="preserve">, </w:t>
      </w:r>
      <w:r w:rsidRPr="00446AF5">
        <w:rPr>
          <w:rFonts w:ascii="Century Gothic" w:hAnsi="Century Gothic"/>
          <w:sz w:val="22"/>
          <w:szCs w:val="22"/>
        </w:rPr>
        <w:t xml:space="preserve">Secretary of State Kate Brown </w:t>
      </w:r>
      <w:r w:rsidR="008F0366" w:rsidRPr="00446AF5">
        <w:rPr>
          <w:rFonts w:ascii="Century Gothic" w:hAnsi="Century Gothic"/>
          <w:sz w:val="22"/>
          <w:szCs w:val="22"/>
        </w:rPr>
        <w:t>took the oath of office as Oregon’s 38</w:t>
      </w:r>
      <w:r w:rsidR="008F0366" w:rsidRPr="00446AF5">
        <w:rPr>
          <w:rFonts w:ascii="Century Gothic" w:hAnsi="Century Gothic"/>
          <w:sz w:val="22"/>
          <w:szCs w:val="22"/>
          <w:vertAlign w:val="superscript"/>
        </w:rPr>
        <w:t>th</w:t>
      </w:r>
      <w:r w:rsidR="008F0366" w:rsidRPr="00446AF5">
        <w:rPr>
          <w:rFonts w:ascii="Century Gothic" w:hAnsi="Century Gothic"/>
          <w:sz w:val="22"/>
          <w:szCs w:val="22"/>
        </w:rPr>
        <w:t xml:space="preserve"> Governor. </w:t>
      </w:r>
      <w:r w:rsidRPr="00446AF5">
        <w:rPr>
          <w:rFonts w:ascii="Century Gothic" w:hAnsi="Century Gothic"/>
          <w:sz w:val="22"/>
          <w:szCs w:val="22"/>
        </w:rPr>
        <w:t xml:space="preserve"> While she announced a few new staff members she largely kept members of former-Governor Kitzhaber’s staff while she worked to transition to the new office in five short days. </w:t>
      </w:r>
    </w:p>
    <w:p w14:paraId="4D25E006" w14:textId="77777777" w:rsidR="005608C3" w:rsidRPr="00446AF5" w:rsidRDefault="005608C3" w:rsidP="002E79B6">
      <w:pPr>
        <w:rPr>
          <w:rFonts w:ascii="Century Gothic" w:hAnsi="Century Gothic"/>
          <w:sz w:val="22"/>
          <w:szCs w:val="22"/>
        </w:rPr>
      </w:pPr>
    </w:p>
    <w:p w14:paraId="41101AA0" w14:textId="2C825368" w:rsidR="005608C3" w:rsidRPr="00446AF5" w:rsidRDefault="005608C3" w:rsidP="002E79B6">
      <w:pPr>
        <w:rPr>
          <w:rFonts w:ascii="Century Gothic" w:hAnsi="Century Gothic"/>
          <w:sz w:val="22"/>
          <w:szCs w:val="22"/>
        </w:rPr>
      </w:pPr>
      <w:r w:rsidRPr="00446AF5">
        <w:rPr>
          <w:rFonts w:ascii="Century Gothic" w:hAnsi="Century Gothic"/>
          <w:sz w:val="22"/>
          <w:szCs w:val="22"/>
        </w:rPr>
        <w:t>Th</w:t>
      </w:r>
      <w:r w:rsidR="001D728C" w:rsidRPr="00446AF5">
        <w:rPr>
          <w:rFonts w:ascii="Century Gothic" w:hAnsi="Century Gothic"/>
          <w:sz w:val="22"/>
          <w:szCs w:val="22"/>
        </w:rPr>
        <w:t>is Legislative Session will</w:t>
      </w:r>
      <w:r w:rsidRPr="00446AF5">
        <w:rPr>
          <w:rFonts w:ascii="Century Gothic" w:hAnsi="Century Gothic"/>
          <w:sz w:val="22"/>
          <w:szCs w:val="22"/>
        </w:rPr>
        <w:t xml:space="preserve"> be remembered as much by what was accomplished as what was not</w:t>
      </w:r>
      <w:r w:rsidR="008F0366" w:rsidRPr="00446AF5">
        <w:rPr>
          <w:rFonts w:ascii="Century Gothic" w:hAnsi="Century Gothic"/>
          <w:sz w:val="22"/>
          <w:szCs w:val="22"/>
        </w:rPr>
        <w:t xml:space="preserve"> accomplished.  The 2015 Legislature invested $7.</w:t>
      </w:r>
      <w:r w:rsidR="00697137">
        <w:rPr>
          <w:rFonts w:ascii="Century Gothic" w:hAnsi="Century Gothic"/>
          <w:sz w:val="22"/>
          <w:szCs w:val="22"/>
        </w:rPr>
        <w:t>4</w:t>
      </w:r>
      <w:r w:rsidR="008F0366" w:rsidRPr="00446AF5">
        <w:rPr>
          <w:rFonts w:ascii="Century Gothic" w:hAnsi="Century Gothic"/>
          <w:sz w:val="22"/>
          <w:szCs w:val="22"/>
        </w:rPr>
        <w:t xml:space="preserve"> billion for K-12 education, created a mandatory sick leave policy for businesses, </w:t>
      </w:r>
      <w:r w:rsidR="001D728C" w:rsidRPr="00446AF5">
        <w:rPr>
          <w:rFonts w:ascii="Century Gothic" w:hAnsi="Century Gothic"/>
          <w:sz w:val="22"/>
          <w:szCs w:val="22"/>
        </w:rPr>
        <w:t xml:space="preserve">Low Carbon Fuel Standards, creating framework for marijuana legalization and set us on a path for modernizing our public health </w:t>
      </w:r>
      <w:r w:rsidR="00EC4E9E" w:rsidRPr="00446AF5">
        <w:rPr>
          <w:rFonts w:ascii="Century Gothic" w:hAnsi="Century Gothic"/>
          <w:sz w:val="22"/>
          <w:szCs w:val="22"/>
        </w:rPr>
        <w:t>S</w:t>
      </w:r>
      <w:r w:rsidR="001D728C" w:rsidRPr="00446AF5">
        <w:rPr>
          <w:rFonts w:ascii="Century Gothic" w:hAnsi="Century Gothic"/>
          <w:sz w:val="22"/>
          <w:szCs w:val="22"/>
        </w:rPr>
        <w:t xml:space="preserve">ystem.  However, the legislature was unable to agree on a </w:t>
      </w:r>
      <w:r w:rsidRPr="00446AF5">
        <w:rPr>
          <w:rFonts w:ascii="Century Gothic" w:hAnsi="Century Gothic"/>
          <w:sz w:val="22"/>
          <w:szCs w:val="22"/>
        </w:rPr>
        <w:t>Transportation Package</w:t>
      </w:r>
      <w:r w:rsidR="0099019C" w:rsidRPr="00446AF5">
        <w:rPr>
          <w:rFonts w:ascii="Century Gothic" w:hAnsi="Century Gothic"/>
          <w:sz w:val="22"/>
          <w:szCs w:val="22"/>
        </w:rPr>
        <w:t xml:space="preserve">, </w:t>
      </w:r>
      <w:r w:rsidR="001D728C" w:rsidRPr="00446AF5">
        <w:rPr>
          <w:rFonts w:ascii="Century Gothic" w:hAnsi="Century Gothic"/>
          <w:sz w:val="22"/>
          <w:szCs w:val="22"/>
        </w:rPr>
        <w:t>increasing the</w:t>
      </w:r>
      <w:r w:rsidRPr="00446AF5">
        <w:rPr>
          <w:rFonts w:ascii="Century Gothic" w:hAnsi="Century Gothic"/>
          <w:sz w:val="22"/>
          <w:szCs w:val="22"/>
        </w:rPr>
        <w:t xml:space="preserve"> minimum wage</w:t>
      </w:r>
      <w:r w:rsidR="001D728C" w:rsidRPr="00446AF5">
        <w:rPr>
          <w:rFonts w:ascii="Century Gothic" w:hAnsi="Century Gothic"/>
          <w:sz w:val="22"/>
          <w:szCs w:val="22"/>
        </w:rPr>
        <w:t>, or increasing the</w:t>
      </w:r>
      <w:r w:rsidR="0099019C" w:rsidRPr="00446AF5">
        <w:rPr>
          <w:rFonts w:ascii="Century Gothic" w:hAnsi="Century Gothic"/>
          <w:sz w:val="22"/>
          <w:szCs w:val="22"/>
        </w:rPr>
        <w:t xml:space="preserve"> tobacco tax.  </w:t>
      </w:r>
    </w:p>
    <w:p w14:paraId="22B431B3" w14:textId="77777777" w:rsidR="0099019C" w:rsidRPr="00446AF5" w:rsidRDefault="0099019C" w:rsidP="002E79B6">
      <w:pPr>
        <w:rPr>
          <w:rFonts w:ascii="Century Gothic" w:hAnsi="Century Gothic"/>
          <w:sz w:val="22"/>
          <w:szCs w:val="22"/>
        </w:rPr>
      </w:pPr>
    </w:p>
    <w:p w14:paraId="75E373B8" w14:textId="4829A598" w:rsidR="0099019C" w:rsidRPr="00446AF5" w:rsidRDefault="0099019C" w:rsidP="002E79B6">
      <w:pPr>
        <w:rPr>
          <w:rFonts w:ascii="Century Gothic" w:hAnsi="Century Gothic"/>
          <w:sz w:val="22"/>
          <w:szCs w:val="22"/>
        </w:rPr>
      </w:pPr>
      <w:r w:rsidRPr="00446AF5">
        <w:rPr>
          <w:rFonts w:ascii="Century Gothic" w:hAnsi="Century Gothic"/>
          <w:sz w:val="22"/>
          <w:szCs w:val="22"/>
        </w:rPr>
        <w:t>Adjourning sine die will mean dueling press releases on the legislative success and shortfalls and only time will tell</w:t>
      </w:r>
      <w:r w:rsidR="001D728C" w:rsidRPr="00446AF5">
        <w:rPr>
          <w:rFonts w:ascii="Century Gothic" w:hAnsi="Century Gothic"/>
          <w:sz w:val="22"/>
          <w:szCs w:val="22"/>
        </w:rPr>
        <w:t xml:space="preserve"> how this legislative session is remembered</w:t>
      </w:r>
      <w:r w:rsidRPr="00446AF5">
        <w:rPr>
          <w:rFonts w:ascii="Century Gothic" w:hAnsi="Century Gothic"/>
          <w:sz w:val="22"/>
          <w:szCs w:val="22"/>
        </w:rPr>
        <w:t xml:space="preserve">. </w:t>
      </w:r>
    </w:p>
    <w:p w14:paraId="33A03996" w14:textId="77777777" w:rsidR="006A6218" w:rsidRPr="00446AF5" w:rsidRDefault="006A6218" w:rsidP="006A6218">
      <w:pPr>
        <w:rPr>
          <w:rFonts w:ascii="Century Gothic" w:hAnsi="Century Gothic"/>
          <w:sz w:val="22"/>
          <w:szCs w:val="22"/>
        </w:rPr>
      </w:pPr>
    </w:p>
    <w:p w14:paraId="5C6D1966" w14:textId="77777777" w:rsidR="0099019C" w:rsidRPr="00446AF5" w:rsidRDefault="0099019C">
      <w:pPr>
        <w:rPr>
          <w:rFonts w:ascii="Century Gothic" w:eastAsiaTheme="majorEastAsia" w:hAnsi="Century Gothic" w:cstheme="majorBidi"/>
          <w:b/>
          <w:bCs/>
          <w:color w:val="345A8A" w:themeColor="accent1" w:themeShade="B5"/>
          <w:sz w:val="22"/>
          <w:szCs w:val="22"/>
        </w:rPr>
      </w:pPr>
      <w:bookmarkStart w:id="2" w:name="_Toc297382187"/>
      <w:r w:rsidRPr="00446AF5">
        <w:rPr>
          <w:rFonts w:ascii="Century Gothic" w:hAnsi="Century Gothic"/>
          <w:sz w:val="22"/>
          <w:szCs w:val="22"/>
        </w:rPr>
        <w:br w:type="page"/>
      </w:r>
    </w:p>
    <w:p w14:paraId="71BF1657" w14:textId="710809CE" w:rsidR="00BF6E77" w:rsidRPr="00446AF5" w:rsidRDefault="00BF6E77" w:rsidP="006B1487">
      <w:pPr>
        <w:pStyle w:val="Heading1"/>
        <w:rPr>
          <w:rFonts w:ascii="Century Gothic" w:hAnsi="Century Gothic"/>
          <w:sz w:val="24"/>
          <w:szCs w:val="24"/>
        </w:rPr>
      </w:pPr>
      <w:bookmarkStart w:id="3" w:name="_Toc298580295"/>
      <w:r w:rsidRPr="00446AF5">
        <w:rPr>
          <w:rFonts w:ascii="Century Gothic" w:hAnsi="Century Gothic"/>
          <w:sz w:val="24"/>
          <w:szCs w:val="24"/>
        </w:rPr>
        <w:t>CLHO Priorities and Background</w:t>
      </w:r>
      <w:bookmarkEnd w:id="2"/>
      <w:bookmarkEnd w:id="3"/>
    </w:p>
    <w:p w14:paraId="607437BE" w14:textId="77777777" w:rsidR="0099019C" w:rsidRPr="00446AF5" w:rsidRDefault="0099019C" w:rsidP="0099019C">
      <w:pPr>
        <w:rPr>
          <w:rFonts w:ascii="Century Gothic" w:hAnsi="Century Gothic"/>
          <w:sz w:val="22"/>
          <w:szCs w:val="22"/>
        </w:rPr>
      </w:pPr>
    </w:p>
    <w:p w14:paraId="658B5E1F" w14:textId="36720B85" w:rsidR="0099019C" w:rsidRPr="00446AF5" w:rsidRDefault="0099019C" w:rsidP="0099019C">
      <w:pPr>
        <w:rPr>
          <w:rFonts w:ascii="Century Gothic" w:hAnsi="Century Gothic"/>
          <w:sz w:val="22"/>
          <w:szCs w:val="22"/>
        </w:rPr>
      </w:pPr>
      <w:r w:rsidRPr="00446AF5">
        <w:rPr>
          <w:rFonts w:ascii="Century Gothic" w:hAnsi="Century Gothic"/>
          <w:sz w:val="22"/>
          <w:szCs w:val="22"/>
        </w:rPr>
        <w:t>Many thanks to the members of the CLHO Legislative Committee who met once a month before session and twice a month during session to provide local public health perspective</w:t>
      </w:r>
      <w:r w:rsidR="00EC4E9E" w:rsidRPr="00446AF5">
        <w:rPr>
          <w:rFonts w:ascii="Century Gothic" w:hAnsi="Century Gothic"/>
          <w:sz w:val="22"/>
          <w:szCs w:val="22"/>
        </w:rPr>
        <w:t>s</w:t>
      </w:r>
      <w:r w:rsidRPr="00446AF5">
        <w:rPr>
          <w:rFonts w:ascii="Century Gothic" w:hAnsi="Century Gothic"/>
          <w:sz w:val="22"/>
          <w:szCs w:val="22"/>
        </w:rPr>
        <w:t xml:space="preserve"> and ma</w:t>
      </w:r>
      <w:r w:rsidR="00EC4E9E" w:rsidRPr="00446AF5">
        <w:rPr>
          <w:rFonts w:ascii="Century Gothic" w:hAnsi="Century Gothic"/>
          <w:sz w:val="22"/>
          <w:szCs w:val="22"/>
        </w:rPr>
        <w:t>d</w:t>
      </w:r>
      <w:r w:rsidRPr="00446AF5">
        <w:rPr>
          <w:rFonts w:ascii="Century Gothic" w:hAnsi="Century Gothic"/>
          <w:sz w:val="22"/>
          <w:szCs w:val="22"/>
        </w:rPr>
        <w:t xml:space="preserve">e recommendations to CLHO. </w:t>
      </w:r>
    </w:p>
    <w:p w14:paraId="4FD84841" w14:textId="77777777" w:rsidR="0099019C" w:rsidRPr="00446AF5" w:rsidRDefault="0099019C" w:rsidP="0099019C">
      <w:pPr>
        <w:rPr>
          <w:rFonts w:ascii="Century Gothic" w:hAnsi="Century Gothic"/>
          <w:sz w:val="22"/>
          <w:szCs w:val="22"/>
        </w:rPr>
      </w:pPr>
    </w:p>
    <w:p w14:paraId="6284B902" w14:textId="6D0926B1" w:rsidR="0099019C" w:rsidRPr="00446AF5" w:rsidRDefault="0099019C" w:rsidP="0099019C">
      <w:pPr>
        <w:rPr>
          <w:rFonts w:ascii="Century Gothic" w:hAnsi="Century Gothic"/>
          <w:sz w:val="22"/>
          <w:szCs w:val="22"/>
        </w:rPr>
      </w:pPr>
      <w:r w:rsidRPr="00446AF5">
        <w:rPr>
          <w:rFonts w:ascii="Century Gothic" w:hAnsi="Century Gothic"/>
          <w:sz w:val="22"/>
          <w:szCs w:val="22"/>
        </w:rPr>
        <w:t xml:space="preserve">Prior to session CLHO </w:t>
      </w:r>
      <w:r w:rsidR="00A10D2B" w:rsidRPr="00446AF5">
        <w:rPr>
          <w:rFonts w:ascii="Century Gothic" w:hAnsi="Century Gothic"/>
          <w:sz w:val="22"/>
          <w:szCs w:val="22"/>
        </w:rPr>
        <w:t xml:space="preserve">staff and Legislative Committee sent out a survey to collect input on potential priorities.  After reviewing the survey results the Legislative Committee prioritized six policy issues and asked staff to research the issue with potential solutions. </w:t>
      </w:r>
    </w:p>
    <w:p w14:paraId="701EEA23" w14:textId="77777777" w:rsidR="00A10D2B" w:rsidRPr="00446AF5" w:rsidRDefault="00A10D2B" w:rsidP="0099019C">
      <w:pPr>
        <w:rPr>
          <w:rFonts w:ascii="Century Gothic" w:hAnsi="Century Gothic"/>
          <w:sz w:val="22"/>
          <w:szCs w:val="22"/>
        </w:rPr>
      </w:pPr>
    </w:p>
    <w:p w14:paraId="131E3663" w14:textId="54FB12CF" w:rsidR="00A10D2B" w:rsidRPr="00446AF5" w:rsidRDefault="00705D37" w:rsidP="0099019C">
      <w:pPr>
        <w:rPr>
          <w:rFonts w:ascii="Century Gothic" w:hAnsi="Century Gothic"/>
          <w:sz w:val="22"/>
          <w:szCs w:val="22"/>
        </w:rPr>
      </w:pPr>
      <w:r w:rsidRPr="00446AF5">
        <w:rPr>
          <w:rFonts w:ascii="Century Gothic" w:hAnsi="Century Gothic"/>
          <w:sz w:val="22"/>
          <w:szCs w:val="22"/>
        </w:rPr>
        <w:t>CLHO Legislative Committee developed an agenda of both policy and budget issues to start off the session right</w:t>
      </w:r>
      <w:r w:rsidR="00697137">
        <w:rPr>
          <w:rFonts w:ascii="Century Gothic" w:hAnsi="Century Gothic"/>
          <w:sz w:val="22"/>
          <w:szCs w:val="22"/>
        </w:rPr>
        <w:t xml:space="preserve"> and the CLHO Board endorsed the following as our Legislative Agenda: </w:t>
      </w:r>
      <w:r w:rsidRPr="00446AF5">
        <w:rPr>
          <w:rFonts w:ascii="Century Gothic" w:hAnsi="Century Gothic"/>
          <w:sz w:val="22"/>
          <w:szCs w:val="22"/>
        </w:rPr>
        <w:t xml:space="preserve"> </w:t>
      </w:r>
    </w:p>
    <w:p w14:paraId="3E5D14DE" w14:textId="77777777" w:rsidR="0099019C" w:rsidRPr="00446AF5" w:rsidRDefault="0099019C" w:rsidP="0099019C">
      <w:pPr>
        <w:rPr>
          <w:rFonts w:ascii="Century Gothic" w:hAnsi="Century Gothic"/>
          <w:sz w:val="22"/>
          <w:szCs w:val="22"/>
        </w:rPr>
      </w:pPr>
    </w:p>
    <w:p w14:paraId="702CD00F" w14:textId="77777777" w:rsidR="0099019C" w:rsidRPr="00446AF5" w:rsidRDefault="0099019C" w:rsidP="0099019C">
      <w:pPr>
        <w:rPr>
          <w:rFonts w:ascii="Century Gothic" w:hAnsi="Century Gothic"/>
          <w:sz w:val="22"/>
          <w:szCs w:val="22"/>
        </w:rPr>
      </w:pPr>
      <w:r w:rsidRPr="00446AF5">
        <w:rPr>
          <w:rFonts w:ascii="Century Gothic" w:hAnsi="Century Gothic"/>
          <w:sz w:val="22"/>
          <w:szCs w:val="22"/>
        </w:rPr>
        <w:t xml:space="preserve">2015 CLHO Legislative &amp; Funding Priorities: </w:t>
      </w:r>
    </w:p>
    <w:p w14:paraId="0236CA8F" w14:textId="77777777" w:rsidR="0099019C" w:rsidRPr="00446AF5" w:rsidRDefault="0099019C" w:rsidP="0099019C">
      <w:pPr>
        <w:numPr>
          <w:ilvl w:val="0"/>
          <w:numId w:val="4"/>
        </w:numPr>
        <w:rPr>
          <w:rFonts w:ascii="Century Gothic" w:hAnsi="Century Gothic"/>
          <w:sz w:val="22"/>
          <w:szCs w:val="22"/>
        </w:rPr>
      </w:pPr>
      <w:r w:rsidRPr="00446AF5">
        <w:rPr>
          <w:rFonts w:ascii="Century Gothic" w:hAnsi="Century Gothic"/>
          <w:sz w:val="22"/>
          <w:szCs w:val="22"/>
        </w:rPr>
        <w:t xml:space="preserve">Prohibit use and restrict access of E-Cigarettes by children under 18 and treat E-cigarettes like other tobacco products in Oregon law. </w:t>
      </w:r>
    </w:p>
    <w:p w14:paraId="0B059436" w14:textId="77777777" w:rsidR="0099019C" w:rsidRPr="00446AF5" w:rsidRDefault="0099019C" w:rsidP="0099019C">
      <w:pPr>
        <w:numPr>
          <w:ilvl w:val="0"/>
          <w:numId w:val="4"/>
        </w:numPr>
        <w:rPr>
          <w:rFonts w:ascii="Century Gothic" w:hAnsi="Century Gothic"/>
          <w:sz w:val="22"/>
          <w:szCs w:val="22"/>
        </w:rPr>
      </w:pPr>
      <w:r w:rsidRPr="00446AF5">
        <w:rPr>
          <w:rFonts w:ascii="Century Gothic" w:hAnsi="Century Gothic"/>
          <w:sz w:val="22"/>
          <w:szCs w:val="22"/>
        </w:rPr>
        <w:t xml:space="preserve">Restrict access to marijuana for infants and toddlers by requiring childproof containers, and strengthen restrictions against smoking marijuana indoors. </w:t>
      </w:r>
    </w:p>
    <w:p w14:paraId="7013A14D" w14:textId="77777777" w:rsidR="0099019C" w:rsidRPr="00446AF5" w:rsidRDefault="0099019C" w:rsidP="0099019C">
      <w:pPr>
        <w:numPr>
          <w:ilvl w:val="0"/>
          <w:numId w:val="4"/>
        </w:numPr>
        <w:rPr>
          <w:rFonts w:ascii="Century Gothic" w:hAnsi="Century Gothic"/>
          <w:sz w:val="22"/>
          <w:szCs w:val="22"/>
        </w:rPr>
      </w:pPr>
      <w:r w:rsidRPr="00446AF5">
        <w:rPr>
          <w:rFonts w:ascii="Century Gothic" w:hAnsi="Century Gothic"/>
          <w:sz w:val="22"/>
          <w:szCs w:val="22"/>
        </w:rPr>
        <w:t xml:space="preserve">Support the Modernization of Public Health Task Force Recommendations within a four-year timeline and include state –local shared governance in legislation. </w:t>
      </w:r>
    </w:p>
    <w:p w14:paraId="3C1FF4F5" w14:textId="77777777" w:rsidR="0099019C" w:rsidRPr="00446AF5" w:rsidRDefault="0099019C" w:rsidP="0099019C">
      <w:pPr>
        <w:numPr>
          <w:ilvl w:val="0"/>
          <w:numId w:val="4"/>
        </w:numPr>
        <w:rPr>
          <w:rFonts w:ascii="Century Gothic" w:hAnsi="Century Gothic"/>
          <w:sz w:val="22"/>
          <w:szCs w:val="22"/>
        </w:rPr>
      </w:pPr>
      <w:r w:rsidRPr="00446AF5">
        <w:rPr>
          <w:rFonts w:ascii="Century Gothic" w:hAnsi="Century Gothic"/>
          <w:sz w:val="22"/>
          <w:szCs w:val="22"/>
        </w:rPr>
        <w:t>Preserve current funding for local health departments (includes CCare and TMSA/ TPEP Investments).</w:t>
      </w:r>
    </w:p>
    <w:p w14:paraId="31053E96" w14:textId="77777777" w:rsidR="0099019C" w:rsidRPr="00446AF5" w:rsidRDefault="0099019C" w:rsidP="0099019C">
      <w:pPr>
        <w:numPr>
          <w:ilvl w:val="0"/>
          <w:numId w:val="4"/>
        </w:numPr>
        <w:rPr>
          <w:rFonts w:ascii="Century Gothic" w:hAnsi="Century Gothic"/>
          <w:sz w:val="22"/>
          <w:szCs w:val="22"/>
        </w:rPr>
      </w:pPr>
      <w:r w:rsidRPr="00446AF5">
        <w:rPr>
          <w:rFonts w:ascii="Century Gothic" w:hAnsi="Century Gothic"/>
          <w:sz w:val="22"/>
          <w:szCs w:val="22"/>
        </w:rPr>
        <w:t xml:space="preserve">Increase funding to local health departments for comprehensive communicable disease prevention, planning and response activities. </w:t>
      </w:r>
    </w:p>
    <w:p w14:paraId="313EC354" w14:textId="77777777" w:rsidR="0099019C" w:rsidRPr="00446AF5" w:rsidRDefault="0099019C" w:rsidP="0099019C">
      <w:pPr>
        <w:numPr>
          <w:ilvl w:val="0"/>
          <w:numId w:val="4"/>
        </w:numPr>
        <w:rPr>
          <w:rFonts w:ascii="Century Gothic" w:hAnsi="Century Gothic"/>
          <w:sz w:val="22"/>
          <w:szCs w:val="22"/>
        </w:rPr>
      </w:pPr>
      <w:r w:rsidRPr="00446AF5">
        <w:rPr>
          <w:rFonts w:ascii="Century Gothic" w:hAnsi="Century Gothic"/>
          <w:sz w:val="22"/>
          <w:szCs w:val="22"/>
        </w:rPr>
        <w:t>Support $14 million in TMSA funds for chronic disease prevention and state and local public health infrastructure (POP 404, POP 405, PE Grants, TPEP)</w:t>
      </w:r>
    </w:p>
    <w:p w14:paraId="13F66FD4" w14:textId="77777777" w:rsidR="0099019C" w:rsidRPr="00446AF5" w:rsidRDefault="0099019C" w:rsidP="0099019C">
      <w:pPr>
        <w:rPr>
          <w:rFonts w:ascii="Century Gothic" w:hAnsi="Century Gothic"/>
          <w:sz w:val="22"/>
          <w:szCs w:val="22"/>
        </w:rPr>
      </w:pPr>
    </w:p>
    <w:p w14:paraId="02B8FDA5" w14:textId="77777777" w:rsidR="00705D37" w:rsidRPr="00446AF5" w:rsidRDefault="00705D37">
      <w:pPr>
        <w:rPr>
          <w:rFonts w:ascii="Century Gothic" w:eastAsiaTheme="majorEastAsia" w:hAnsi="Century Gothic" w:cstheme="majorBidi"/>
          <w:b/>
          <w:bCs/>
          <w:color w:val="345A8A" w:themeColor="accent1" w:themeShade="B5"/>
          <w:sz w:val="22"/>
          <w:szCs w:val="22"/>
        </w:rPr>
      </w:pPr>
      <w:bookmarkStart w:id="4" w:name="_Toc297382188"/>
      <w:r w:rsidRPr="00446AF5">
        <w:rPr>
          <w:rFonts w:ascii="Century Gothic" w:hAnsi="Century Gothic"/>
          <w:sz w:val="22"/>
          <w:szCs w:val="22"/>
        </w:rPr>
        <w:br w:type="page"/>
      </w:r>
    </w:p>
    <w:p w14:paraId="4AC8EA70" w14:textId="037D24CE" w:rsidR="001408A7" w:rsidRPr="00446AF5" w:rsidRDefault="00697137" w:rsidP="006B1487">
      <w:pPr>
        <w:pStyle w:val="Heading1"/>
        <w:rPr>
          <w:rFonts w:ascii="Century Gothic" w:hAnsi="Century Gothic"/>
          <w:sz w:val="24"/>
          <w:szCs w:val="24"/>
        </w:rPr>
      </w:pPr>
      <w:bookmarkStart w:id="5" w:name="_Toc298580296"/>
      <w:r>
        <w:rPr>
          <w:rFonts w:ascii="Century Gothic" w:hAnsi="Century Gothic"/>
          <w:sz w:val="24"/>
          <w:szCs w:val="24"/>
        </w:rPr>
        <w:t xml:space="preserve">HB 3100 - </w:t>
      </w:r>
      <w:r w:rsidR="001408A7" w:rsidRPr="00446AF5">
        <w:rPr>
          <w:rFonts w:ascii="Century Gothic" w:hAnsi="Century Gothic"/>
          <w:sz w:val="24"/>
          <w:szCs w:val="24"/>
        </w:rPr>
        <w:t>Public Health Modernization</w:t>
      </w:r>
      <w:bookmarkEnd w:id="4"/>
      <w:bookmarkEnd w:id="5"/>
    </w:p>
    <w:p w14:paraId="0DE74E8E" w14:textId="77777777" w:rsidR="00705D37" w:rsidRPr="00446AF5" w:rsidRDefault="00705D37" w:rsidP="00705D37">
      <w:pPr>
        <w:rPr>
          <w:rFonts w:ascii="Century Gothic" w:hAnsi="Century Gothic"/>
          <w:sz w:val="22"/>
          <w:szCs w:val="22"/>
        </w:rPr>
      </w:pPr>
    </w:p>
    <w:p w14:paraId="272EE3B2" w14:textId="77777777" w:rsidR="00470D26" w:rsidRPr="00446AF5" w:rsidRDefault="00470D26" w:rsidP="00470D26">
      <w:pPr>
        <w:rPr>
          <w:rFonts w:ascii="Century Gothic" w:hAnsi="Century Gothic"/>
          <w:sz w:val="22"/>
          <w:szCs w:val="22"/>
        </w:rPr>
      </w:pPr>
      <w:r w:rsidRPr="00446AF5">
        <w:rPr>
          <w:rFonts w:ascii="Century Gothic" w:hAnsi="Century Gothic"/>
          <w:sz w:val="22"/>
          <w:szCs w:val="22"/>
        </w:rPr>
        <w:t xml:space="preserve">Recommendations by the Task Force on the Future of Public Health, created by HB 2348 (2013), envision a modern public health system that offers foundational public health programs and capabilities available in communities across Oregon.  A modernized public health system is needed to keep Oregonians healthy-reducing the need for costly medical care, and assuring that children are ready to learn before entering a classroom.  </w:t>
      </w:r>
    </w:p>
    <w:p w14:paraId="4CE1FC14" w14:textId="77777777" w:rsidR="00470D26" w:rsidRPr="00446AF5" w:rsidRDefault="00470D26" w:rsidP="00470D26">
      <w:pPr>
        <w:rPr>
          <w:rFonts w:ascii="Century Gothic" w:hAnsi="Century Gothic"/>
          <w:sz w:val="22"/>
          <w:szCs w:val="22"/>
        </w:rPr>
      </w:pPr>
    </w:p>
    <w:p w14:paraId="149071FF" w14:textId="70766553" w:rsidR="00470D26" w:rsidRPr="00446AF5" w:rsidRDefault="00672E6D" w:rsidP="00470D26">
      <w:pPr>
        <w:rPr>
          <w:rFonts w:ascii="Century Gothic" w:hAnsi="Century Gothic"/>
          <w:sz w:val="22"/>
          <w:szCs w:val="22"/>
        </w:rPr>
      </w:pPr>
      <w:r w:rsidRPr="00446AF5">
        <w:rPr>
          <w:rFonts w:ascii="Century Gothic" w:hAnsi="Century Gothic"/>
          <w:sz w:val="22"/>
          <w:szCs w:val="22"/>
        </w:rPr>
        <w:t>CLHO support</w:t>
      </w:r>
      <w:r w:rsidR="00697137">
        <w:rPr>
          <w:rFonts w:ascii="Century Gothic" w:hAnsi="Century Gothic"/>
          <w:sz w:val="22"/>
          <w:szCs w:val="22"/>
        </w:rPr>
        <w:t>ed</w:t>
      </w:r>
      <w:r w:rsidR="00470D26" w:rsidRPr="00446AF5">
        <w:rPr>
          <w:rFonts w:ascii="Century Gothic" w:hAnsi="Century Gothic"/>
          <w:b/>
          <w:sz w:val="22"/>
          <w:szCs w:val="22"/>
        </w:rPr>
        <w:t xml:space="preserve"> a</w:t>
      </w:r>
      <w:r w:rsidRPr="00446AF5">
        <w:rPr>
          <w:rFonts w:ascii="Century Gothic" w:hAnsi="Century Gothic"/>
          <w:b/>
          <w:sz w:val="22"/>
          <w:szCs w:val="22"/>
        </w:rPr>
        <w:t xml:space="preserve"> new</w:t>
      </w:r>
      <w:r w:rsidR="00470D26" w:rsidRPr="00446AF5">
        <w:rPr>
          <w:rFonts w:ascii="Century Gothic" w:hAnsi="Century Gothic"/>
          <w:b/>
          <w:sz w:val="22"/>
          <w:szCs w:val="22"/>
        </w:rPr>
        <w:t xml:space="preserve"> conceptual framework for Governmental Public Health in Oregon.</w:t>
      </w:r>
      <w:r w:rsidR="00470D26" w:rsidRPr="00446AF5">
        <w:rPr>
          <w:rFonts w:ascii="Century Gothic" w:hAnsi="Century Gothic"/>
          <w:sz w:val="22"/>
          <w:szCs w:val="22"/>
        </w:rPr>
        <w:t xml:space="preserve">  This framework will determine the foundational capabilities and programs that are present at every health department so that every Oregonian can be assured public health is </w:t>
      </w:r>
      <w:r w:rsidR="00470D26" w:rsidRPr="00446AF5">
        <w:rPr>
          <w:rFonts w:ascii="Century Gothic" w:hAnsi="Century Gothic" w:cs="Lucida Grande"/>
          <w:color w:val="000000"/>
          <w:sz w:val="22"/>
          <w:szCs w:val="22"/>
        </w:rPr>
        <w:t xml:space="preserve">providing them with the services that are essential in all communities. </w:t>
      </w:r>
    </w:p>
    <w:p w14:paraId="0471F83E" w14:textId="77777777" w:rsidR="00470D26" w:rsidRPr="00446AF5" w:rsidRDefault="00470D26" w:rsidP="00470D26">
      <w:pPr>
        <w:rPr>
          <w:rFonts w:ascii="Century Gothic" w:hAnsi="Century Gothic"/>
          <w:sz w:val="22"/>
          <w:szCs w:val="22"/>
        </w:rPr>
      </w:pPr>
    </w:p>
    <w:p w14:paraId="234D0345" w14:textId="77777777" w:rsidR="00470D26" w:rsidRPr="00446AF5" w:rsidRDefault="00470D26" w:rsidP="00470D26">
      <w:pPr>
        <w:rPr>
          <w:rFonts w:ascii="Century Gothic" w:hAnsi="Century Gothic"/>
          <w:sz w:val="22"/>
          <w:szCs w:val="22"/>
        </w:rPr>
      </w:pPr>
      <w:r w:rsidRPr="00446AF5">
        <w:rPr>
          <w:rFonts w:ascii="Century Gothic" w:hAnsi="Century Gothic"/>
          <w:sz w:val="22"/>
          <w:szCs w:val="22"/>
        </w:rPr>
        <w:t xml:space="preserve">An modernized public health system requires the flexibility to respond to new health challenges resulting from emerging infectious diseases, and aging population and changing chronic illnesses.  This focus on capabilities and programs will ensure that all Oregonians have a local health department with the skills and services best needed to serve their community. </w:t>
      </w:r>
    </w:p>
    <w:p w14:paraId="3BBE1CA1" w14:textId="77777777" w:rsidR="00470D26" w:rsidRPr="00446AF5" w:rsidRDefault="00470D26" w:rsidP="00470D26">
      <w:pPr>
        <w:rPr>
          <w:rFonts w:ascii="Century Gothic" w:hAnsi="Century Gothic"/>
          <w:sz w:val="22"/>
          <w:szCs w:val="22"/>
        </w:rPr>
      </w:pPr>
    </w:p>
    <w:p w14:paraId="075D311F" w14:textId="1C57F43D" w:rsidR="00470D26" w:rsidRPr="00446AF5" w:rsidRDefault="00470D26" w:rsidP="00470D26">
      <w:pPr>
        <w:rPr>
          <w:rFonts w:ascii="Century Gothic" w:hAnsi="Century Gothic"/>
          <w:sz w:val="22"/>
          <w:szCs w:val="22"/>
        </w:rPr>
      </w:pPr>
      <w:r w:rsidRPr="00446AF5">
        <w:rPr>
          <w:rFonts w:ascii="Century Gothic" w:hAnsi="Century Gothic"/>
          <w:sz w:val="22"/>
          <w:szCs w:val="22"/>
        </w:rPr>
        <w:t xml:space="preserve">CLHO </w:t>
      </w:r>
      <w:r w:rsidR="00672E6D" w:rsidRPr="00446AF5">
        <w:rPr>
          <w:rFonts w:ascii="Century Gothic" w:hAnsi="Century Gothic"/>
          <w:sz w:val="22"/>
          <w:szCs w:val="22"/>
        </w:rPr>
        <w:t xml:space="preserve">worked closely with the Task Force on the Future of Public Health and, in addition to supporting the recommendations created by the Task Force, we recommend: </w:t>
      </w:r>
    </w:p>
    <w:p w14:paraId="1D322391" w14:textId="77777777" w:rsidR="00470D26" w:rsidRPr="00446AF5" w:rsidRDefault="00470D26" w:rsidP="00470D26">
      <w:pPr>
        <w:rPr>
          <w:rFonts w:ascii="Century Gothic" w:hAnsi="Century Gothic"/>
          <w:sz w:val="22"/>
          <w:szCs w:val="22"/>
        </w:rPr>
      </w:pPr>
    </w:p>
    <w:p w14:paraId="278B3916" w14:textId="77777777" w:rsidR="00470D26" w:rsidRPr="00446AF5" w:rsidRDefault="00470D26" w:rsidP="00470D26">
      <w:pPr>
        <w:pStyle w:val="ListParagraph"/>
        <w:numPr>
          <w:ilvl w:val="0"/>
          <w:numId w:val="6"/>
        </w:numPr>
        <w:rPr>
          <w:rFonts w:ascii="Century Gothic" w:hAnsi="Century Gothic"/>
          <w:sz w:val="22"/>
          <w:szCs w:val="22"/>
        </w:rPr>
      </w:pPr>
      <w:r w:rsidRPr="00446AF5">
        <w:rPr>
          <w:rFonts w:ascii="Century Gothic" w:hAnsi="Century Gothic"/>
          <w:sz w:val="22"/>
          <w:szCs w:val="22"/>
        </w:rPr>
        <w:t>Adopting the Foundational Capabilities and Programs into statute with state funding to support implementation and capacity; and</w:t>
      </w:r>
    </w:p>
    <w:p w14:paraId="2319B871" w14:textId="77777777" w:rsidR="00470D26" w:rsidRPr="00446AF5" w:rsidRDefault="00470D26" w:rsidP="00470D26">
      <w:pPr>
        <w:pStyle w:val="ListParagraph"/>
        <w:numPr>
          <w:ilvl w:val="0"/>
          <w:numId w:val="6"/>
        </w:numPr>
        <w:rPr>
          <w:rFonts w:ascii="Century Gothic" w:hAnsi="Century Gothic"/>
          <w:sz w:val="22"/>
          <w:szCs w:val="22"/>
        </w:rPr>
      </w:pPr>
      <w:r w:rsidRPr="00446AF5">
        <w:rPr>
          <w:rFonts w:ascii="Century Gothic" w:hAnsi="Century Gothic"/>
          <w:sz w:val="22"/>
          <w:szCs w:val="22"/>
        </w:rPr>
        <w:t>Creating a timeline of four years for implementing the adoption of the foundational capabilities and programs; and</w:t>
      </w:r>
    </w:p>
    <w:p w14:paraId="2CC58A6A" w14:textId="77777777" w:rsidR="00470D26" w:rsidRPr="00446AF5" w:rsidRDefault="00470D26" w:rsidP="00470D26">
      <w:pPr>
        <w:pStyle w:val="ListParagraph"/>
        <w:numPr>
          <w:ilvl w:val="0"/>
          <w:numId w:val="6"/>
        </w:numPr>
        <w:rPr>
          <w:rFonts w:ascii="Century Gothic" w:hAnsi="Century Gothic"/>
          <w:sz w:val="22"/>
          <w:szCs w:val="22"/>
        </w:rPr>
      </w:pPr>
      <w:r w:rsidRPr="00446AF5">
        <w:rPr>
          <w:rFonts w:ascii="Century Gothic" w:hAnsi="Century Gothic"/>
          <w:sz w:val="22"/>
          <w:szCs w:val="22"/>
        </w:rPr>
        <w:t>Ensuring State and Local health officials share responsibility for implementing a fully coordinated public health system.</w:t>
      </w:r>
    </w:p>
    <w:p w14:paraId="7DBD461F" w14:textId="77777777" w:rsidR="00705D37" w:rsidRPr="00446AF5" w:rsidRDefault="00705D37" w:rsidP="00705D37">
      <w:pPr>
        <w:rPr>
          <w:rFonts w:ascii="Century Gothic" w:hAnsi="Century Gothic"/>
          <w:sz w:val="22"/>
          <w:szCs w:val="22"/>
        </w:rPr>
      </w:pPr>
    </w:p>
    <w:p w14:paraId="235C57A5" w14:textId="79EC7529" w:rsidR="00AC74CE" w:rsidRPr="00446AF5" w:rsidRDefault="001D1034" w:rsidP="00705D37">
      <w:pPr>
        <w:rPr>
          <w:rFonts w:ascii="Century Gothic" w:hAnsi="Century Gothic"/>
          <w:sz w:val="22"/>
          <w:szCs w:val="22"/>
        </w:rPr>
      </w:pPr>
      <w:r w:rsidRPr="00446AF5">
        <w:rPr>
          <w:rFonts w:ascii="Century Gothic" w:hAnsi="Century Gothic"/>
          <w:sz w:val="22"/>
          <w:szCs w:val="22"/>
        </w:rPr>
        <w:t xml:space="preserve">Representative Greenlick and Senator Monnes Anderson </w:t>
      </w:r>
      <w:r w:rsidR="00306C85" w:rsidRPr="00446AF5">
        <w:rPr>
          <w:rFonts w:ascii="Century Gothic" w:hAnsi="Century Gothic"/>
          <w:sz w:val="22"/>
          <w:szCs w:val="22"/>
        </w:rPr>
        <w:t xml:space="preserve">both </w:t>
      </w:r>
      <w:r w:rsidRPr="00446AF5">
        <w:rPr>
          <w:rFonts w:ascii="Century Gothic" w:hAnsi="Century Gothic"/>
          <w:sz w:val="22"/>
          <w:szCs w:val="22"/>
        </w:rPr>
        <w:t>did a great job carrying the bills in their respective Chambers.</w:t>
      </w:r>
      <w:r w:rsidR="00AC74CE" w:rsidRPr="00446AF5">
        <w:rPr>
          <w:rFonts w:ascii="Century Gothic" w:hAnsi="Century Gothic"/>
          <w:sz w:val="22"/>
          <w:szCs w:val="22"/>
        </w:rPr>
        <w:t xml:space="preserve"> </w:t>
      </w:r>
      <w:r w:rsidR="00306C85" w:rsidRPr="00446AF5">
        <w:rPr>
          <w:rFonts w:ascii="Century Gothic" w:hAnsi="Century Gothic"/>
          <w:sz w:val="22"/>
          <w:szCs w:val="22"/>
        </w:rPr>
        <w:t>They both focused on the importance of this bill when speaking to</w:t>
      </w:r>
      <w:r w:rsidR="00AC74CE" w:rsidRPr="00446AF5">
        <w:rPr>
          <w:rFonts w:ascii="Century Gothic" w:hAnsi="Century Gothic"/>
          <w:sz w:val="22"/>
          <w:szCs w:val="22"/>
        </w:rPr>
        <w:t xml:space="preserve"> their colleagues. </w:t>
      </w:r>
    </w:p>
    <w:p w14:paraId="5EEC5F0D" w14:textId="77777777" w:rsidR="00AC74CE" w:rsidRPr="00446AF5" w:rsidRDefault="00AC74CE" w:rsidP="00705D37">
      <w:pPr>
        <w:rPr>
          <w:rFonts w:ascii="Century Gothic" w:hAnsi="Century Gothic"/>
          <w:sz w:val="22"/>
          <w:szCs w:val="22"/>
        </w:rPr>
      </w:pPr>
    </w:p>
    <w:p w14:paraId="3DEAEEAD" w14:textId="091A0FFA" w:rsidR="001D1034" w:rsidRPr="00446AF5" w:rsidRDefault="00AC74CE" w:rsidP="00705D37">
      <w:pPr>
        <w:rPr>
          <w:rFonts w:ascii="Century Gothic" w:hAnsi="Century Gothic"/>
          <w:sz w:val="22"/>
          <w:szCs w:val="22"/>
        </w:rPr>
      </w:pPr>
      <w:r w:rsidRPr="00446AF5">
        <w:rPr>
          <w:rFonts w:ascii="Century Gothic" w:hAnsi="Century Gothic"/>
          <w:sz w:val="22"/>
          <w:szCs w:val="22"/>
        </w:rPr>
        <w:t>The bill passed the House 54-5 and the Senate 18-10</w:t>
      </w:r>
      <w:r w:rsidR="00697137">
        <w:rPr>
          <w:rFonts w:ascii="Century Gothic" w:hAnsi="Century Gothic"/>
          <w:sz w:val="22"/>
          <w:szCs w:val="22"/>
        </w:rPr>
        <w:t xml:space="preserve"> and was signed into law by the Governor on XX</w:t>
      </w:r>
      <w:r w:rsidRPr="00446AF5">
        <w:rPr>
          <w:rFonts w:ascii="Century Gothic" w:hAnsi="Century Gothic"/>
          <w:sz w:val="22"/>
          <w:szCs w:val="22"/>
        </w:rPr>
        <w:t xml:space="preserve">. </w:t>
      </w:r>
    </w:p>
    <w:p w14:paraId="457F74E7" w14:textId="77777777" w:rsidR="00C64D36" w:rsidRPr="00446AF5" w:rsidRDefault="00C64D36" w:rsidP="00705D37">
      <w:pPr>
        <w:rPr>
          <w:rFonts w:ascii="Century Gothic" w:hAnsi="Century Gothic"/>
          <w:sz w:val="22"/>
          <w:szCs w:val="22"/>
        </w:rPr>
      </w:pPr>
    </w:p>
    <w:p w14:paraId="45B4AB31" w14:textId="121FD419" w:rsidR="00C64D36" w:rsidRPr="00446AF5" w:rsidRDefault="00C64D36" w:rsidP="00705D37">
      <w:pPr>
        <w:rPr>
          <w:rFonts w:ascii="Century Gothic" w:hAnsi="Century Gothic"/>
          <w:sz w:val="22"/>
          <w:szCs w:val="22"/>
        </w:rPr>
      </w:pPr>
      <w:r w:rsidRPr="00446AF5">
        <w:rPr>
          <w:rFonts w:ascii="Century Gothic" w:hAnsi="Century Gothic"/>
          <w:sz w:val="22"/>
          <w:szCs w:val="22"/>
        </w:rPr>
        <w:t xml:space="preserve">Now the real work begins over the next two years to develop a plan, and funding request to move forward this new framework for state and local public health. </w:t>
      </w:r>
    </w:p>
    <w:p w14:paraId="18D694A5" w14:textId="740F59DA" w:rsidR="00BF6E77" w:rsidRPr="00446AF5" w:rsidRDefault="00E0692B" w:rsidP="006B1487">
      <w:pPr>
        <w:pStyle w:val="Heading1"/>
        <w:rPr>
          <w:rFonts w:ascii="Century Gothic" w:hAnsi="Century Gothic"/>
          <w:sz w:val="24"/>
          <w:szCs w:val="24"/>
        </w:rPr>
      </w:pPr>
      <w:bookmarkStart w:id="6" w:name="_Toc297382189"/>
      <w:bookmarkStart w:id="7" w:name="_Toc298580297"/>
      <w:r w:rsidRPr="00446AF5">
        <w:rPr>
          <w:rFonts w:ascii="Century Gothic" w:hAnsi="Century Gothic"/>
          <w:sz w:val="24"/>
          <w:szCs w:val="24"/>
        </w:rPr>
        <w:t>Budget Bills</w:t>
      </w:r>
      <w:bookmarkEnd w:id="6"/>
      <w:bookmarkEnd w:id="7"/>
    </w:p>
    <w:p w14:paraId="33837796" w14:textId="7C591EA2" w:rsidR="001D728C" w:rsidRPr="00446AF5" w:rsidRDefault="001D728C" w:rsidP="001D728C">
      <w:pPr>
        <w:rPr>
          <w:rFonts w:ascii="Century Gothic" w:hAnsi="Century Gothic"/>
          <w:sz w:val="22"/>
          <w:szCs w:val="22"/>
        </w:rPr>
      </w:pPr>
      <w:r w:rsidRPr="00446AF5">
        <w:rPr>
          <w:rFonts w:ascii="Century Gothic" w:hAnsi="Century Gothic"/>
          <w:sz w:val="22"/>
          <w:szCs w:val="22"/>
        </w:rPr>
        <w:t xml:space="preserve">The Co-Chairs of the Joint Ways and Means Committee, Senator Devlin and Representative Buckley, </w:t>
      </w:r>
      <w:r w:rsidR="00BC56A1" w:rsidRPr="00446AF5">
        <w:rPr>
          <w:rFonts w:ascii="Century Gothic" w:hAnsi="Century Gothic"/>
          <w:sz w:val="22"/>
          <w:szCs w:val="22"/>
        </w:rPr>
        <w:t xml:space="preserve">came into the their roles this session with a vision and a framework that they released well in advance of the start of legislative session.  The change in Governor did raise some early questions but they did not slow the legislature down.  The joint Ways and Means Committee held their usual road show in the middle of session to hear priorities from communities around the state. </w:t>
      </w:r>
    </w:p>
    <w:p w14:paraId="7B113C21" w14:textId="1454F66C" w:rsidR="00BF6E77" w:rsidRPr="00446AF5" w:rsidRDefault="00BF6E77" w:rsidP="006B1487">
      <w:pPr>
        <w:pStyle w:val="Heading2"/>
        <w:rPr>
          <w:rFonts w:ascii="Century Gothic" w:hAnsi="Century Gothic"/>
          <w:sz w:val="22"/>
          <w:szCs w:val="22"/>
        </w:rPr>
      </w:pPr>
      <w:bookmarkStart w:id="8" w:name="_Toc297382190"/>
      <w:bookmarkStart w:id="9" w:name="_Toc298580298"/>
      <w:r w:rsidRPr="00446AF5">
        <w:rPr>
          <w:rFonts w:ascii="Century Gothic" w:hAnsi="Century Gothic"/>
          <w:sz w:val="22"/>
          <w:szCs w:val="22"/>
        </w:rPr>
        <w:t>SB5526</w:t>
      </w:r>
      <w:r w:rsidR="00E0692B" w:rsidRPr="00446AF5">
        <w:rPr>
          <w:rFonts w:ascii="Century Gothic" w:hAnsi="Century Gothic"/>
          <w:sz w:val="22"/>
          <w:szCs w:val="22"/>
        </w:rPr>
        <w:t xml:space="preserve"> – Oregon Health Authority Budget</w:t>
      </w:r>
      <w:bookmarkEnd w:id="8"/>
      <w:bookmarkEnd w:id="9"/>
    </w:p>
    <w:p w14:paraId="7390554A" w14:textId="322640A3" w:rsidR="00672E6D" w:rsidRPr="00446AF5" w:rsidRDefault="00672E6D" w:rsidP="00672E6D">
      <w:pPr>
        <w:rPr>
          <w:rFonts w:ascii="Century Gothic" w:eastAsia="Times New Roman" w:hAnsi="Century Gothic" w:cs="Times New Roman"/>
          <w:sz w:val="22"/>
          <w:szCs w:val="22"/>
        </w:rPr>
      </w:pPr>
      <w:r w:rsidRPr="00446AF5">
        <w:rPr>
          <w:rFonts w:ascii="Century Gothic" w:eastAsia="Times New Roman" w:hAnsi="Century Gothic" w:cs="Times New Roman"/>
          <w:sz w:val="22"/>
          <w:szCs w:val="22"/>
        </w:rPr>
        <w:t xml:space="preserve">The Legislature approved a total Oregon Health Authority budget of $19.5 billion, including $2.1 billion General Fund, $11.3 million Lottery Funds, $5.8 billion Other Funds, $11.5 billion Federal Funds and 4,377 positions. The total funds budget is 9.9% higher than the 2013-15 budget, primarily the result of the expansion of health coverage under Medicaid, effective January 2014. The General Fund budget increases 9.2% over 2013-15. This budget also includes $122 million of Tobacco Master Settlement Agreement revenues, to fund the Oregon Health Plan, community mental health services, and tobacco prevention and cessation programs. </w:t>
      </w:r>
    </w:p>
    <w:p w14:paraId="0324F637" w14:textId="77777777" w:rsidR="00672E6D" w:rsidRPr="00446AF5" w:rsidRDefault="00672E6D" w:rsidP="00672E6D">
      <w:pPr>
        <w:rPr>
          <w:rFonts w:ascii="Century Gothic" w:hAnsi="Century Gothic"/>
          <w:sz w:val="22"/>
          <w:szCs w:val="22"/>
        </w:rPr>
      </w:pPr>
    </w:p>
    <w:p w14:paraId="3C06590C" w14:textId="5B6C4CC7" w:rsidR="00672E6D" w:rsidRPr="00446AF5" w:rsidRDefault="00672E6D" w:rsidP="00672E6D">
      <w:pPr>
        <w:rPr>
          <w:rFonts w:ascii="Century Gothic" w:hAnsi="Century Gothic"/>
          <w:sz w:val="22"/>
          <w:szCs w:val="22"/>
        </w:rPr>
      </w:pPr>
      <w:r w:rsidRPr="00446AF5">
        <w:rPr>
          <w:rFonts w:ascii="Century Gothic" w:hAnsi="Century Gothic"/>
          <w:sz w:val="22"/>
          <w:szCs w:val="22"/>
        </w:rPr>
        <w:t xml:space="preserve">The Public Health Division Budget includes: </w:t>
      </w:r>
    </w:p>
    <w:p w14:paraId="5A92FCA0" w14:textId="77777777" w:rsidR="00672E6D" w:rsidRPr="00446AF5" w:rsidRDefault="00672E6D" w:rsidP="00672E6D">
      <w:pPr>
        <w:rPr>
          <w:rFonts w:ascii="Century Gothic" w:hAnsi="Century Gothic"/>
          <w:sz w:val="22"/>
          <w:szCs w:val="22"/>
        </w:rPr>
      </w:pPr>
    </w:p>
    <w:p w14:paraId="1CAE5828" w14:textId="01F92AE3" w:rsidR="00F7504E" w:rsidRPr="00446AF5" w:rsidRDefault="00672E6D" w:rsidP="00446AF5">
      <w:pPr>
        <w:pStyle w:val="ListParagraph"/>
        <w:numPr>
          <w:ilvl w:val="0"/>
          <w:numId w:val="11"/>
        </w:numPr>
        <w:rPr>
          <w:rFonts w:ascii="Century Gothic" w:hAnsi="Century Gothic"/>
          <w:sz w:val="22"/>
          <w:szCs w:val="22"/>
        </w:rPr>
      </w:pPr>
      <w:r w:rsidRPr="00446AF5">
        <w:rPr>
          <w:rFonts w:ascii="Century Gothic" w:hAnsi="Century Gothic"/>
          <w:sz w:val="22"/>
          <w:szCs w:val="22"/>
        </w:rPr>
        <w:t>$1.525 CCare General Fund restored to continue current caseload in the program (the former-Governor’s budget reduced the CCare budget by $2.8 million General Fund);</w:t>
      </w:r>
    </w:p>
    <w:p w14:paraId="4DE804AB" w14:textId="4EEEE7A8" w:rsidR="00F7504E" w:rsidRPr="00446AF5" w:rsidRDefault="00672E6D" w:rsidP="00446AF5">
      <w:pPr>
        <w:pStyle w:val="ListParagraph"/>
        <w:numPr>
          <w:ilvl w:val="0"/>
          <w:numId w:val="11"/>
        </w:numPr>
        <w:rPr>
          <w:rFonts w:ascii="Century Gothic" w:hAnsi="Century Gothic"/>
          <w:sz w:val="22"/>
          <w:szCs w:val="22"/>
        </w:rPr>
      </w:pPr>
      <w:r w:rsidRPr="00446AF5">
        <w:rPr>
          <w:rFonts w:ascii="Century Gothic" w:hAnsi="Century Gothic"/>
          <w:sz w:val="22"/>
          <w:szCs w:val="22"/>
        </w:rPr>
        <w:t>$494,000 increase in forecast for tobacco revenues for a total of $15.6 million in Tobacco Use Reduction Account;</w:t>
      </w:r>
    </w:p>
    <w:p w14:paraId="623F72AD" w14:textId="3E3A03C8" w:rsidR="00F7504E" w:rsidRPr="00446AF5" w:rsidRDefault="00672E6D" w:rsidP="00446AF5">
      <w:pPr>
        <w:pStyle w:val="ListParagraph"/>
        <w:numPr>
          <w:ilvl w:val="0"/>
          <w:numId w:val="11"/>
        </w:numPr>
        <w:rPr>
          <w:rFonts w:ascii="Century Gothic" w:hAnsi="Century Gothic"/>
          <w:sz w:val="22"/>
          <w:szCs w:val="22"/>
        </w:rPr>
      </w:pPr>
      <w:r w:rsidRPr="00446AF5">
        <w:rPr>
          <w:rFonts w:ascii="Century Gothic" w:hAnsi="Century Gothic"/>
          <w:sz w:val="22"/>
          <w:szCs w:val="22"/>
        </w:rPr>
        <w:t xml:space="preserve">$4.12 million in Tobacco Master Settlement Agreement funding for tobacco prevention (restoring former-Governor’s budget reduction); </w:t>
      </w:r>
    </w:p>
    <w:p w14:paraId="28338DD7" w14:textId="52AFE1C7" w:rsidR="00F7504E" w:rsidRPr="00446AF5" w:rsidRDefault="00672E6D" w:rsidP="00446AF5">
      <w:pPr>
        <w:pStyle w:val="ListParagraph"/>
        <w:numPr>
          <w:ilvl w:val="0"/>
          <w:numId w:val="11"/>
        </w:numPr>
        <w:rPr>
          <w:rFonts w:ascii="Century Gothic" w:hAnsi="Century Gothic"/>
          <w:sz w:val="22"/>
          <w:szCs w:val="22"/>
        </w:rPr>
      </w:pPr>
      <w:r w:rsidRPr="00446AF5">
        <w:rPr>
          <w:rFonts w:ascii="Century Gothic" w:hAnsi="Century Gothic"/>
          <w:sz w:val="22"/>
          <w:szCs w:val="22"/>
        </w:rPr>
        <w:t xml:space="preserve">$500,000 for the planning and assessment work in HB 3100 – Public Health Modernization. </w:t>
      </w:r>
    </w:p>
    <w:p w14:paraId="05962442" w14:textId="40756C21" w:rsidR="00F7504E" w:rsidRPr="00446AF5" w:rsidRDefault="00672E6D" w:rsidP="00446AF5">
      <w:pPr>
        <w:pStyle w:val="ListParagraph"/>
        <w:numPr>
          <w:ilvl w:val="0"/>
          <w:numId w:val="11"/>
        </w:numPr>
        <w:rPr>
          <w:rFonts w:ascii="Century Gothic" w:hAnsi="Century Gothic"/>
          <w:sz w:val="22"/>
          <w:szCs w:val="22"/>
        </w:rPr>
      </w:pPr>
      <w:r w:rsidRPr="00446AF5">
        <w:rPr>
          <w:rFonts w:ascii="Century Gothic" w:hAnsi="Century Gothic"/>
          <w:sz w:val="22"/>
          <w:szCs w:val="22"/>
        </w:rPr>
        <w:t xml:space="preserve">$1 million in General Fund for emergency planning and response; </w:t>
      </w:r>
    </w:p>
    <w:p w14:paraId="305F275C" w14:textId="158D6174" w:rsidR="002011CA" w:rsidRPr="00446AF5" w:rsidRDefault="00672E6D" w:rsidP="00446AF5">
      <w:pPr>
        <w:pStyle w:val="ListParagraph"/>
        <w:numPr>
          <w:ilvl w:val="0"/>
          <w:numId w:val="11"/>
        </w:numPr>
        <w:rPr>
          <w:rFonts w:ascii="Century Gothic" w:hAnsi="Century Gothic"/>
          <w:sz w:val="22"/>
          <w:szCs w:val="22"/>
        </w:rPr>
      </w:pPr>
      <w:r w:rsidRPr="00446AF5">
        <w:rPr>
          <w:rFonts w:ascii="Century Gothic" w:hAnsi="Century Gothic"/>
          <w:sz w:val="22"/>
          <w:szCs w:val="22"/>
        </w:rPr>
        <w:t>$5 million reduction in general fund backfilled with</w:t>
      </w:r>
      <w:r w:rsidR="00214785">
        <w:rPr>
          <w:rFonts w:ascii="Century Gothic" w:hAnsi="Century Gothic"/>
          <w:sz w:val="22"/>
          <w:szCs w:val="22"/>
        </w:rPr>
        <w:t xml:space="preserve"> </w:t>
      </w:r>
      <w:r w:rsidRPr="00446AF5">
        <w:rPr>
          <w:rFonts w:ascii="Century Gothic" w:hAnsi="Century Gothic"/>
          <w:sz w:val="22"/>
          <w:szCs w:val="22"/>
        </w:rPr>
        <w:t>Medical Marijuana licensing fees ending balance from the 13-15 biennium.</w:t>
      </w:r>
      <w:r w:rsidR="00214785">
        <w:rPr>
          <w:rFonts w:ascii="Century Gothic" w:hAnsi="Century Gothic"/>
          <w:sz w:val="22"/>
          <w:szCs w:val="22"/>
        </w:rPr>
        <w:t xml:space="preserve"> </w:t>
      </w:r>
      <w:r w:rsidRPr="00446AF5">
        <w:rPr>
          <w:rFonts w:ascii="Century Gothic" w:hAnsi="Century Gothic"/>
          <w:sz w:val="22"/>
          <w:szCs w:val="22"/>
        </w:rPr>
        <w:t xml:space="preserve"> </w:t>
      </w:r>
      <w:r w:rsidR="00214785">
        <w:rPr>
          <w:rFonts w:ascii="Century Gothic" w:hAnsi="Century Gothic"/>
          <w:sz w:val="22"/>
          <w:szCs w:val="22"/>
        </w:rPr>
        <w:t>In</w:t>
      </w:r>
      <w:r w:rsidRPr="00446AF5">
        <w:rPr>
          <w:rFonts w:ascii="Century Gothic" w:hAnsi="Century Gothic"/>
          <w:sz w:val="22"/>
          <w:szCs w:val="22"/>
        </w:rPr>
        <w:t xml:space="preserve"> </w:t>
      </w:r>
      <w:r w:rsidR="00214785">
        <w:rPr>
          <w:rFonts w:ascii="Century Gothic" w:hAnsi="Century Gothic"/>
          <w:sz w:val="22"/>
          <w:szCs w:val="22"/>
        </w:rPr>
        <w:t xml:space="preserve">the </w:t>
      </w:r>
      <w:r w:rsidRPr="00446AF5">
        <w:rPr>
          <w:rFonts w:ascii="Century Gothic" w:hAnsi="Century Gothic"/>
          <w:sz w:val="22"/>
          <w:szCs w:val="22"/>
        </w:rPr>
        <w:t>final budget report the fo</w:t>
      </w:r>
      <w:r w:rsidR="006013F9" w:rsidRPr="00446AF5">
        <w:rPr>
          <w:rFonts w:ascii="Century Gothic" w:hAnsi="Century Gothic"/>
          <w:sz w:val="22"/>
          <w:szCs w:val="22"/>
        </w:rPr>
        <w:t xml:space="preserve">llowing language was included indicating that the funds swap is for General Funds dedicated to State Support for Public Health, </w:t>
      </w:r>
      <w:r w:rsidR="006013F9" w:rsidRPr="00446AF5">
        <w:rPr>
          <w:rFonts w:ascii="Century Gothic" w:eastAsia="Times New Roman" w:hAnsi="Century Gothic" w:cs="Times New Roman"/>
          <w:sz w:val="22"/>
          <w:szCs w:val="22"/>
        </w:rPr>
        <w:t>“t</w:t>
      </w:r>
      <w:r w:rsidRPr="00446AF5">
        <w:rPr>
          <w:rFonts w:ascii="Century Gothic" w:eastAsia="Times New Roman" w:hAnsi="Century Gothic" w:cs="Times New Roman"/>
          <w:sz w:val="22"/>
          <w:szCs w:val="22"/>
        </w:rPr>
        <w:t>he Subcommittee expressed their expectation that this revenue source will be adequate to fund this program on an on-going basis. If that does not turn out to be the case, General Fund is intended to backfill this program, as well as other programs in Public Health where medical marijuana revenues have be</w:t>
      </w:r>
      <w:r w:rsidR="006013F9" w:rsidRPr="00446AF5">
        <w:rPr>
          <w:rFonts w:ascii="Century Gothic" w:eastAsia="Times New Roman" w:hAnsi="Century Gothic" w:cs="Times New Roman"/>
          <w:sz w:val="22"/>
          <w:szCs w:val="22"/>
        </w:rPr>
        <w:t xml:space="preserve">en used to replace General Fund.” </w:t>
      </w:r>
      <w:bookmarkStart w:id="10" w:name="_Toc297382191"/>
    </w:p>
    <w:p w14:paraId="6354819A" w14:textId="77777777" w:rsidR="002011CA" w:rsidRPr="00446AF5" w:rsidRDefault="002011CA" w:rsidP="002011CA">
      <w:pPr>
        <w:rPr>
          <w:rFonts w:ascii="Century Gothic" w:hAnsi="Century Gothic"/>
          <w:sz w:val="22"/>
          <w:szCs w:val="22"/>
        </w:rPr>
      </w:pPr>
    </w:p>
    <w:p w14:paraId="3D63B9D6" w14:textId="4192B055" w:rsidR="002011CA" w:rsidRPr="00446AF5" w:rsidRDefault="00BF6E77" w:rsidP="001D728C">
      <w:pPr>
        <w:pStyle w:val="Heading2"/>
        <w:rPr>
          <w:rFonts w:ascii="Century Gothic" w:hAnsi="Century Gothic"/>
          <w:sz w:val="22"/>
          <w:szCs w:val="22"/>
        </w:rPr>
      </w:pPr>
      <w:bookmarkStart w:id="11" w:name="_Toc298580299"/>
      <w:r w:rsidRPr="00446AF5">
        <w:rPr>
          <w:rFonts w:ascii="Century Gothic" w:hAnsi="Century Gothic"/>
          <w:sz w:val="22"/>
          <w:szCs w:val="22"/>
        </w:rPr>
        <w:t>HB5016</w:t>
      </w:r>
      <w:r w:rsidR="00E0692B" w:rsidRPr="00446AF5">
        <w:rPr>
          <w:rFonts w:ascii="Century Gothic" w:hAnsi="Century Gothic"/>
          <w:sz w:val="22"/>
          <w:szCs w:val="22"/>
        </w:rPr>
        <w:t xml:space="preserve"> – Oregon Department of Education</w:t>
      </w:r>
      <w:bookmarkEnd w:id="10"/>
      <w:bookmarkEnd w:id="11"/>
    </w:p>
    <w:p w14:paraId="6715E9B9" w14:textId="2BD6B840" w:rsidR="00EB3F38" w:rsidRPr="00446AF5" w:rsidRDefault="00EB3F38" w:rsidP="00EB3F38">
      <w:pPr>
        <w:rPr>
          <w:rFonts w:ascii="Century Gothic" w:hAnsi="Century Gothic"/>
          <w:sz w:val="22"/>
          <w:szCs w:val="22"/>
        </w:rPr>
      </w:pPr>
      <w:r w:rsidRPr="00446AF5">
        <w:rPr>
          <w:rFonts w:ascii="Century Gothic" w:hAnsi="Century Gothic"/>
          <w:sz w:val="22"/>
          <w:szCs w:val="22"/>
        </w:rPr>
        <w:t xml:space="preserve">The Legislature approved an Oregon Department of Education budget total funding level of $2,216,004,116 for the department, excluding the State School Fund, which is 6.5 percent more than the 2015-17 Legislatively Approved Budget as of December 2014. The primary reasons for this growth include increases in early learning, career and technical education (CTE), Science Technical Engineer and Math (STEM), and child nutrition programs. </w:t>
      </w:r>
    </w:p>
    <w:p w14:paraId="7341513E" w14:textId="77777777" w:rsidR="00EB3F38" w:rsidRPr="00446AF5" w:rsidRDefault="00EB3F38" w:rsidP="00EB3F38">
      <w:pPr>
        <w:rPr>
          <w:rFonts w:ascii="Century Gothic" w:hAnsi="Century Gothic"/>
          <w:sz w:val="22"/>
          <w:szCs w:val="22"/>
        </w:rPr>
      </w:pPr>
    </w:p>
    <w:p w14:paraId="109D8669" w14:textId="2CA8AAF9" w:rsidR="002011CA" w:rsidRPr="00E30010" w:rsidRDefault="002011CA" w:rsidP="00EB3F38">
      <w:pPr>
        <w:rPr>
          <w:rFonts w:ascii="Century Gothic" w:hAnsi="Century Gothic"/>
          <w:sz w:val="22"/>
          <w:szCs w:val="22"/>
        </w:rPr>
      </w:pPr>
      <w:r w:rsidRPr="00446AF5">
        <w:rPr>
          <w:rFonts w:ascii="Century Gothic" w:hAnsi="Century Gothic"/>
          <w:sz w:val="22"/>
          <w:szCs w:val="22"/>
        </w:rPr>
        <w:t xml:space="preserve">There were several areas of increase </w:t>
      </w:r>
      <w:r w:rsidR="00214785">
        <w:rPr>
          <w:rFonts w:ascii="Century Gothic" w:hAnsi="Century Gothic"/>
          <w:sz w:val="22"/>
          <w:szCs w:val="22"/>
        </w:rPr>
        <w:t>to</w:t>
      </w:r>
      <w:r w:rsidR="00214785" w:rsidRPr="00E30010">
        <w:rPr>
          <w:rFonts w:ascii="Century Gothic" w:hAnsi="Century Gothic"/>
          <w:sz w:val="22"/>
          <w:szCs w:val="22"/>
        </w:rPr>
        <w:t xml:space="preserve"> </w:t>
      </w:r>
      <w:r w:rsidRPr="00E30010">
        <w:rPr>
          <w:rFonts w:ascii="Century Gothic" w:hAnsi="Century Gothic"/>
          <w:sz w:val="22"/>
          <w:szCs w:val="22"/>
        </w:rPr>
        <w:t xml:space="preserve">note in the Early Learning Division within the Oregon Education Department.  The Legislative Fiscal Staff provided a list of the changes in “Grant in Aid” portions of the budget that list out the investments of the Subcommittee. </w:t>
      </w:r>
    </w:p>
    <w:p w14:paraId="063A2FAF" w14:textId="77777777" w:rsidR="002011CA" w:rsidRPr="00E30010" w:rsidRDefault="002011CA" w:rsidP="002011CA">
      <w:pPr>
        <w:rPr>
          <w:rFonts w:ascii="Century Gothic" w:hAnsi="Century Gothic"/>
          <w:sz w:val="22"/>
          <w:szCs w:val="22"/>
        </w:rPr>
      </w:pPr>
    </w:p>
    <w:p w14:paraId="0143EF45" w14:textId="77777777" w:rsidR="002011CA" w:rsidRPr="00E30010" w:rsidRDefault="002011CA" w:rsidP="002011CA">
      <w:pPr>
        <w:rPr>
          <w:rFonts w:ascii="Century Gothic" w:hAnsi="Century Gothic"/>
          <w:sz w:val="22"/>
          <w:szCs w:val="22"/>
        </w:rPr>
      </w:pPr>
      <w:r w:rsidRPr="00E30010">
        <w:rPr>
          <w:rFonts w:ascii="Century Gothic" w:hAnsi="Century Gothic"/>
          <w:sz w:val="22"/>
          <w:szCs w:val="22"/>
        </w:rPr>
        <w:t xml:space="preserve">Here are Early Learning Division highlights: </w:t>
      </w:r>
    </w:p>
    <w:p w14:paraId="263EE15E" w14:textId="77777777" w:rsidR="002011CA" w:rsidRPr="00E30010" w:rsidRDefault="002011CA" w:rsidP="002011CA">
      <w:pPr>
        <w:pStyle w:val="ListParagraph"/>
        <w:numPr>
          <w:ilvl w:val="0"/>
          <w:numId w:val="8"/>
        </w:numPr>
        <w:rPr>
          <w:rFonts w:ascii="Century Gothic" w:hAnsi="Century Gothic"/>
          <w:sz w:val="22"/>
          <w:szCs w:val="22"/>
        </w:rPr>
      </w:pPr>
      <w:r w:rsidRPr="00E30010">
        <w:rPr>
          <w:rFonts w:ascii="Century Gothic" w:hAnsi="Century Gothic"/>
          <w:sz w:val="22"/>
          <w:szCs w:val="22"/>
        </w:rPr>
        <w:t xml:space="preserve">$4.5 million in PE ($4.12 million from Tobacco Master Settlement Agreement funds) </w:t>
      </w:r>
    </w:p>
    <w:p w14:paraId="55588893" w14:textId="77777777" w:rsidR="002011CA" w:rsidRPr="00E30010" w:rsidRDefault="002011CA" w:rsidP="002011CA">
      <w:pPr>
        <w:pStyle w:val="ListParagraph"/>
        <w:numPr>
          <w:ilvl w:val="0"/>
          <w:numId w:val="8"/>
        </w:numPr>
        <w:rPr>
          <w:rFonts w:ascii="Century Gothic" w:hAnsi="Century Gothic"/>
          <w:sz w:val="22"/>
          <w:szCs w:val="22"/>
        </w:rPr>
      </w:pPr>
      <w:r w:rsidRPr="00E30010">
        <w:rPr>
          <w:rFonts w:ascii="Century Gothic" w:hAnsi="Century Gothic"/>
          <w:sz w:val="22"/>
          <w:szCs w:val="22"/>
        </w:rPr>
        <w:t>$1.22 million in Farm to Schools</w:t>
      </w:r>
    </w:p>
    <w:p w14:paraId="407C41F0" w14:textId="77777777" w:rsidR="002011CA" w:rsidRPr="00E30010" w:rsidRDefault="002011CA" w:rsidP="002011CA">
      <w:pPr>
        <w:pStyle w:val="ListParagraph"/>
        <w:numPr>
          <w:ilvl w:val="0"/>
          <w:numId w:val="8"/>
        </w:numPr>
        <w:rPr>
          <w:rFonts w:ascii="Century Gothic" w:hAnsi="Century Gothic"/>
          <w:sz w:val="22"/>
          <w:szCs w:val="22"/>
        </w:rPr>
      </w:pPr>
      <w:r w:rsidRPr="00E30010">
        <w:rPr>
          <w:rFonts w:ascii="Century Gothic" w:hAnsi="Century Gothic"/>
          <w:sz w:val="22"/>
          <w:szCs w:val="22"/>
        </w:rPr>
        <w:t>$15 million in Early Learning Hubs ($10.3 million increase)</w:t>
      </w:r>
    </w:p>
    <w:p w14:paraId="72B4204F" w14:textId="0A0E1E25" w:rsidR="000C48EB" w:rsidRPr="00E30010" w:rsidRDefault="002011CA" w:rsidP="008F2B25">
      <w:pPr>
        <w:pStyle w:val="ListParagraph"/>
        <w:numPr>
          <w:ilvl w:val="0"/>
          <w:numId w:val="8"/>
        </w:numPr>
        <w:rPr>
          <w:rFonts w:ascii="Century Gothic" w:hAnsi="Century Gothic"/>
          <w:sz w:val="22"/>
          <w:szCs w:val="22"/>
        </w:rPr>
      </w:pPr>
      <w:r w:rsidRPr="00E30010">
        <w:rPr>
          <w:rFonts w:ascii="Century Gothic" w:hAnsi="Century Gothic"/>
          <w:sz w:val="22"/>
          <w:szCs w:val="22"/>
        </w:rPr>
        <w:t>$24 million in Health Families Oregon ($9.5 million increase)</w:t>
      </w:r>
    </w:p>
    <w:p w14:paraId="7E9893A0" w14:textId="00C285C6" w:rsidR="00D947CA" w:rsidRPr="00E30010" w:rsidRDefault="001408A7" w:rsidP="001D728C">
      <w:pPr>
        <w:pStyle w:val="Heading2"/>
        <w:rPr>
          <w:rFonts w:ascii="Century Gothic" w:hAnsi="Century Gothic"/>
          <w:sz w:val="22"/>
          <w:szCs w:val="22"/>
        </w:rPr>
      </w:pPr>
      <w:bookmarkStart w:id="12" w:name="_Toc297382192"/>
      <w:bookmarkStart w:id="13" w:name="_Toc298580300"/>
      <w:r w:rsidRPr="00E30010">
        <w:rPr>
          <w:rFonts w:ascii="Century Gothic" w:hAnsi="Century Gothic"/>
          <w:sz w:val="22"/>
          <w:szCs w:val="22"/>
        </w:rPr>
        <w:t>HB5039</w:t>
      </w:r>
      <w:r w:rsidR="00E0692B" w:rsidRPr="00E30010">
        <w:rPr>
          <w:rFonts w:ascii="Century Gothic" w:hAnsi="Century Gothic"/>
          <w:sz w:val="22"/>
          <w:szCs w:val="22"/>
        </w:rPr>
        <w:t xml:space="preserve"> – Tobacco Master Settlement Agreement</w:t>
      </w:r>
      <w:bookmarkEnd w:id="12"/>
      <w:bookmarkEnd w:id="13"/>
    </w:p>
    <w:p w14:paraId="7DDCCCD3" w14:textId="4B294F32" w:rsidR="00D947CA" w:rsidRPr="00E30010" w:rsidRDefault="00D947CA" w:rsidP="00D947CA">
      <w:pPr>
        <w:rPr>
          <w:rFonts w:ascii="Century Gothic" w:hAnsi="Century Gothic"/>
          <w:sz w:val="22"/>
          <w:szCs w:val="22"/>
        </w:rPr>
      </w:pPr>
      <w:r w:rsidRPr="00E30010">
        <w:rPr>
          <w:rFonts w:ascii="Century Gothic" w:hAnsi="Century Gothic"/>
          <w:sz w:val="22"/>
          <w:szCs w:val="22"/>
        </w:rPr>
        <w:t>SB 5539 is the bill that actually allocates the Tobacco Master Settlement Agreement funds. CLHO has been advocating for these funds to be dedicated in tobacco prevention as part of the TMSA Coalition for two biennia.  The TMSA Coalition was advocating for these funds to go to P</w:t>
      </w:r>
      <w:r w:rsidR="00CC70B3" w:rsidRPr="00E30010">
        <w:rPr>
          <w:rFonts w:ascii="Century Gothic" w:hAnsi="Century Gothic"/>
          <w:sz w:val="22"/>
          <w:szCs w:val="22"/>
        </w:rPr>
        <w:t xml:space="preserve">hysical </w:t>
      </w:r>
      <w:r w:rsidRPr="00E30010">
        <w:rPr>
          <w:rFonts w:ascii="Century Gothic" w:hAnsi="Century Gothic"/>
          <w:sz w:val="22"/>
          <w:szCs w:val="22"/>
        </w:rPr>
        <w:t>E</w:t>
      </w:r>
      <w:r w:rsidR="00CC70B3" w:rsidRPr="00E30010">
        <w:rPr>
          <w:rFonts w:ascii="Century Gothic" w:hAnsi="Century Gothic"/>
          <w:sz w:val="22"/>
          <w:szCs w:val="22"/>
        </w:rPr>
        <w:t>ducation grants</w:t>
      </w:r>
      <w:r w:rsidRPr="00E30010">
        <w:rPr>
          <w:rFonts w:ascii="Century Gothic" w:hAnsi="Century Gothic"/>
          <w:sz w:val="22"/>
          <w:szCs w:val="22"/>
        </w:rPr>
        <w:t xml:space="preserve">, Tobacco Prevention and Healthy Communities (Obesity prevention). </w:t>
      </w:r>
    </w:p>
    <w:p w14:paraId="1AAAAD98" w14:textId="77777777" w:rsidR="00D947CA" w:rsidRPr="00E30010" w:rsidRDefault="00D947CA" w:rsidP="00D947CA">
      <w:pPr>
        <w:rPr>
          <w:rFonts w:ascii="Century Gothic" w:hAnsi="Century Gothic"/>
          <w:sz w:val="22"/>
          <w:szCs w:val="22"/>
        </w:rPr>
      </w:pPr>
    </w:p>
    <w:p w14:paraId="4EC17415" w14:textId="7F3F1588" w:rsidR="00EC4E9E" w:rsidRPr="00E30010" w:rsidRDefault="00D947CA" w:rsidP="00E30010">
      <w:pPr>
        <w:pStyle w:val="ListParagraph"/>
        <w:numPr>
          <w:ilvl w:val="0"/>
          <w:numId w:val="10"/>
        </w:numPr>
        <w:rPr>
          <w:rFonts w:ascii="Century Gothic" w:eastAsia="Times New Roman" w:hAnsi="Century Gothic" w:cs="Times New Roman"/>
          <w:sz w:val="22"/>
          <w:szCs w:val="22"/>
        </w:rPr>
      </w:pPr>
      <w:r w:rsidRPr="00E30010">
        <w:rPr>
          <w:rFonts w:ascii="Century Gothic" w:eastAsia="Times New Roman" w:hAnsi="Century Gothic" w:cs="Times New Roman"/>
          <w:sz w:val="22"/>
          <w:szCs w:val="22"/>
        </w:rPr>
        <w:t>To the Oregon Health and Science University Bond Fund established under section 14, chapter 921, Oregon Laws 2001</w:t>
      </w:r>
      <w:r w:rsidR="00F7504E" w:rsidRPr="0051050B">
        <w:rPr>
          <w:rFonts w:ascii="Century Gothic" w:eastAsia="Times New Roman" w:hAnsi="Century Gothic" w:cs="Times New Roman"/>
          <w:sz w:val="22"/>
          <w:szCs w:val="22"/>
        </w:rPr>
        <w:t>............</w:t>
      </w:r>
      <w:r w:rsidRPr="00E30010">
        <w:rPr>
          <w:rFonts w:ascii="Century Gothic" w:eastAsia="Times New Roman" w:hAnsi="Century Gothic" w:cs="Times New Roman"/>
          <w:sz w:val="22"/>
          <w:szCs w:val="22"/>
        </w:rPr>
        <w:t xml:space="preserve">$ 30,909,888 </w:t>
      </w:r>
    </w:p>
    <w:p w14:paraId="533B8B45" w14:textId="4A5191C4" w:rsidR="00EC4E9E" w:rsidRPr="00E30010" w:rsidRDefault="00D947CA" w:rsidP="00E30010">
      <w:pPr>
        <w:pStyle w:val="ListParagraph"/>
        <w:numPr>
          <w:ilvl w:val="0"/>
          <w:numId w:val="10"/>
        </w:numPr>
        <w:rPr>
          <w:rFonts w:ascii="Century Gothic" w:eastAsia="Times New Roman" w:hAnsi="Century Gothic" w:cs="Times New Roman"/>
          <w:sz w:val="22"/>
          <w:szCs w:val="22"/>
        </w:rPr>
      </w:pPr>
      <w:r w:rsidRPr="00E30010">
        <w:rPr>
          <w:rFonts w:ascii="Century Gothic" w:eastAsia="Times New Roman" w:hAnsi="Century Gothic" w:cs="Times New Roman"/>
          <w:sz w:val="22"/>
          <w:szCs w:val="22"/>
        </w:rPr>
        <w:t xml:space="preserve">To the Oregon Health Authority for expenses of the Oregon Health Plan............$101,760,000 </w:t>
      </w:r>
    </w:p>
    <w:p w14:paraId="3974CD61" w14:textId="7443F312" w:rsidR="00EC4E9E" w:rsidRPr="00E30010" w:rsidRDefault="00D947CA" w:rsidP="00E30010">
      <w:pPr>
        <w:pStyle w:val="ListParagraph"/>
        <w:numPr>
          <w:ilvl w:val="0"/>
          <w:numId w:val="10"/>
        </w:numPr>
        <w:rPr>
          <w:rFonts w:ascii="Century Gothic" w:eastAsia="Times New Roman" w:hAnsi="Century Gothic" w:cs="Times New Roman"/>
          <w:sz w:val="22"/>
          <w:szCs w:val="22"/>
        </w:rPr>
      </w:pPr>
      <w:r w:rsidRPr="00E30010">
        <w:rPr>
          <w:rFonts w:ascii="Century Gothic" w:eastAsia="Times New Roman" w:hAnsi="Century Gothic" w:cs="Times New Roman"/>
          <w:sz w:val="22"/>
          <w:szCs w:val="22"/>
        </w:rPr>
        <w:t xml:space="preserve">To the Oregon Health Authority for community mental health programs...........$16,000,000 </w:t>
      </w:r>
    </w:p>
    <w:p w14:paraId="1AE052EF" w14:textId="251E9A18" w:rsidR="00F7504E" w:rsidRPr="00E30010" w:rsidRDefault="00D947CA" w:rsidP="00E30010">
      <w:pPr>
        <w:pStyle w:val="ListParagraph"/>
        <w:numPr>
          <w:ilvl w:val="0"/>
          <w:numId w:val="10"/>
        </w:numPr>
        <w:rPr>
          <w:rFonts w:ascii="Century Gothic" w:eastAsia="Times New Roman" w:hAnsi="Century Gothic" w:cs="Times New Roman"/>
          <w:sz w:val="22"/>
          <w:szCs w:val="22"/>
        </w:rPr>
      </w:pPr>
      <w:r w:rsidRPr="00E30010">
        <w:rPr>
          <w:rFonts w:ascii="Century Gothic" w:eastAsia="Times New Roman" w:hAnsi="Century Gothic" w:cs="Times New Roman"/>
          <w:sz w:val="22"/>
          <w:szCs w:val="22"/>
        </w:rPr>
        <w:t>To the Department of Education for physical education related grants</w:t>
      </w:r>
      <w:r w:rsidR="00F7504E" w:rsidRPr="0051050B">
        <w:rPr>
          <w:rFonts w:ascii="Century Gothic" w:eastAsia="Times New Roman" w:hAnsi="Century Gothic" w:cs="Times New Roman"/>
          <w:sz w:val="22"/>
          <w:szCs w:val="22"/>
        </w:rPr>
        <w:t>............</w:t>
      </w:r>
      <w:r w:rsidRPr="00E30010">
        <w:rPr>
          <w:rFonts w:ascii="Century Gothic" w:eastAsia="Times New Roman" w:hAnsi="Century Gothic" w:cs="Times New Roman"/>
          <w:sz w:val="22"/>
          <w:szCs w:val="22"/>
        </w:rPr>
        <w:t xml:space="preserve">$ 4,120,000 </w:t>
      </w:r>
    </w:p>
    <w:p w14:paraId="090B320D" w14:textId="7F2BC862" w:rsidR="00D947CA" w:rsidRPr="00E30010" w:rsidRDefault="00D947CA" w:rsidP="00E30010">
      <w:pPr>
        <w:pStyle w:val="ListParagraph"/>
        <w:numPr>
          <w:ilvl w:val="0"/>
          <w:numId w:val="10"/>
        </w:numPr>
        <w:rPr>
          <w:rFonts w:ascii="Century Gothic" w:eastAsia="Times New Roman" w:hAnsi="Century Gothic" w:cs="Times New Roman"/>
          <w:sz w:val="22"/>
          <w:szCs w:val="22"/>
        </w:rPr>
      </w:pPr>
      <w:r w:rsidRPr="00E30010">
        <w:rPr>
          <w:rFonts w:ascii="Century Gothic" w:eastAsia="Times New Roman" w:hAnsi="Century Gothic" w:cs="Times New Roman"/>
          <w:sz w:val="22"/>
          <w:szCs w:val="22"/>
        </w:rPr>
        <w:t xml:space="preserve">To the Oregon Health Authority for tobacco prevention and cessation </w:t>
      </w:r>
      <w:r w:rsidR="00EC4E9E" w:rsidRPr="00E30010">
        <w:rPr>
          <w:rFonts w:ascii="Century Gothic" w:eastAsia="Times New Roman" w:hAnsi="Century Gothic" w:cs="Times New Roman"/>
          <w:sz w:val="22"/>
          <w:szCs w:val="22"/>
        </w:rPr>
        <w:t xml:space="preserve">  </w:t>
      </w:r>
      <w:r w:rsidRPr="00E30010">
        <w:rPr>
          <w:rFonts w:ascii="Century Gothic" w:eastAsia="Times New Roman" w:hAnsi="Century Gothic" w:cs="Times New Roman"/>
          <w:sz w:val="22"/>
          <w:szCs w:val="22"/>
        </w:rPr>
        <w:t>programs</w:t>
      </w:r>
      <w:r w:rsidR="00F7504E" w:rsidRPr="00E30010">
        <w:rPr>
          <w:rFonts w:ascii="Century Gothic" w:eastAsia="Times New Roman" w:hAnsi="Century Gothic" w:cs="Times New Roman"/>
          <w:sz w:val="22"/>
          <w:szCs w:val="22"/>
        </w:rPr>
        <w:t>............</w:t>
      </w:r>
      <w:r w:rsidRPr="00E30010">
        <w:rPr>
          <w:rFonts w:ascii="Century Gothic" w:eastAsia="Times New Roman" w:hAnsi="Century Gothic" w:cs="Times New Roman"/>
          <w:sz w:val="22"/>
          <w:szCs w:val="22"/>
        </w:rPr>
        <w:t>$ 4,120,000</w:t>
      </w:r>
    </w:p>
    <w:p w14:paraId="0D8BE21C" w14:textId="77777777" w:rsidR="00D947CA" w:rsidRPr="00E30010" w:rsidRDefault="00D947CA" w:rsidP="00D947CA">
      <w:pPr>
        <w:rPr>
          <w:rFonts w:ascii="Century Gothic" w:hAnsi="Century Gothic"/>
          <w:sz w:val="22"/>
          <w:szCs w:val="22"/>
        </w:rPr>
      </w:pPr>
    </w:p>
    <w:p w14:paraId="5F8BB48B" w14:textId="74FBEAF5" w:rsidR="00F16BA1" w:rsidRPr="00E30010" w:rsidRDefault="00D947CA" w:rsidP="00D947CA">
      <w:pPr>
        <w:rPr>
          <w:rFonts w:ascii="Century Gothic" w:hAnsi="Century Gothic"/>
          <w:sz w:val="22"/>
          <w:szCs w:val="22"/>
        </w:rPr>
      </w:pPr>
      <w:r w:rsidRPr="00E30010">
        <w:rPr>
          <w:rFonts w:ascii="Century Gothic" w:hAnsi="Century Gothic"/>
          <w:sz w:val="22"/>
          <w:szCs w:val="22"/>
        </w:rPr>
        <w:t xml:space="preserve">The Legislature </w:t>
      </w:r>
      <w:r w:rsidR="000C48EB" w:rsidRPr="00E30010">
        <w:rPr>
          <w:rFonts w:ascii="Century Gothic" w:hAnsi="Century Gothic"/>
          <w:sz w:val="22"/>
          <w:szCs w:val="22"/>
        </w:rPr>
        <w:t>appropriates these bills in the TMSA budget bill but the</w:t>
      </w:r>
      <w:r w:rsidR="008F2B25" w:rsidRPr="00E30010">
        <w:rPr>
          <w:rFonts w:ascii="Century Gothic" w:hAnsi="Century Gothic"/>
          <w:sz w:val="22"/>
          <w:szCs w:val="22"/>
        </w:rPr>
        <w:t>y</w:t>
      </w:r>
      <w:r w:rsidR="000C48EB" w:rsidRPr="00E30010">
        <w:rPr>
          <w:rFonts w:ascii="Century Gothic" w:hAnsi="Century Gothic"/>
          <w:sz w:val="22"/>
          <w:szCs w:val="22"/>
        </w:rPr>
        <w:t xml:space="preserve"> are expended in the Oregon Health Authority and Department of Education budget bills. </w:t>
      </w:r>
    </w:p>
    <w:p w14:paraId="0D9A304F" w14:textId="27E30DE3" w:rsidR="00F16BA1" w:rsidRPr="00E30010" w:rsidRDefault="00DC02CA" w:rsidP="00F16BA1">
      <w:pPr>
        <w:pStyle w:val="Heading2"/>
        <w:rPr>
          <w:rFonts w:ascii="Century Gothic" w:hAnsi="Century Gothic"/>
          <w:sz w:val="22"/>
          <w:szCs w:val="22"/>
        </w:rPr>
      </w:pPr>
      <w:bookmarkStart w:id="14" w:name="_Toc298580301"/>
      <w:r w:rsidRPr="00E30010">
        <w:rPr>
          <w:rFonts w:ascii="Century Gothic" w:hAnsi="Century Gothic"/>
          <w:sz w:val="22"/>
          <w:szCs w:val="22"/>
        </w:rPr>
        <w:t>SB</w:t>
      </w:r>
      <w:r w:rsidR="00F16BA1" w:rsidRPr="00E30010">
        <w:rPr>
          <w:rFonts w:ascii="Century Gothic" w:hAnsi="Century Gothic"/>
          <w:sz w:val="22"/>
          <w:szCs w:val="22"/>
        </w:rPr>
        <w:t>5507 – Budget Rebalance Bill</w:t>
      </w:r>
      <w:bookmarkEnd w:id="14"/>
    </w:p>
    <w:p w14:paraId="745DA60B" w14:textId="76CD8EEF" w:rsidR="006D6FEF" w:rsidRPr="00E30010" w:rsidRDefault="00F16BA1" w:rsidP="00F16BA1">
      <w:pPr>
        <w:rPr>
          <w:rFonts w:ascii="Century Gothic" w:hAnsi="Century Gothic"/>
          <w:sz w:val="22"/>
          <w:szCs w:val="22"/>
        </w:rPr>
      </w:pPr>
      <w:r w:rsidRPr="00E30010">
        <w:rPr>
          <w:rFonts w:ascii="Century Gothic" w:hAnsi="Century Gothic"/>
          <w:sz w:val="22"/>
          <w:szCs w:val="22"/>
        </w:rPr>
        <w:t xml:space="preserve">SB 5507 is the end of session budget rebalance bill.  This bill, along with SB501, the program change, make the final changes needed to balance the state budget, and any additional final statutory changes needed. </w:t>
      </w:r>
      <w:r w:rsidR="006D6FEF" w:rsidRPr="00E30010">
        <w:rPr>
          <w:rFonts w:ascii="Century Gothic" w:hAnsi="Century Gothic"/>
          <w:sz w:val="22"/>
          <w:szCs w:val="22"/>
        </w:rPr>
        <w:t xml:space="preserve"> SB5507 makes the final budget changes </w:t>
      </w:r>
      <w:r w:rsidR="00AB10B6" w:rsidRPr="00E30010">
        <w:rPr>
          <w:rFonts w:ascii="Century Gothic" w:hAnsi="Century Gothic"/>
          <w:sz w:val="22"/>
          <w:szCs w:val="22"/>
        </w:rPr>
        <w:t xml:space="preserve">adding more funds into a couple of areas of interest including: </w:t>
      </w:r>
    </w:p>
    <w:p w14:paraId="1A98E673" w14:textId="77777777" w:rsidR="00AB10B6" w:rsidRPr="00E30010" w:rsidRDefault="00AB10B6" w:rsidP="00F16BA1">
      <w:pPr>
        <w:rPr>
          <w:rFonts w:ascii="Century Gothic" w:hAnsi="Century Gothic"/>
          <w:sz w:val="22"/>
          <w:szCs w:val="22"/>
        </w:rPr>
      </w:pPr>
    </w:p>
    <w:p w14:paraId="46F159C4" w14:textId="0C381084" w:rsidR="00AB10B6" w:rsidRPr="00E30010" w:rsidRDefault="00AB10B6" w:rsidP="00AB10B6">
      <w:pPr>
        <w:pStyle w:val="ListParagraph"/>
        <w:numPr>
          <w:ilvl w:val="0"/>
          <w:numId w:val="9"/>
        </w:numPr>
        <w:rPr>
          <w:rFonts w:ascii="Century Gothic" w:hAnsi="Century Gothic"/>
          <w:sz w:val="22"/>
          <w:szCs w:val="22"/>
        </w:rPr>
      </w:pPr>
      <w:r w:rsidRPr="00E30010">
        <w:rPr>
          <w:rFonts w:ascii="Century Gothic" w:hAnsi="Century Gothic"/>
          <w:sz w:val="22"/>
          <w:szCs w:val="22"/>
        </w:rPr>
        <w:t>$10,000,000 for grants to Safety Net clinics</w:t>
      </w:r>
    </w:p>
    <w:p w14:paraId="148009A4" w14:textId="0EFE9952" w:rsidR="00AB10B6" w:rsidRPr="00E30010" w:rsidRDefault="00AB10B6" w:rsidP="00AB10B6">
      <w:pPr>
        <w:pStyle w:val="ListParagraph"/>
        <w:numPr>
          <w:ilvl w:val="0"/>
          <w:numId w:val="9"/>
        </w:numPr>
        <w:rPr>
          <w:rFonts w:ascii="Century Gothic" w:hAnsi="Century Gothic"/>
          <w:sz w:val="22"/>
          <w:szCs w:val="22"/>
        </w:rPr>
      </w:pPr>
      <w:r w:rsidRPr="00E30010">
        <w:rPr>
          <w:rFonts w:ascii="Century Gothic" w:hAnsi="Century Gothic"/>
          <w:sz w:val="22"/>
          <w:szCs w:val="22"/>
        </w:rPr>
        <w:t xml:space="preserve">$160,000 for Dental </w:t>
      </w:r>
    </w:p>
    <w:p w14:paraId="5DDE5BC3" w14:textId="7C162867" w:rsidR="00AB10B6" w:rsidRPr="00E30010" w:rsidRDefault="00AB10B6" w:rsidP="00AB10B6">
      <w:pPr>
        <w:pStyle w:val="ListParagraph"/>
        <w:numPr>
          <w:ilvl w:val="0"/>
          <w:numId w:val="9"/>
        </w:numPr>
        <w:rPr>
          <w:rFonts w:ascii="Century Gothic" w:hAnsi="Century Gothic"/>
          <w:sz w:val="22"/>
          <w:szCs w:val="22"/>
        </w:rPr>
      </w:pPr>
      <w:r w:rsidRPr="00E30010">
        <w:rPr>
          <w:rFonts w:ascii="Century Gothic" w:hAnsi="Century Gothic"/>
          <w:sz w:val="22"/>
          <w:szCs w:val="22"/>
        </w:rPr>
        <w:t>$200,000 for Senior Farm Direct Nutrition Program</w:t>
      </w:r>
    </w:p>
    <w:p w14:paraId="36733071" w14:textId="7918F0F3" w:rsidR="00AB10B6" w:rsidRPr="00E30010" w:rsidRDefault="00AB10B6" w:rsidP="00AB10B6">
      <w:pPr>
        <w:pStyle w:val="ListParagraph"/>
        <w:numPr>
          <w:ilvl w:val="0"/>
          <w:numId w:val="9"/>
        </w:numPr>
        <w:rPr>
          <w:rFonts w:ascii="Century Gothic" w:hAnsi="Century Gothic"/>
          <w:sz w:val="22"/>
          <w:szCs w:val="22"/>
        </w:rPr>
      </w:pPr>
      <w:r w:rsidRPr="00E30010">
        <w:rPr>
          <w:rFonts w:ascii="Century Gothic" w:hAnsi="Century Gothic"/>
          <w:sz w:val="22"/>
          <w:szCs w:val="22"/>
        </w:rPr>
        <w:t>$100,000 for WIC Nutrition Program</w:t>
      </w:r>
    </w:p>
    <w:p w14:paraId="4CE08C18" w14:textId="6164B38B" w:rsidR="00AB10B6" w:rsidRPr="00E30010" w:rsidRDefault="00AB10B6" w:rsidP="00AB10B6">
      <w:pPr>
        <w:pStyle w:val="ListParagraph"/>
        <w:numPr>
          <w:ilvl w:val="0"/>
          <w:numId w:val="9"/>
        </w:numPr>
        <w:rPr>
          <w:rFonts w:ascii="Century Gothic" w:hAnsi="Century Gothic"/>
          <w:sz w:val="22"/>
          <w:szCs w:val="22"/>
        </w:rPr>
      </w:pPr>
      <w:r w:rsidRPr="00E30010">
        <w:rPr>
          <w:rFonts w:ascii="Century Gothic" w:hAnsi="Century Gothic"/>
          <w:sz w:val="22"/>
          <w:szCs w:val="22"/>
        </w:rPr>
        <w:t>$600,000 for School-Based Health Centers ($300,000 for three new Centers and $300,000 for parity)</w:t>
      </w:r>
    </w:p>
    <w:p w14:paraId="76EF3C8B" w14:textId="77777777" w:rsidR="006D6FEF" w:rsidRPr="00E30010" w:rsidRDefault="006D6FEF" w:rsidP="00F16BA1">
      <w:pPr>
        <w:rPr>
          <w:rFonts w:ascii="Century Gothic" w:hAnsi="Century Gothic"/>
          <w:sz w:val="22"/>
          <w:szCs w:val="22"/>
        </w:rPr>
      </w:pPr>
    </w:p>
    <w:p w14:paraId="7F71AA84" w14:textId="47B7F2ED" w:rsidR="00F16BA1" w:rsidRPr="00E30010" w:rsidRDefault="00F16BA1" w:rsidP="00F16BA1">
      <w:pPr>
        <w:rPr>
          <w:rFonts w:ascii="Century Gothic" w:hAnsi="Century Gothic"/>
          <w:sz w:val="22"/>
          <w:szCs w:val="22"/>
        </w:rPr>
      </w:pPr>
      <w:r w:rsidRPr="00E30010">
        <w:rPr>
          <w:rFonts w:ascii="Century Gothic" w:hAnsi="Century Gothic"/>
          <w:sz w:val="22"/>
          <w:szCs w:val="22"/>
        </w:rPr>
        <w:t xml:space="preserve">SB 5507 </w:t>
      </w:r>
      <w:r w:rsidR="00FC5B4B" w:rsidRPr="00E30010">
        <w:rPr>
          <w:rFonts w:ascii="Century Gothic" w:hAnsi="Century Gothic"/>
          <w:sz w:val="22"/>
          <w:szCs w:val="22"/>
        </w:rPr>
        <w:t xml:space="preserve">includes two budget notes that are of interest for public health (see below): </w:t>
      </w:r>
    </w:p>
    <w:p w14:paraId="28761DA5" w14:textId="77777777" w:rsidR="00F16BA1" w:rsidRPr="00E30010" w:rsidRDefault="00F16BA1" w:rsidP="00993AEA">
      <w:pPr>
        <w:rPr>
          <w:rFonts w:ascii="Century Gothic" w:hAnsi="Century Gothic"/>
          <w:sz w:val="22"/>
          <w:szCs w:val="22"/>
        </w:rPr>
      </w:pPr>
    </w:p>
    <w:p w14:paraId="0871732B" w14:textId="2497E7A0" w:rsidR="00993AEA" w:rsidRPr="00993AEA" w:rsidRDefault="00FC5B4B" w:rsidP="00993AEA">
      <w:pPr>
        <w:spacing w:after="120"/>
        <w:rPr>
          <w:rFonts w:ascii="Century Gothic" w:hAnsi="Century Gothic"/>
          <w:sz w:val="22"/>
          <w:szCs w:val="22"/>
          <w:u w:val="single"/>
        </w:rPr>
      </w:pPr>
      <w:r w:rsidRPr="00993AEA">
        <w:rPr>
          <w:rFonts w:ascii="Century Gothic" w:hAnsi="Century Gothic"/>
          <w:b/>
          <w:sz w:val="22"/>
          <w:szCs w:val="22"/>
          <w:u w:val="single"/>
        </w:rPr>
        <w:t xml:space="preserve">Budget Note: </w:t>
      </w:r>
    </w:p>
    <w:p w14:paraId="798E6077" w14:textId="77777777" w:rsidR="00993AEA" w:rsidRDefault="00F16BA1" w:rsidP="00E30010">
      <w:pPr>
        <w:ind w:left="360"/>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 xml:space="preserve">Given the expanded Healthy Families Oregon home visiting funding added to the Early Learning Division’s budget, the Early Learning Division and the Oregon Health Authority are instructed to: </w:t>
      </w:r>
    </w:p>
    <w:p w14:paraId="4A70FFB8" w14:textId="77777777" w:rsidR="00993AEA" w:rsidRPr="00993AEA" w:rsidRDefault="00993AEA" w:rsidP="00993AEA">
      <w:pPr>
        <w:rPr>
          <w:rFonts w:ascii="Century Gothic" w:eastAsia="Times New Roman" w:hAnsi="Century Gothic" w:cs="Times New Roman"/>
          <w:sz w:val="22"/>
          <w:szCs w:val="22"/>
        </w:rPr>
      </w:pPr>
    </w:p>
    <w:p w14:paraId="43A8F869" w14:textId="77777777" w:rsidR="00993AEA" w:rsidRDefault="00F16BA1" w:rsidP="00993AEA">
      <w:pPr>
        <w:pStyle w:val="ListParagraph"/>
        <w:numPr>
          <w:ilvl w:val="0"/>
          <w:numId w:val="14"/>
        </w:num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Dev</w:t>
      </w:r>
      <w:r w:rsidR="00993AEA" w:rsidRPr="00993AEA">
        <w:rPr>
          <w:rFonts w:ascii="Century Gothic" w:eastAsia="Times New Roman" w:hAnsi="Century Gothic" w:cs="Times New Roman"/>
          <w:sz w:val="22"/>
          <w:szCs w:val="22"/>
        </w:rPr>
        <w:t>elo</w:t>
      </w:r>
      <w:r w:rsidRPr="00993AEA">
        <w:rPr>
          <w:rFonts w:ascii="Century Gothic" w:eastAsia="Times New Roman" w:hAnsi="Century Gothic" w:cs="Times New Roman"/>
          <w:sz w:val="22"/>
          <w:szCs w:val="22"/>
        </w:rPr>
        <w:t xml:space="preserve">p a set of outcome metrics connected to evidence of impact for consideration by the Early Learning Council and the Oregon Health Policy Board that any home based service that receives state dollars must meet in order to continue to receive state funds, effective July 1, 2016; </w:t>
      </w:r>
    </w:p>
    <w:p w14:paraId="1F603F81" w14:textId="77777777" w:rsidR="00993AEA" w:rsidRDefault="00993AEA" w:rsidP="00993AEA">
      <w:pPr>
        <w:pStyle w:val="ListParagraph"/>
        <w:rPr>
          <w:rFonts w:ascii="Century Gothic" w:eastAsia="Times New Roman" w:hAnsi="Century Gothic" w:cs="Times New Roman"/>
          <w:sz w:val="22"/>
          <w:szCs w:val="22"/>
        </w:rPr>
      </w:pPr>
    </w:p>
    <w:p w14:paraId="1A1F4DFF" w14:textId="77777777" w:rsidR="00993AEA" w:rsidRPr="00993AEA" w:rsidRDefault="00F16BA1" w:rsidP="00993AEA">
      <w:pPr>
        <w:pStyle w:val="ListParagraph"/>
        <w:numPr>
          <w:ilvl w:val="0"/>
          <w:numId w:val="14"/>
        </w:numPr>
        <w:rPr>
          <w:rFonts w:ascii="Century Gothic" w:eastAsia="Times New Roman" w:hAnsi="Century Gothic" w:cs="Times New Roman"/>
          <w:sz w:val="22"/>
          <w:szCs w:val="22"/>
        </w:rPr>
      </w:pPr>
      <w:r w:rsidRPr="00993AEA">
        <w:rPr>
          <w:rFonts w:ascii="Century Gothic" w:hAnsi="Century Gothic"/>
          <w:sz w:val="22"/>
          <w:szCs w:val="22"/>
        </w:rPr>
        <w:t xml:space="preserve">Develop a plan and timeline for integrating the state’s professional development system for early learning providers with the emerging professional development system for home visitors; and </w:t>
      </w:r>
    </w:p>
    <w:p w14:paraId="1C87C368" w14:textId="77777777" w:rsidR="00993AEA" w:rsidRPr="00993AEA" w:rsidRDefault="00993AEA" w:rsidP="00993AEA">
      <w:pPr>
        <w:pStyle w:val="ListParagraph"/>
        <w:rPr>
          <w:rFonts w:ascii="Century Gothic" w:eastAsia="Times New Roman" w:hAnsi="Century Gothic" w:cs="Times New Roman"/>
          <w:sz w:val="22"/>
          <w:szCs w:val="22"/>
        </w:rPr>
      </w:pPr>
    </w:p>
    <w:p w14:paraId="72622829" w14:textId="3DFFE1D7" w:rsidR="00F16BA1" w:rsidRPr="00993AEA" w:rsidRDefault="00F16BA1" w:rsidP="00993AEA">
      <w:pPr>
        <w:pStyle w:val="ListParagraph"/>
        <w:numPr>
          <w:ilvl w:val="0"/>
          <w:numId w:val="14"/>
        </w:numPr>
        <w:rPr>
          <w:rFonts w:ascii="Century Gothic" w:eastAsia="Times New Roman" w:hAnsi="Century Gothic" w:cs="Times New Roman"/>
          <w:sz w:val="22"/>
          <w:szCs w:val="22"/>
        </w:rPr>
      </w:pPr>
      <w:r w:rsidRPr="00993AEA">
        <w:rPr>
          <w:rFonts w:ascii="Century Gothic" w:hAnsi="Century Gothic"/>
          <w:sz w:val="22"/>
          <w:szCs w:val="22"/>
        </w:rPr>
        <w:t xml:space="preserve">Develop a common program agnostic screening tool to identify potential parent/child risk factors and intake form for families who are eligible for home visiting services and require implementation by state funded home visiting programs by July 1, 2016. </w:t>
      </w:r>
    </w:p>
    <w:p w14:paraId="31B236EB" w14:textId="77777777" w:rsidR="00993AEA" w:rsidRPr="00993AEA" w:rsidRDefault="00993AEA" w:rsidP="00F16BA1">
      <w:pPr>
        <w:ind w:left="1440"/>
        <w:rPr>
          <w:rFonts w:ascii="Century Gothic" w:eastAsia="Times New Roman" w:hAnsi="Century Gothic" w:cs="Times New Roman"/>
          <w:sz w:val="22"/>
          <w:szCs w:val="22"/>
        </w:rPr>
      </w:pPr>
    </w:p>
    <w:p w14:paraId="686F92AD" w14:textId="3AABB2CB" w:rsidR="00F16BA1" w:rsidRPr="00993AEA" w:rsidRDefault="00F16BA1" w:rsidP="00E30010">
      <w:pPr>
        <w:ind w:left="360"/>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The Early Learning Division and the Oregon Health Authority shall report on progress to the appropriate legislative committee</w:t>
      </w:r>
    </w:p>
    <w:p w14:paraId="565C1A4F" w14:textId="77777777" w:rsidR="00F16BA1" w:rsidRPr="00993AEA" w:rsidRDefault="00F16BA1" w:rsidP="00F16BA1">
      <w:pPr>
        <w:rPr>
          <w:rFonts w:ascii="Century Gothic" w:hAnsi="Century Gothic"/>
          <w:sz w:val="22"/>
          <w:szCs w:val="22"/>
        </w:rPr>
      </w:pPr>
    </w:p>
    <w:p w14:paraId="07AEA016" w14:textId="24B36861" w:rsidR="00FC5B4B" w:rsidRPr="00E30010" w:rsidRDefault="00FC5B4B" w:rsidP="00E30010">
      <w:pPr>
        <w:spacing w:after="120"/>
        <w:rPr>
          <w:rFonts w:ascii="Century Gothic" w:hAnsi="Century Gothic"/>
          <w:b/>
          <w:sz w:val="22"/>
          <w:szCs w:val="22"/>
          <w:u w:val="single"/>
        </w:rPr>
      </w:pPr>
      <w:r w:rsidRPr="00E30010">
        <w:rPr>
          <w:rFonts w:ascii="Century Gothic" w:hAnsi="Century Gothic"/>
          <w:b/>
          <w:sz w:val="22"/>
          <w:szCs w:val="22"/>
          <w:u w:val="single"/>
        </w:rPr>
        <w:t xml:space="preserve">Budget Note: </w:t>
      </w:r>
    </w:p>
    <w:p w14:paraId="5140240A" w14:textId="0E0FDA19" w:rsidR="00FC5B4B" w:rsidRPr="00993AEA" w:rsidRDefault="00FC5B4B" w:rsidP="00993AEA">
      <w:pPr>
        <w:ind w:left="360"/>
        <w:rPr>
          <w:rFonts w:ascii="Century Gothic" w:hAnsi="Century Gothic"/>
          <w:sz w:val="22"/>
          <w:szCs w:val="22"/>
        </w:rPr>
      </w:pPr>
      <w:r w:rsidRPr="00993AEA">
        <w:rPr>
          <w:rFonts w:ascii="Century Gothic" w:hAnsi="Century Gothic"/>
          <w:sz w:val="22"/>
          <w:szCs w:val="22"/>
        </w:rPr>
        <w:t>The Oregon Health Authority, in collaboration with the Department of Consumer and Business Services, shall work with the University of Oregon on the vaccination program for meningitis. The Department of Consumer and Business Services shall ensure timely insurance coverage is covering appropriate costs for those with insurance. The Oregon Health Authority shall, within existing emergency preparedness funds, work with the University of Oregon on funding appropriate costs. The Oregon Health Authority and the University of Oregon shall report to the appropriate legislative committee the final cost of the program including any additional funding needs by December 2015 and any recommendations to ensure effective and efficient response to any future events.</w:t>
      </w:r>
    </w:p>
    <w:p w14:paraId="2C35F512" w14:textId="77777777" w:rsidR="00AC6248" w:rsidRPr="00993AEA" w:rsidRDefault="00AC6248" w:rsidP="00AC6248">
      <w:pPr>
        <w:rPr>
          <w:rFonts w:ascii="Century Gothic" w:hAnsi="Century Gothic"/>
          <w:sz w:val="22"/>
          <w:szCs w:val="22"/>
        </w:rPr>
      </w:pPr>
    </w:p>
    <w:p w14:paraId="2D077E9E" w14:textId="2BE2139F" w:rsidR="00AC6248" w:rsidRPr="00E30010" w:rsidRDefault="00AB10B6" w:rsidP="00E30010">
      <w:pPr>
        <w:spacing w:after="120"/>
        <w:rPr>
          <w:rFonts w:ascii="Century Gothic" w:hAnsi="Century Gothic"/>
          <w:b/>
          <w:sz w:val="22"/>
          <w:szCs w:val="22"/>
        </w:rPr>
      </w:pPr>
      <w:r w:rsidRPr="00E30010">
        <w:rPr>
          <w:rFonts w:ascii="Century Gothic" w:hAnsi="Century Gothic"/>
          <w:b/>
          <w:sz w:val="22"/>
          <w:szCs w:val="22"/>
        </w:rPr>
        <w:t xml:space="preserve">Here is more information on the budget changes to </w:t>
      </w:r>
      <w:r w:rsidR="00BC56A1" w:rsidRPr="00E30010">
        <w:rPr>
          <w:rFonts w:ascii="Century Gothic" w:hAnsi="Century Gothic"/>
          <w:b/>
          <w:sz w:val="22"/>
          <w:szCs w:val="22"/>
        </w:rPr>
        <w:t>OHA in HB 5507</w:t>
      </w:r>
      <w:r w:rsidRPr="00E30010">
        <w:rPr>
          <w:rFonts w:ascii="Century Gothic" w:hAnsi="Century Gothic"/>
          <w:b/>
          <w:sz w:val="22"/>
          <w:szCs w:val="22"/>
        </w:rPr>
        <w:t xml:space="preserve">: </w:t>
      </w:r>
    </w:p>
    <w:p w14:paraId="410498E1" w14:textId="10CAB9AA" w:rsidR="00AC6248" w:rsidRPr="00993AEA" w:rsidRDefault="00BC56A1" w:rsidP="00AC6248">
      <w:pPr>
        <w:rPr>
          <w:rFonts w:ascii="Century Gothic" w:eastAsia="Times New Roman" w:hAnsi="Century Gothic" w:cs="Times New Roman"/>
          <w:sz w:val="22"/>
          <w:szCs w:val="22"/>
        </w:rPr>
      </w:pPr>
      <w:r w:rsidRPr="00993AEA">
        <w:rPr>
          <w:rFonts w:ascii="Century Gothic" w:eastAsia="Times New Roman" w:hAnsi="Century Gothic" w:cs="Times New Roman"/>
          <w:b/>
          <w:i/>
          <w:sz w:val="22"/>
          <w:szCs w:val="22"/>
        </w:rPr>
        <w:t>Safety Net Capacity Grants</w:t>
      </w:r>
      <w:r w:rsidRPr="00993AEA">
        <w:rPr>
          <w:rFonts w:ascii="Century Gothic" w:eastAsia="Times New Roman" w:hAnsi="Century Gothic" w:cs="Times New Roman"/>
          <w:sz w:val="22"/>
          <w:szCs w:val="22"/>
        </w:rPr>
        <w:t xml:space="preserve"> -</w:t>
      </w:r>
      <w:r w:rsidR="00AC6248" w:rsidRPr="00993AEA">
        <w:rPr>
          <w:rFonts w:ascii="Century Gothic" w:eastAsia="Times New Roman" w:hAnsi="Century Gothic" w:cs="Times New Roman"/>
          <w:sz w:val="22"/>
          <w:szCs w:val="22"/>
        </w:rPr>
        <w:t xml:space="preserve"> $10,000,000 one-time General Fund resources to provide grants to safety net providers, through the Safety Net Capacity Grant Program. This program will provide grants to community health centers, including Federally Qualified Health Centers and Rural Health Centers, as well as School-Based Health Centers, with the goal of providing services for children not eligible for any current state program. </w:t>
      </w:r>
    </w:p>
    <w:p w14:paraId="3D13A830" w14:textId="77777777" w:rsidR="00AC6248" w:rsidRPr="00993AEA" w:rsidRDefault="00AC6248" w:rsidP="00AC6248">
      <w:pPr>
        <w:rPr>
          <w:rFonts w:ascii="Century Gothic" w:eastAsia="Times New Roman" w:hAnsi="Century Gothic" w:cs="Times New Roman"/>
          <w:sz w:val="22"/>
          <w:szCs w:val="22"/>
        </w:rPr>
      </w:pPr>
    </w:p>
    <w:p w14:paraId="58EAC140" w14:textId="6869C767" w:rsidR="00AC6248" w:rsidRPr="00993AEA" w:rsidRDefault="00AC6248" w:rsidP="00AC6248">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The agency will need to develop an application process for these competitive grants; develop a process to award the grants, including amounts to fund education and outreach to the target population; develop a process for clinics to report services rendered; provide reporting to the Legislature and stakeholders; and include a stakeholder engagement process to advise the program development and implementation.</w:t>
      </w:r>
    </w:p>
    <w:p w14:paraId="483B0632" w14:textId="77777777" w:rsidR="00AC6248" w:rsidRPr="00993AEA" w:rsidRDefault="00AC6248" w:rsidP="00AC6248">
      <w:pPr>
        <w:rPr>
          <w:rFonts w:ascii="Century Gothic" w:hAnsi="Century Gothic"/>
          <w:sz w:val="22"/>
          <w:szCs w:val="22"/>
        </w:rPr>
      </w:pPr>
    </w:p>
    <w:p w14:paraId="43276B34" w14:textId="4C416348" w:rsidR="00CE5291" w:rsidRPr="00993AEA" w:rsidRDefault="00BC56A1" w:rsidP="00AC6248">
      <w:pPr>
        <w:rPr>
          <w:rFonts w:ascii="Century Gothic" w:eastAsia="Times New Roman" w:hAnsi="Century Gothic" w:cs="Times New Roman"/>
          <w:sz w:val="22"/>
          <w:szCs w:val="22"/>
        </w:rPr>
      </w:pPr>
      <w:r w:rsidRPr="00993AEA">
        <w:rPr>
          <w:rFonts w:ascii="Century Gothic" w:eastAsia="Times New Roman" w:hAnsi="Century Gothic" w:cs="Times New Roman"/>
          <w:b/>
          <w:i/>
          <w:sz w:val="22"/>
          <w:szCs w:val="22"/>
        </w:rPr>
        <w:t>Dental Investments</w:t>
      </w:r>
      <w:r w:rsidRPr="00993AEA">
        <w:rPr>
          <w:rFonts w:ascii="Century Gothic" w:eastAsia="Times New Roman" w:hAnsi="Century Gothic" w:cs="Times New Roman"/>
          <w:sz w:val="22"/>
          <w:szCs w:val="22"/>
        </w:rPr>
        <w:t xml:space="preserve"> - </w:t>
      </w:r>
      <w:r w:rsidR="00AC6248" w:rsidRPr="00993AEA">
        <w:rPr>
          <w:rFonts w:ascii="Century Gothic" w:eastAsia="Times New Roman" w:hAnsi="Century Gothic" w:cs="Times New Roman"/>
          <w:sz w:val="22"/>
          <w:szCs w:val="22"/>
        </w:rPr>
        <w:t>The Subcommittee approved a one-time appropriation of $160,000 General Fund for OHA to contract with the Dental Lifeline Network, or other qualified organization, for development and operation of a Donated Dental Services program to benefit needy, disabled, aged, and medically</w:t>
      </w:r>
      <w:r w:rsidR="00AB10B6" w:rsidRPr="00993AEA">
        <w:rPr>
          <w:rFonts w:ascii="Century Gothic" w:eastAsia="Times New Roman" w:hAnsi="Century Gothic" w:cs="Times New Roman"/>
          <w:sz w:val="22"/>
          <w:szCs w:val="22"/>
        </w:rPr>
        <w:t xml:space="preserve"> </w:t>
      </w:r>
      <w:r w:rsidR="00AC6248" w:rsidRPr="00993AEA">
        <w:rPr>
          <w:rFonts w:ascii="Century Gothic" w:eastAsia="Times New Roman" w:hAnsi="Century Gothic" w:cs="Times New Roman"/>
          <w:sz w:val="22"/>
          <w:szCs w:val="22"/>
        </w:rPr>
        <w:t xml:space="preserve">compromised individuals. The program will establish a network of volunteer dentists, including dental specialists, to donate dental services to eligible individuals, establish a system to refer eligible individuals to appropriate volunteers, and develop and implement a public awareness campaign to educate individuals about the availability of the program. </w:t>
      </w:r>
    </w:p>
    <w:p w14:paraId="2C2EA062" w14:textId="77777777" w:rsidR="00CE5291" w:rsidRPr="00993AEA" w:rsidRDefault="00CE5291" w:rsidP="00AC6248">
      <w:pPr>
        <w:rPr>
          <w:rFonts w:ascii="Century Gothic" w:eastAsia="Times New Roman" w:hAnsi="Century Gothic" w:cs="Times New Roman"/>
          <w:sz w:val="22"/>
          <w:szCs w:val="22"/>
        </w:rPr>
      </w:pPr>
    </w:p>
    <w:p w14:paraId="1B177402" w14:textId="77777777" w:rsidR="00BC56A1" w:rsidRPr="00993AEA" w:rsidRDefault="00AC6248" w:rsidP="00AC6248">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 xml:space="preserve">The program will report to OHA at least annually the number of people served, procedures during the year, procedures completed, and the financial value of the services completed. The funding is part of a commitment to spending on senior programs that originated in the 2013 special session. </w:t>
      </w:r>
    </w:p>
    <w:p w14:paraId="034DFD5A" w14:textId="77777777" w:rsidR="00BC56A1" w:rsidRPr="00993AEA" w:rsidRDefault="00BC56A1" w:rsidP="00AC6248">
      <w:pPr>
        <w:rPr>
          <w:rFonts w:ascii="Century Gothic" w:eastAsia="Times New Roman" w:hAnsi="Century Gothic" w:cs="Times New Roman"/>
          <w:sz w:val="22"/>
          <w:szCs w:val="22"/>
        </w:rPr>
      </w:pPr>
    </w:p>
    <w:p w14:paraId="61FD2A8D" w14:textId="038AA7AA" w:rsidR="00BC56A1" w:rsidRPr="00993AEA" w:rsidRDefault="00BC56A1" w:rsidP="00AC6248">
      <w:pPr>
        <w:rPr>
          <w:rFonts w:ascii="Century Gothic" w:eastAsia="Times New Roman" w:hAnsi="Century Gothic" w:cs="Times New Roman"/>
          <w:sz w:val="22"/>
          <w:szCs w:val="22"/>
        </w:rPr>
      </w:pPr>
      <w:r w:rsidRPr="00993AEA">
        <w:rPr>
          <w:rFonts w:ascii="Century Gothic" w:eastAsia="Times New Roman" w:hAnsi="Century Gothic" w:cs="Times New Roman"/>
          <w:b/>
          <w:i/>
          <w:sz w:val="22"/>
          <w:szCs w:val="22"/>
        </w:rPr>
        <w:t>Farm Direct Investments</w:t>
      </w:r>
      <w:r w:rsidRPr="00993AEA">
        <w:rPr>
          <w:rFonts w:ascii="Century Gothic" w:eastAsia="Times New Roman" w:hAnsi="Century Gothic" w:cs="Times New Roman"/>
          <w:sz w:val="22"/>
          <w:szCs w:val="22"/>
        </w:rPr>
        <w:t xml:space="preserve"> - </w:t>
      </w:r>
      <w:r w:rsidR="00AC6248" w:rsidRPr="00993AEA">
        <w:rPr>
          <w:rFonts w:ascii="Century Gothic" w:eastAsia="Times New Roman" w:hAnsi="Century Gothic" w:cs="Times New Roman"/>
          <w:sz w:val="22"/>
          <w:szCs w:val="22"/>
        </w:rPr>
        <w:t xml:space="preserve">The Subcommittee approved $200,000 General Fund for providing fresh Oregon-grown fruits, vegetables, and cut herbs from farmers’ markets and roadside stands to eligible low-income seniors under the Senior Farm Direct Nutrition Program. Another $100,000 General Fund was added for the same purpose for eligible individuals through the Women, Infants and Children Program. Both these program enhancements are one-time. </w:t>
      </w:r>
    </w:p>
    <w:p w14:paraId="34C6DA0F" w14:textId="77777777" w:rsidR="00BC56A1" w:rsidRPr="00993AEA" w:rsidRDefault="00BC56A1" w:rsidP="00AC6248">
      <w:pPr>
        <w:rPr>
          <w:rFonts w:ascii="Century Gothic" w:eastAsia="Times New Roman" w:hAnsi="Century Gothic" w:cs="Times New Roman"/>
          <w:sz w:val="22"/>
          <w:szCs w:val="22"/>
        </w:rPr>
      </w:pPr>
    </w:p>
    <w:p w14:paraId="3CDBC84A" w14:textId="794EC473" w:rsidR="00AC6248" w:rsidRPr="00993AEA" w:rsidRDefault="00BC56A1" w:rsidP="00AC6248">
      <w:pPr>
        <w:rPr>
          <w:rFonts w:ascii="Century Gothic" w:eastAsia="Times New Roman" w:hAnsi="Century Gothic" w:cs="Times New Roman"/>
          <w:sz w:val="22"/>
          <w:szCs w:val="22"/>
        </w:rPr>
      </w:pPr>
      <w:r w:rsidRPr="00993AEA">
        <w:rPr>
          <w:rFonts w:ascii="Century Gothic" w:eastAsia="Times New Roman" w:hAnsi="Century Gothic" w:cs="Times New Roman"/>
          <w:b/>
          <w:i/>
          <w:sz w:val="22"/>
          <w:szCs w:val="22"/>
        </w:rPr>
        <w:t>School-Based Health Centers</w:t>
      </w:r>
      <w:r w:rsidRPr="00993AEA">
        <w:rPr>
          <w:rFonts w:ascii="Century Gothic" w:eastAsia="Times New Roman" w:hAnsi="Century Gothic" w:cs="Times New Roman"/>
          <w:sz w:val="22"/>
          <w:szCs w:val="22"/>
        </w:rPr>
        <w:t xml:space="preserve"> - </w:t>
      </w:r>
      <w:r w:rsidR="00AC6248" w:rsidRPr="00993AEA">
        <w:rPr>
          <w:rFonts w:ascii="Century Gothic" w:eastAsia="Times New Roman" w:hAnsi="Century Gothic" w:cs="Times New Roman"/>
          <w:sz w:val="22"/>
          <w:szCs w:val="22"/>
        </w:rPr>
        <w:t>General Fund was increased by $600,000 for school-based health centers. This funding will provide state grants of $300,000 to three new school</w:t>
      </w:r>
      <w:r w:rsidR="00AB10B6" w:rsidRPr="00993AEA">
        <w:rPr>
          <w:rFonts w:ascii="Century Gothic" w:eastAsia="Times New Roman" w:hAnsi="Century Gothic" w:cs="Times New Roman"/>
          <w:sz w:val="22"/>
          <w:szCs w:val="22"/>
        </w:rPr>
        <w:t xml:space="preserve"> </w:t>
      </w:r>
      <w:r w:rsidR="00AC6248" w:rsidRPr="00993AEA">
        <w:rPr>
          <w:rFonts w:ascii="Century Gothic" w:eastAsia="Times New Roman" w:hAnsi="Century Gothic" w:cs="Times New Roman"/>
          <w:sz w:val="22"/>
          <w:szCs w:val="22"/>
        </w:rPr>
        <w:t>based health centers that recently completed their planning processes. It will also allow the agency to provide $300,000 of funding to existing school-based health centers to bring all centers closer to parity in state funding</w:t>
      </w:r>
      <w:r w:rsidR="00AB10B6" w:rsidRPr="00993AEA">
        <w:rPr>
          <w:rFonts w:ascii="Century Gothic" w:eastAsia="Times New Roman" w:hAnsi="Century Gothic" w:cs="Times New Roman"/>
          <w:sz w:val="22"/>
          <w:szCs w:val="22"/>
        </w:rPr>
        <w:t xml:space="preserve">. </w:t>
      </w:r>
    </w:p>
    <w:p w14:paraId="42F3778E" w14:textId="77777777" w:rsidR="00BF6E77" w:rsidRPr="00993AEA" w:rsidRDefault="00BF6E77" w:rsidP="006B1487">
      <w:pPr>
        <w:pStyle w:val="Heading1"/>
        <w:rPr>
          <w:rFonts w:ascii="Century Gothic" w:hAnsi="Century Gothic"/>
          <w:sz w:val="22"/>
          <w:szCs w:val="22"/>
        </w:rPr>
      </w:pPr>
      <w:bookmarkStart w:id="15" w:name="_Toc298580302"/>
      <w:r w:rsidRPr="00993AEA">
        <w:rPr>
          <w:rFonts w:ascii="Century Gothic" w:hAnsi="Century Gothic"/>
          <w:sz w:val="22"/>
          <w:szCs w:val="22"/>
        </w:rPr>
        <w:t>Tobacco Bills</w:t>
      </w:r>
      <w:bookmarkEnd w:id="15"/>
    </w:p>
    <w:p w14:paraId="75DDAA4B" w14:textId="1995491B" w:rsidR="002652D7" w:rsidRPr="00993AEA" w:rsidRDefault="002652D7" w:rsidP="002652D7">
      <w:pPr>
        <w:rPr>
          <w:rFonts w:ascii="Century Gothic" w:hAnsi="Century Gothic"/>
          <w:sz w:val="22"/>
          <w:szCs w:val="22"/>
        </w:rPr>
      </w:pPr>
      <w:r w:rsidRPr="00993AEA">
        <w:rPr>
          <w:rFonts w:ascii="Century Gothic" w:hAnsi="Century Gothic"/>
          <w:sz w:val="22"/>
          <w:szCs w:val="22"/>
        </w:rPr>
        <w:t>While work on tobacco-control bills took up a major portion of the session only two tobacco-control bills actually passed.  Senator Steiner-Hayward introduced a suite of bills including tobacco retail licensure, changing the age for tobacco use from 18-21, and moving tobacco-control efforts to the Oregon Liquor Control Commission along with recreation</w:t>
      </w:r>
      <w:r w:rsidR="00D64600">
        <w:rPr>
          <w:rFonts w:ascii="Century Gothic" w:hAnsi="Century Gothic"/>
          <w:sz w:val="22"/>
          <w:szCs w:val="22"/>
        </w:rPr>
        <w:t>al</w:t>
      </w:r>
      <w:r w:rsidRPr="00993AEA">
        <w:rPr>
          <w:rFonts w:ascii="Century Gothic" w:hAnsi="Century Gothic"/>
          <w:sz w:val="22"/>
          <w:szCs w:val="22"/>
        </w:rPr>
        <w:t xml:space="preserve"> marijuana.  In addition to these efforts Senator Monnes Anderson introduced a bill to ban flavored tobacco </w:t>
      </w:r>
      <w:r w:rsidR="004A0E50" w:rsidRPr="00993AEA">
        <w:rPr>
          <w:rFonts w:ascii="Century Gothic" w:hAnsi="Century Gothic"/>
          <w:sz w:val="22"/>
          <w:szCs w:val="22"/>
        </w:rPr>
        <w:t>products</w:t>
      </w:r>
      <w:r w:rsidRPr="00993AEA">
        <w:rPr>
          <w:rFonts w:ascii="Century Gothic" w:hAnsi="Century Gothic"/>
          <w:sz w:val="22"/>
          <w:szCs w:val="22"/>
        </w:rPr>
        <w:t xml:space="preserve">. </w:t>
      </w:r>
    </w:p>
    <w:p w14:paraId="1C70B60B" w14:textId="77777777" w:rsidR="006A620C" w:rsidRPr="00993AEA" w:rsidRDefault="006A620C" w:rsidP="002652D7">
      <w:pPr>
        <w:rPr>
          <w:rFonts w:ascii="Century Gothic" w:hAnsi="Century Gothic"/>
          <w:sz w:val="22"/>
          <w:szCs w:val="22"/>
        </w:rPr>
      </w:pPr>
    </w:p>
    <w:p w14:paraId="66FDBDE6" w14:textId="621514A2" w:rsidR="00FC0124" w:rsidRPr="00993AEA" w:rsidRDefault="006A620C" w:rsidP="002652D7">
      <w:pPr>
        <w:rPr>
          <w:rFonts w:ascii="Century Gothic" w:hAnsi="Century Gothic"/>
          <w:sz w:val="22"/>
          <w:szCs w:val="22"/>
        </w:rPr>
      </w:pPr>
      <w:r w:rsidRPr="00993AEA">
        <w:rPr>
          <w:rFonts w:ascii="Century Gothic" w:hAnsi="Century Gothic"/>
          <w:sz w:val="22"/>
          <w:szCs w:val="22"/>
        </w:rPr>
        <w:t xml:space="preserve">Senator Monnes Anderson has expressed interest in working on a strong Tobacco and Inhalant Delivery System Retail License system for Oregon during the interim.  We believe that the 2016 session will also include </w:t>
      </w:r>
      <w:r w:rsidR="000F79DC" w:rsidRPr="00993AEA">
        <w:rPr>
          <w:rFonts w:ascii="Century Gothic" w:hAnsi="Century Gothic"/>
          <w:sz w:val="22"/>
          <w:szCs w:val="22"/>
        </w:rPr>
        <w:t xml:space="preserve">efforts to create an exemption to the Indoor Clean Air Act for Vapor Shops. </w:t>
      </w:r>
    </w:p>
    <w:p w14:paraId="113E6BB7" w14:textId="62575E3A" w:rsidR="00BF6E77" w:rsidRPr="00993AEA" w:rsidRDefault="00BF6E77" w:rsidP="006B1487">
      <w:pPr>
        <w:pStyle w:val="Heading2"/>
        <w:rPr>
          <w:rFonts w:ascii="Century Gothic" w:hAnsi="Century Gothic"/>
          <w:sz w:val="22"/>
          <w:szCs w:val="22"/>
        </w:rPr>
      </w:pPr>
      <w:bookmarkStart w:id="16" w:name="_Toc298580303"/>
      <w:r w:rsidRPr="00993AEA">
        <w:rPr>
          <w:rFonts w:ascii="Century Gothic" w:hAnsi="Century Gothic"/>
          <w:sz w:val="22"/>
          <w:szCs w:val="22"/>
        </w:rPr>
        <w:t>HB2546</w:t>
      </w:r>
      <w:r w:rsidR="00E0692B" w:rsidRPr="00993AEA">
        <w:rPr>
          <w:rFonts w:ascii="Century Gothic" w:hAnsi="Century Gothic"/>
          <w:sz w:val="22"/>
          <w:szCs w:val="22"/>
        </w:rPr>
        <w:t xml:space="preserve"> – E-Cigarette Regulation</w:t>
      </w:r>
      <w:bookmarkEnd w:id="16"/>
    </w:p>
    <w:p w14:paraId="1C976F98" w14:textId="24C91DCD" w:rsidR="00306C85" w:rsidRPr="00993AEA" w:rsidRDefault="00936D5C" w:rsidP="004A0E50">
      <w:pPr>
        <w:rPr>
          <w:rFonts w:ascii="Century Gothic" w:hAnsi="Century Gothic"/>
          <w:sz w:val="22"/>
          <w:szCs w:val="22"/>
        </w:rPr>
      </w:pPr>
      <w:r w:rsidRPr="00993AEA">
        <w:rPr>
          <w:rFonts w:ascii="Century Gothic" w:hAnsi="Century Gothic"/>
          <w:sz w:val="22"/>
          <w:szCs w:val="22"/>
        </w:rPr>
        <w:t xml:space="preserve">HB 2546 prohibits the sale and use of Inhalant Delivery Systems by children under 18.  In addition to these provisions it also works to </w:t>
      </w:r>
      <w:r w:rsidR="00306C85" w:rsidRPr="00993AEA">
        <w:rPr>
          <w:rFonts w:ascii="Century Gothic" w:hAnsi="Century Gothic"/>
          <w:sz w:val="22"/>
          <w:szCs w:val="22"/>
        </w:rPr>
        <w:t xml:space="preserve">protect children from accidental nicotine poisonings. </w:t>
      </w:r>
      <w:r w:rsidR="006A620C" w:rsidRPr="00993AEA">
        <w:rPr>
          <w:rFonts w:ascii="Century Gothic" w:hAnsi="Century Gothic"/>
          <w:sz w:val="22"/>
          <w:szCs w:val="22"/>
        </w:rPr>
        <w:t xml:space="preserve"> HB 2546 makes it unlawful to distribute, sell or allow to be sold e-cigarette products to children under 18, and distribute or allow to be sold e-cigarette products that are not packaged in child-resistant packaging. </w:t>
      </w:r>
    </w:p>
    <w:p w14:paraId="43CD8D3F" w14:textId="77777777" w:rsidR="006A620C" w:rsidRPr="00993AEA" w:rsidRDefault="006A620C" w:rsidP="004A0E50">
      <w:pPr>
        <w:rPr>
          <w:rFonts w:ascii="Century Gothic" w:hAnsi="Century Gothic"/>
          <w:sz w:val="22"/>
          <w:szCs w:val="22"/>
        </w:rPr>
      </w:pPr>
    </w:p>
    <w:p w14:paraId="7177C8D1" w14:textId="1B5FF350" w:rsidR="006C1885" w:rsidRDefault="006A620C" w:rsidP="00E30010">
      <w:pPr>
        <w:rPr>
          <w:rFonts w:ascii="Century Gothic" w:hAnsi="Century Gothic"/>
          <w:sz w:val="22"/>
          <w:szCs w:val="22"/>
        </w:rPr>
      </w:pPr>
      <w:r w:rsidRPr="00993AEA">
        <w:rPr>
          <w:rFonts w:ascii="Century Gothic" w:hAnsi="Century Gothic"/>
          <w:sz w:val="22"/>
          <w:szCs w:val="22"/>
        </w:rPr>
        <w:t xml:space="preserve">HB 2546 also treats e-cigarettes like other tobacco products </w:t>
      </w:r>
      <w:r w:rsidR="000F79DC" w:rsidRPr="00993AEA">
        <w:rPr>
          <w:rFonts w:ascii="Century Gothic" w:hAnsi="Century Gothic"/>
          <w:sz w:val="22"/>
          <w:szCs w:val="22"/>
        </w:rPr>
        <w:t>and includes</w:t>
      </w:r>
      <w:r w:rsidRPr="00993AEA">
        <w:rPr>
          <w:rFonts w:ascii="Century Gothic" w:hAnsi="Century Gothic"/>
          <w:sz w:val="22"/>
          <w:szCs w:val="22"/>
        </w:rPr>
        <w:t xml:space="preserve"> them in the Indoor Clean Air Act</w:t>
      </w:r>
      <w:r w:rsidR="000F79DC" w:rsidRPr="00993AEA">
        <w:rPr>
          <w:rFonts w:ascii="Century Gothic" w:hAnsi="Century Gothic"/>
          <w:sz w:val="22"/>
          <w:szCs w:val="22"/>
        </w:rPr>
        <w:t xml:space="preserve"> beginning January 1</w:t>
      </w:r>
      <w:r w:rsidR="000F79DC" w:rsidRPr="00993AEA">
        <w:rPr>
          <w:rFonts w:ascii="Century Gothic" w:hAnsi="Century Gothic"/>
          <w:sz w:val="22"/>
          <w:szCs w:val="22"/>
          <w:vertAlign w:val="superscript"/>
        </w:rPr>
        <w:t>st</w:t>
      </w:r>
      <w:r w:rsidR="000F79DC" w:rsidRPr="00993AEA">
        <w:rPr>
          <w:rFonts w:ascii="Century Gothic" w:hAnsi="Century Gothic"/>
          <w:sz w:val="22"/>
          <w:szCs w:val="22"/>
        </w:rPr>
        <w:t>, 2015</w:t>
      </w:r>
      <w:r w:rsidRPr="00993AEA">
        <w:rPr>
          <w:rFonts w:ascii="Century Gothic" w:hAnsi="Century Gothic"/>
          <w:sz w:val="22"/>
          <w:szCs w:val="22"/>
        </w:rPr>
        <w:t>.</w:t>
      </w:r>
      <w:r w:rsidR="000F79DC" w:rsidRPr="00993AEA">
        <w:rPr>
          <w:rFonts w:ascii="Century Gothic" w:hAnsi="Century Gothic"/>
          <w:sz w:val="22"/>
          <w:szCs w:val="22"/>
        </w:rPr>
        <w:t xml:space="preserve"> The other provisions o</w:t>
      </w:r>
      <w:r w:rsidR="00CE5291" w:rsidRPr="00993AEA">
        <w:rPr>
          <w:rFonts w:ascii="Century Gothic" w:hAnsi="Century Gothic"/>
          <w:sz w:val="22"/>
          <w:szCs w:val="22"/>
        </w:rPr>
        <w:t xml:space="preserve">f the bill will go into effect </w:t>
      </w:r>
      <w:r w:rsidR="000F79DC" w:rsidRPr="00993AEA">
        <w:rPr>
          <w:rFonts w:ascii="Century Gothic" w:hAnsi="Century Gothic"/>
          <w:sz w:val="22"/>
          <w:szCs w:val="22"/>
        </w:rPr>
        <w:t xml:space="preserve">upon passage. </w:t>
      </w:r>
      <w:r w:rsidRPr="00993AEA">
        <w:rPr>
          <w:rFonts w:ascii="Century Gothic" w:hAnsi="Century Gothic"/>
          <w:sz w:val="22"/>
          <w:szCs w:val="22"/>
        </w:rPr>
        <w:t xml:space="preserve"> </w:t>
      </w:r>
    </w:p>
    <w:p w14:paraId="53179140" w14:textId="69335604" w:rsidR="00705D37" w:rsidRPr="00E30010" w:rsidRDefault="00705D37" w:rsidP="00E30010">
      <w:pPr>
        <w:pStyle w:val="TOCHeading"/>
        <w:rPr>
          <w:rFonts w:ascii="Century Gothic" w:hAnsi="Century Gothic"/>
          <w:sz w:val="24"/>
          <w:szCs w:val="24"/>
        </w:rPr>
      </w:pPr>
      <w:r w:rsidRPr="00E30010">
        <w:rPr>
          <w:rFonts w:ascii="Century Gothic" w:hAnsi="Century Gothic"/>
          <w:sz w:val="24"/>
          <w:szCs w:val="24"/>
        </w:rPr>
        <w:t>Marijuana Bills</w:t>
      </w:r>
    </w:p>
    <w:p w14:paraId="2D1BDA62" w14:textId="528905BB" w:rsidR="00D21287" w:rsidRPr="00054071" w:rsidRDefault="00D21287" w:rsidP="00D21287">
      <w:pPr>
        <w:rPr>
          <w:rFonts w:ascii="Century Gothic" w:hAnsi="Century Gothic"/>
          <w:sz w:val="22"/>
          <w:szCs w:val="22"/>
        </w:rPr>
      </w:pPr>
      <w:r w:rsidRPr="00993AEA">
        <w:rPr>
          <w:rFonts w:ascii="Century Gothic" w:hAnsi="Century Gothic"/>
          <w:sz w:val="22"/>
          <w:szCs w:val="22"/>
        </w:rPr>
        <w:t xml:space="preserve">CLHO’s Legislative Committee prioritized children’s health in the marijuana </w:t>
      </w:r>
      <w:r w:rsidRPr="00054071">
        <w:rPr>
          <w:rFonts w:ascii="Century Gothic" w:hAnsi="Century Gothic"/>
          <w:sz w:val="22"/>
          <w:szCs w:val="22"/>
        </w:rPr>
        <w:t xml:space="preserve">discussion.  However, early on it was </w:t>
      </w:r>
      <w:r w:rsidR="00054071">
        <w:rPr>
          <w:rFonts w:ascii="Century Gothic" w:hAnsi="Century Gothic"/>
          <w:sz w:val="22"/>
          <w:szCs w:val="22"/>
        </w:rPr>
        <w:t>apparent</w:t>
      </w:r>
      <w:r w:rsidR="00054071" w:rsidRPr="00054071">
        <w:rPr>
          <w:rFonts w:ascii="Century Gothic" w:hAnsi="Century Gothic"/>
          <w:sz w:val="22"/>
          <w:szCs w:val="22"/>
        </w:rPr>
        <w:t xml:space="preserve"> </w:t>
      </w:r>
      <w:r w:rsidRPr="00054071">
        <w:rPr>
          <w:rFonts w:ascii="Century Gothic" w:hAnsi="Century Gothic"/>
          <w:sz w:val="22"/>
          <w:szCs w:val="22"/>
        </w:rPr>
        <w:t>that the issues the legislature would be working on were farther in the depths of marijuana regulation that CLHO had the band-with to dive</w:t>
      </w:r>
      <w:r w:rsidR="00054071">
        <w:rPr>
          <w:rFonts w:ascii="Century Gothic" w:hAnsi="Century Gothic"/>
          <w:sz w:val="22"/>
          <w:szCs w:val="22"/>
        </w:rPr>
        <w:t xml:space="preserve"> into</w:t>
      </w:r>
      <w:r w:rsidRPr="00054071">
        <w:rPr>
          <w:rFonts w:ascii="Century Gothic" w:hAnsi="Century Gothic"/>
          <w:sz w:val="22"/>
          <w:szCs w:val="22"/>
        </w:rPr>
        <w:t xml:space="preserve">.  After several meetings at the beginning of session it was clear that protecting children from accidental ingestion was an issue that there was consensus on and should be included in their final bill, or they would delay implementation of edibles so the Oregon Liquor Control Commission could have more time to work on this issue. </w:t>
      </w:r>
    </w:p>
    <w:p w14:paraId="4C220149" w14:textId="77777777" w:rsidR="008F2B25" w:rsidRPr="00054071" w:rsidRDefault="008F2B25" w:rsidP="008F2B25">
      <w:pPr>
        <w:pStyle w:val="Heading2"/>
        <w:rPr>
          <w:rFonts w:ascii="Century Gothic" w:hAnsi="Century Gothic"/>
          <w:sz w:val="22"/>
          <w:szCs w:val="22"/>
        </w:rPr>
      </w:pPr>
      <w:bookmarkStart w:id="17" w:name="_Toc298580304"/>
      <w:r w:rsidRPr="00054071">
        <w:rPr>
          <w:rFonts w:ascii="Century Gothic" w:hAnsi="Century Gothic"/>
          <w:sz w:val="22"/>
          <w:szCs w:val="22"/>
        </w:rPr>
        <w:t>HB2041 – Tax on Recreational Marijuana</w:t>
      </w:r>
      <w:bookmarkEnd w:id="17"/>
    </w:p>
    <w:p w14:paraId="3A6B9438" w14:textId="1A7EE61F" w:rsidR="008F2B25" w:rsidRPr="00054071" w:rsidRDefault="008F2B25" w:rsidP="008F2B25">
      <w:pPr>
        <w:rPr>
          <w:rFonts w:ascii="Century Gothic" w:eastAsia="Times New Roman" w:hAnsi="Century Gothic" w:cs="Times New Roman"/>
          <w:color w:val="222222"/>
          <w:sz w:val="22"/>
          <w:szCs w:val="22"/>
          <w:shd w:val="clear" w:color="auto" w:fill="FFFFFF"/>
        </w:rPr>
      </w:pPr>
      <w:r w:rsidRPr="00054071">
        <w:rPr>
          <w:rFonts w:ascii="Century Gothic" w:eastAsia="Times New Roman" w:hAnsi="Century Gothic" w:cs="Times New Roman"/>
          <w:bCs/>
          <w:color w:val="222222"/>
          <w:sz w:val="22"/>
          <w:szCs w:val="22"/>
        </w:rPr>
        <w:t xml:space="preserve">HB 2041 </w:t>
      </w:r>
      <w:r w:rsidRPr="00054071">
        <w:rPr>
          <w:rFonts w:ascii="Century Gothic" w:eastAsia="Times New Roman" w:hAnsi="Century Gothic" w:cs="Times New Roman"/>
          <w:color w:val="222222"/>
          <w:sz w:val="22"/>
          <w:szCs w:val="22"/>
          <w:shd w:val="clear" w:color="auto" w:fill="FFFFFF"/>
        </w:rPr>
        <w:t>sets a point of sale tax on recreational marijuana.</w:t>
      </w:r>
      <w:r w:rsidR="00D21287" w:rsidRPr="00054071">
        <w:rPr>
          <w:rFonts w:ascii="Century Gothic" w:eastAsia="Times New Roman" w:hAnsi="Century Gothic" w:cs="Times New Roman"/>
          <w:color w:val="222222"/>
          <w:sz w:val="22"/>
          <w:szCs w:val="22"/>
          <w:shd w:val="clear" w:color="auto" w:fill="FFFFFF"/>
        </w:rPr>
        <w:t xml:space="preserve"> Sales will</w:t>
      </w:r>
      <w:r w:rsidRPr="00054071">
        <w:rPr>
          <w:rFonts w:ascii="Century Gothic" w:eastAsia="Times New Roman" w:hAnsi="Century Gothic" w:cs="Times New Roman"/>
          <w:color w:val="222222"/>
          <w:sz w:val="22"/>
          <w:szCs w:val="22"/>
          <w:shd w:val="clear" w:color="auto" w:fill="FFFFFF"/>
        </w:rPr>
        <w:t xml:space="preserve"> be tax-free until </w:t>
      </w:r>
      <w:r w:rsidRPr="00054071">
        <w:rPr>
          <w:rFonts w:ascii="Century Gothic" w:eastAsia="Times New Roman" w:hAnsi="Century Gothic" w:cs="Times New Roman"/>
          <w:color w:val="222222"/>
          <w:sz w:val="22"/>
          <w:szCs w:val="22"/>
        </w:rPr>
        <w:t>Jan. 4, 2016</w:t>
      </w:r>
      <w:r w:rsidRPr="00054071">
        <w:rPr>
          <w:rFonts w:ascii="Century Gothic" w:eastAsia="Times New Roman" w:hAnsi="Century Gothic" w:cs="Times New Roman"/>
          <w:color w:val="222222"/>
          <w:sz w:val="22"/>
          <w:szCs w:val="22"/>
          <w:shd w:val="clear" w:color="auto" w:fill="FFFFFF"/>
        </w:rPr>
        <w:t> </w:t>
      </w:r>
      <w:r w:rsidR="00D21287" w:rsidRPr="00054071">
        <w:rPr>
          <w:rFonts w:ascii="Century Gothic" w:eastAsia="Times New Roman" w:hAnsi="Century Gothic" w:cs="Times New Roman"/>
          <w:color w:val="222222"/>
          <w:sz w:val="22"/>
          <w:szCs w:val="22"/>
          <w:shd w:val="clear" w:color="auto" w:fill="FFFFFF"/>
        </w:rPr>
        <w:t xml:space="preserve">and </w:t>
      </w:r>
      <w:r w:rsidRPr="00054071">
        <w:rPr>
          <w:rFonts w:ascii="Century Gothic" w:eastAsia="Times New Roman" w:hAnsi="Century Gothic" w:cs="Times New Roman"/>
          <w:color w:val="222222"/>
          <w:sz w:val="22"/>
          <w:szCs w:val="22"/>
          <w:shd w:val="clear" w:color="auto" w:fill="FFFFFF"/>
        </w:rPr>
        <w:t xml:space="preserve">after which a 25 percent tax would kick in. Once the full program is </w:t>
      </w:r>
      <w:r w:rsidR="00D21287" w:rsidRPr="00054071">
        <w:rPr>
          <w:rFonts w:ascii="Century Gothic" w:eastAsia="Times New Roman" w:hAnsi="Century Gothic" w:cs="Times New Roman"/>
          <w:color w:val="222222"/>
          <w:sz w:val="22"/>
          <w:szCs w:val="22"/>
          <w:shd w:val="clear" w:color="auto" w:fill="FFFFFF"/>
        </w:rPr>
        <w:t>running, the statewide tax will</w:t>
      </w:r>
      <w:r w:rsidRPr="00054071">
        <w:rPr>
          <w:rFonts w:ascii="Century Gothic" w:eastAsia="Times New Roman" w:hAnsi="Century Gothic" w:cs="Times New Roman"/>
          <w:color w:val="222222"/>
          <w:sz w:val="22"/>
          <w:szCs w:val="22"/>
          <w:shd w:val="clear" w:color="auto" w:fill="FFFFFF"/>
        </w:rPr>
        <w:t xml:space="preserve"> be 17 percent, with a provision to let local governments impose an additional 3 percent tax. The 25 percent ta</w:t>
      </w:r>
      <w:r w:rsidR="00D21287" w:rsidRPr="00054071">
        <w:rPr>
          <w:rFonts w:ascii="Century Gothic" w:eastAsia="Times New Roman" w:hAnsi="Century Gothic" w:cs="Times New Roman"/>
          <w:color w:val="222222"/>
          <w:sz w:val="22"/>
          <w:szCs w:val="22"/>
          <w:shd w:val="clear" w:color="auto" w:fill="FFFFFF"/>
        </w:rPr>
        <w:t>x sunsets December</w:t>
      </w:r>
      <w:r w:rsidRPr="00054071">
        <w:rPr>
          <w:rFonts w:ascii="Century Gothic" w:eastAsia="Times New Roman" w:hAnsi="Century Gothic" w:cs="Times New Roman"/>
          <w:color w:val="222222"/>
          <w:sz w:val="22"/>
          <w:szCs w:val="22"/>
          <w:shd w:val="clear" w:color="auto" w:fill="FFFFFF"/>
        </w:rPr>
        <w:t xml:space="preserve"> 2016 and will never be applied in recreational dispensaries.</w:t>
      </w:r>
    </w:p>
    <w:p w14:paraId="16063543" w14:textId="2B290C0D" w:rsidR="00470D26" w:rsidRPr="00054071" w:rsidRDefault="00705D37" w:rsidP="00470D26">
      <w:pPr>
        <w:pStyle w:val="Heading2"/>
        <w:rPr>
          <w:rFonts w:ascii="Century Gothic" w:hAnsi="Century Gothic"/>
          <w:sz w:val="22"/>
          <w:szCs w:val="22"/>
        </w:rPr>
      </w:pPr>
      <w:bookmarkStart w:id="18" w:name="_Toc298580305"/>
      <w:r w:rsidRPr="00054071">
        <w:rPr>
          <w:rFonts w:ascii="Century Gothic" w:hAnsi="Century Gothic"/>
          <w:sz w:val="22"/>
          <w:szCs w:val="22"/>
        </w:rPr>
        <w:t xml:space="preserve">HB3400 – </w:t>
      </w:r>
      <w:r w:rsidR="00A53CF7" w:rsidRPr="00054071">
        <w:rPr>
          <w:rFonts w:ascii="Century Gothic" w:hAnsi="Century Gothic"/>
          <w:sz w:val="22"/>
          <w:szCs w:val="22"/>
        </w:rPr>
        <w:t>Retail Sale of Marijuana</w:t>
      </w:r>
      <w:bookmarkEnd w:id="18"/>
    </w:p>
    <w:p w14:paraId="4FF14D06" w14:textId="32651CAF" w:rsidR="00936D5C" w:rsidRPr="00993AEA" w:rsidRDefault="00A53CF7" w:rsidP="00936D5C">
      <w:pPr>
        <w:rPr>
          <w:rFonts w:ascii="Century Gothic" w:eastAsia="Times New Roman" w:hAnsi="Century Gothic" w:cs="Times New Roman"/>
          <w:color w:val="222222"/>
          <w:sz w:val="22"/>
          <w:szCs w:val="22"/>
          <w:shd w:val="clear" w:color="auto" w:fill="FFFFFF"/>
        </w:rPr>
      </w:pPr>
      <w:r w:rsidRPr="00054071">
        <w:rPr>
          <w:rFonts w:ascii="Century Gothic" w:eastAsia="Times New Roman" w:hAnsi="Century Gothic" w:cs="Times New Roman"/>
          <w:bCs/>
          <w:color w:val="222222"/>
          <w:sz w:val="22"/>
          <w:szCs w:val="22"/>
        </w:rPr>
        <w:t>HB 3400 </w:t>
      </w:r>
      <w:r w:rsidRPr="00054071">
        <w:rPr>
          <w:rFonts w:ascii="Century Gothic" w:eastAsia="Times New Roman" w:hAnsi="Century Gothic" w:cs="Times New Roman"/>
          <w:color w:val="222222"/>
          <w:sz w:val="22"/>
          <w:szCs w:val="22"/>
          <w:shd w:val="clear" w:color="auto" w:fill="FFFFFF"/>
        </w:rPr>
        <w:t>puts forth</w:t>
      </w:r>
      <w:r w:rsidR="00054071">
        <w:rPr>
          <w:rFonts w:ascii="Century Gothic" w:eastAsia="Times New Roman" w:hAnsi="Century Gothic" w:cs="Times New Roman"/>
          <w:color w:val="222222"/>
          <w:sz w:val="22"/>
          <w:szCs w:val="22"/>
          <w:shd w:val="clear" w:color="auto" w:fill="FFFFFF"/>
        </w:rPr>
        <w:t xml:space="preserve"> a</w:t>
      </w:r>
      <w:r w:rsidRPr="00054071">
        <w:rPr>
          <w:rFonts w:ascii="Century Gothic" w:eastAsia="Times New Roman" w:hAnsi="Century Gothic" w:cs="Times New Roman"/>
          <w:color w:val="222222"/>
          <w:sz w:val="22"/>
          <w:szCs w:val="22"/>
          <w:shd w:val="clear" w:color="auto" w:fill="FFFFFF"/>
        </w:rPr>
        <w:t xml:space="preserve"> legal framework for implementing Measure 91. It also creates a process for setting standards for tes</w:t>
      </w:r>
      <w:r w:rsidR="002E3348" w:rsidRPr="00054071">
        <w:rPr>
          <w:rFonts w:ascii="Century Gothic" w:eastAsia="Times New Roman" w:hAnsi="Century Gothic" w:cs="Times New Roman"/>
          <w:color w:val="222222"/>
          <w:sz w:val="22"/>
          <w:szCs w:val="22"/>
          <w:shd w:val="clear" w:color="auto" w:fill="FFFFFF"/>
        </w:rPr>
        <w:t xml:space="preserve">ting, labeling and packaging of </w:t>
      </w:r>
      <w:r w:rsidRPr="00054071">
        <w:rPr>
          <w:rFonts w:ascii="Century Gothic" w:eastAsia="Times New Roman" w:hAnsi="Century Gothic" w:cs="Times New Roman"/>
          <w:color w:val="222222"/>
          <w:sz w:val="22"/>
          <w:szCs w:val="22"/>
          <w:shd w:val="clear" w:color="auto" w:fill="FFFFFF"/>
        </w:rPr>
        <w:t>marijuana.  Additionally, HB 3400 addresses the “leakage” of medical marijuana into the black market by establishing a tracking and reporting system for growers, while placing sensible plant limits on medical marijuana crop sizes.</w:t>
      </w:r>
    </w:p>
    <w:p w14:paraId="114EF042" w14:textId="77777777" w:rsidR="00D21287" w:rsidRPr="00993AEA" w:rsidRDefault="00D21287" w:rsidP="00936D5C">
      <w:pPr>
        <w:rPr>
          <w:rFonts w:ascii="Century Gothic" w:eastAsia="Times New Roman" w:hAnsi="Century Gothic" w:cs="Times New Roman"/>
          <w:color w:val="222222"/>
          <w:sz w:val="22"/>
          <w:szCs w:val="22"/>
          <w:shd w:val="clear" w:color="auto" w:fill="FFFFFF"/>
        </w:rPr>
      </w:pPr>
    </w:p>
    <w:p w14:paraId="7D9E2F0A" w14:textId="1FA7E80B" w:rsidR="00D21287" w:rsidRPr="00993AEA" w:rsidRDefault="00D21287" w:rsidP="00936D5C">
      <w:pPr>
        <w:rPr>
          <w:rFonts w:ascii="Century Gothic" w:eastAsia="Times New Roman" w:hAnsi="Century Gothic" w:cs="Times New Roman"/>
          <w:color w:val="222222"/>
          <w:sz w:val="22"/>
          <w:szCs w:val="22"/>
          <w:shd w:val="clear" w:color="auto" w:fill="FFFFFF"/>
        </w:rPr>
      </w:pPr>
      <w:r w:rsidRPr="00993AEA">
        <w:rPr>
          <w:rFonts w:ascii="Century Gothic" w:eastAsia="Times New Roman" w:hAnsi="Century Gothic" w:cs="Times New Roman"/>
          <w:color w:val="222222"/>
          <w:sz w:val="22"/>
          <w:szCs w:val="22"/>
          <w:shd w:val="clear" w:color="auto" w:fill="FFFFFF"/>
        </w:rPr>
        <w:t xml:space="preserve">In section 103, HB 3400 requires the Oregon Liquor Control Commission to consult with the Oregon </w:t>
      </w:r>
      <w:r w:rsidR="00DC02CA" w:rsidRPr="00993AEA">
        <w:rPr>
          <w:rFonts w:ascii="Century Gothic" w:eastAsia="Times New Roman" w:hAnsi="Century Gothic" w:cs="Times New Roman"/>
          <w:color w:val="222222"/>
          <w:sz w:val="22"/>
          <w:szCs w:val="22"/>
          <w:shd w:val="clear" w:color="auto" w:fill="FFFFFF"/>
        </w:rPr>
        <w:t>Health</w:t>
      </w:r>
      <w:r w:rsidRPr="00993AEA">
        <w:rPr>
          <w:rFonts w:ascii="Century Gothic" w:eastAsia="Times New Roman" w:hAnsi="Century Gothic" w:cs="Times New Roman"/>
          <w:color w:val="222222"/>
          <w:sz w:val="22"/>
          <w:szCs w:val="22"/>
          <w:shd w:val="clear" w:color="auto" w:fill="FFFFFF"/>
        </w:rPr>
        <w:t xml:space="preserve"> Authority and the Oregon Department of Agriculture to develop rules that establish standards for the packaging of marijuana items</w:t>
      </w:r>
      <w:r w:rsidR="00DC02CA" w:rsidRPr="00993AEA">
        <w:rPr>
          <w:rFonts w:ascii="Century Gothic" w:eastAsia="Times New Roman" w:hAnsi="Century Gothic" w:cs="Times New Roman"/>
          <w:color w:val="222222"/>
          <w:sz w:val="22"/>
          <w:szCs w:val="22"/>
          <w:shd w:val="clear" w:color="auto" w:fill="FFFFFF"/>
        </w:rPr>
        <w:t xml:space="preserve"> that ensure products are packaged in child-resistant safety packaging and are not marketed in a manor that is attractive to minors among other requirements. </w:t>
      </w:r>
    </w:p>
    <w:p w14:paraId="72B1B7A6" w14:textId="5DB7E830" w:rsidR="00A53CF7" w:rsidRPr="00993AEA" w:rsidRDefault="00A53CF7" w:rsidP="00936D5C">
      <w:pPr>
        <w:pStyle w:val="Heading2"/>
        <w:rPr>
          <w:rFonts w:ascii="Century Gothic" w:hAnsi="Century Gothic"/>
          <w:sz w:val="22"/>
          <w:szCs w:val="22"/>
        </w:rPr>
      </w:pPr>
      <w:bookmarkStart w:id="19" w:name="_Toc298580306"/>
      <w:r w:rsidRPr="00993AEA">
        <w:rPr>
          <w:rFonts w:ascii="Century Gothic" w:hAnsi="Century Gothic"/>
          <w:sz w:val="22"/>
          <w:szCs w:val="22"/>
        </w:rPr>
        <w:t>SB460</w:t>
      </w:r>
      <w:r w:rsidR="00936D5C" w:rsidRPr="00993AEA">
        <w:rPr>
          <w:rFonts w:ascii="Century Gothic" w:hAnsi="Century Gothic"/>
          <w:sz w:val="22"/>
          <w:szCs w:val="22"/>
        </w:rPr>
        <w:t xml:space="preserve"> </w:t>
      </w:r>
      <w:r w:rsidRPr="00993AEA">
        <w:rPr>
          <w:rFonts w:ascii="Century Gothic" w:hAnsi="Century Gothic"/>
          <w:sz w:val="22"/>
          <w:szCs w:val="22"/>
        </w:rPr>
        <w:t>–</w:t>
      </w:r>
      <w:r w:rsidR="002E3348" w:rsidRPr="00993AEA">
        <w:rPr>
          <w:rFonts w:ascii="Century Gothic" w:hAnsi="Century Gothic"/>
          <w:sz w:val="22"/>
          <w:szCs w:val="22"/>
        </w:rPr>
        <w:t xml:space="preserve"> Marijuana Dispensaries</w:t>
      </w:r>
      <w:bookmarkEnd w:id="19"/>
    </w:p>
    <w:p w14:paraId="3DB53C16" w14:textId="454BE483" w:rsidR="008F2B25" w:rsidRPr="00993AEA" w:rsidRDefault="00A53CF7" w:rsidP="008F2B25">
      <w:pPr>
        <w:rPr>
          <w:rFonts w:ascii="Century Gothic" w:eastAsia="Times New Roman" w:hAnsi="Century Gothic" w:cs="Times New Roman"/>
          <w:color w:val="222222"/>
          <w:sz w:val="22"/>
          <w:szCs w:val="22"/>
          <w:shd w:val="clear" w:color="auto" w:fill="FFFFFF"/>
        </w:rPr>
      </w:pPr>
      <w:r w:rsidRPr="00993AEA">
        <w:rPr>
          <w:rFonts w:ascii="Century Gothic" w:eastAsia="Times New Roman" w:hAnsi="Century Gothic" w:cs="Times New Roman"/>
          <w:bCs/>
          <w:sz w:val="22"/>
          <w:szCs w:val="22"/>
        </w:rPr>
        <w:t xml:space="preserve">SB 460 </w:t>
      </w:r>
      <w:r w:rsidRPr="00993AEA">
        <w:rPr>
          <w:rFonts w:ascii="Century Gothic" w:eastAsia="Times New Roman" w:hAnsi="Century Gothic" w:cs="Times New Roman"/>
          <w:color w:val="222222"/>
          <w:sz w:val="22"/>
          <w:szCs w:val="22"/>
          <w:shd w:val="clear" w:color="auto" w:fill="FFFFFF"/>
        </w:rPr>
        <w:t>allows for adults over the age of 21 to buy small amounts of pot from medical marijuana dispensaries starting</w:t>
      </w:r>
      <w:r w:rsidR="002E3348" w:rsidRPr="00993AEA">
        <w:rPr>
          <w:rFonts w:ascii="Century Gothic" w:eastAsia="Times New Roman" w:hAnsi="Century Gothic" w:cs="Times New Roman"/>
          <w:color w:val="222222"/>
          <w:sz w:val="22"/>
          <w:szCs w:val="22"/>
          <w:shd w:val="clear" w:color="auto" w:fill="FFFFFF"/>
        </w:rPr>
        <w:t xml:space="preserve"> </w:t>
      </w:r>
      <w:r w:rsidRPr="00993AEA">
        <w:rPr>
          <w:rStyle w:val="aqj"/>
          <w:rFonts w:ascii="Century Gothic" w:eastAsia="Times New Roman" w:hAnsi="Century Gothic" w:cs="Times New Roman"/>
          <w:color w:val="222222"/>
          <w:sz w:val="22"/>
          <w:szCs w:val="22"/>
        </w:rPr>
        <w:t>Oct. 1</w:t>
      </w:r>
      <w:r w:rsidRPr="00993AEA">
        <w:rPr>
          <w:rFonts w:ascii="Century Gothic" w:eastAsia="Times New Roman" w:hAnsi="Century Gothic" w:cs="Times New Roman"/>
          <w:color w:val="222222"/>
          <w:sz w:val="22"/>
          <w:szCs w:val="22"/>
          <w:shd w:val="clear" w:color="auto" w:fill="FFFFFF"/>
        </w:rPr>
        <w:t>, giving consumers an avenue for legal sales after possession becomes legal but before the state has a full system set up for recreational marijuana retailers. SB 460’s early start piece will help shift consumer demand away from the black market and into legitimate markets.</w:t>
      </w:r>
    </w:p>
    <w:p w14:paraId="6CCEE7A3" w14:textId="5345FCD6" w:rsidR="008F2B25" w:rsidRPr="00993AEA" w:rsidRDefault="00CE5291" w:rsidP="008F2B25">
      <w:pPr>
        <w:pStyle w:val="Heading2"/>
        <w:rPr>
          <w:rFonts w:ascii="Century Gothic" w:hAnsi="Century Gothic"/>
          <w:sz w:val="22"/>
          <w:szCs w:val="22"/>
          <w:shd w:val="clear" w:color="auto" w:fill="FFFFFF"/>
        </w:rPr>
      </w:pPr>
      <w:bookmarkStart w:id="20" w:name="_Toc298580307"/>
      <w:r w:rsidRPr="00993AEA">
        <w:rPr>
          <w:rFonts w:ascii="Century Gothic" w:hAnsi="Century Gothic"/>
          <w:sz w:val="22"/>
          <w:szCs w:val="22"/>
          <w:shd w:val="clear" w:color="auto" w:fill="FFFFFF"/>
        </w:rPr>
        <w:t>SB</w:t>
      </w:r>
      <w:r w:rsidR="008F2B25" w:rsidRPr="00993AEA">
        <w:rPr>
          <w:rFonts w:ascii="Century Gothic" w:hAnsi="Century Gothic"/>
          <w:sz w:val="22"/>
          <w:szCs w:val="22"/>
          <w:shd w:val="clear" w:color="auto" w:fill="FFFFFF"/>
        </w:rPr>
        <w:t>844 – Task Force on Cannabis</w:t>
      </w:r>
      <w:bookmarkEnd w:id="20"/>
    </w:p>
    <w:p w14:paraId="0E5D6D23" w14:textId="6A187668" w:rsidR="008F2B25" w:rsidRPr="00993AEA" w:rsidRDefault="008F2B25" w:rsidP="008F2B25">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SB 844 establishes the 15-member Task Force on Researching the Medical and Public Health Properties of Cannabis. The measure also addresses when a criminal conviction related to marijuana may be eligible for expunction. In addition, the bill modifies limitations for medical marijuana cardholders who are in palliative or hospice care and specifies that transplant hospitals may not deny a transplant to someone on the basis that the person is a registry identification cardholder.</w:t>
      </w:r>
    </w:p>
    <w:p w14:paraId="55FC1F91" w14:textId="37387696" w:rsidR="000F79DC" w:rsidRPr="00993AEA" w:rsidRDefault="00CE5291" w:rsidP="000F79DC">
      <w:pPr>
        <w:pStyle w:val="Heading2"/>
        <w:rPr>
          <w:rFonts w:ascii="Century Gothic" w:hAnsi="Century Gothic"/>
          <w:sz w:val="22"/>
          <w:szCs w:val="22"/>
          <w:shd w:val="clear" w:color="auto" w:fill="FFFFFF"/>
        </w:rPr>
      </w:pPr>
      <w:bookmarkStart w:id="21" w:name="_Toc298580308"/>
      <w:r w:rsidRPr="00993AEA">
        <w:rPr>
          <w:rFonts w:ascii="Century Gothic" w:hAnsi="Century Gothic"/>
          <w:sz w:val="22"/>
          <w:szCs w:val="22"/>
          <w:shd w:val="clear" w:color="auto" w:fill="FFFFFF"/>
        </w:rPr>
        <w:t>HB</w:t>
      </w:r>
      <w:r w:rsidR="000F79DC" w:rsidRPr="00993AEA">
        <w:rPr>
          <w:rFonts w:ascii="Century Gothic" w:hAnsi="Century Gothic"/>
          <w:sz w:val="22"/>
          <w:szCs w:val="22"/>
          <w:shd w:val="clear" w:color="auto" w:fill="FFFFFF"/>
        </w:rPr>
        <w:t>5047 – Implementing BM 91</w:t>
      </w:r>
      <w:bookmarkEnd w:id="21"/>
    </w:p>
    <w:p w14:paraId="1ECEE885" w14:textId="5A4E43E5" w:rsidR="000F79DC" w:rsidRPr="00993AEA" w:rsidRDefault="000F79DC" w:rsidP="000F79DC">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 xml:space="preserve">This budget bill includes Other Funds expenditure limitation necessary for a number of agencies to implement House Bill 3400, House Bill 2041, Senate Bill 460 and Senate Bill 844, all related to marijuana programs. The affected agencies include the Oregon Liquor Control Commission, Oregon Health Authority, Department of Human Services, Department of Revenue, and Department of Agriculture. The Subcommittee approved a total of $17.5 million Other Funds expenditure limitation across the five agencies, and approved 77 positions (54.90 FTE). </w:t>
      </w:r>
    </w:p>
    <w:p w14:paraId="5596DDCF" w14:textId="77777777" w:rsidR="008F2B25" w:rsidRPr="00993AEA" w:rsidRDefault="008F2B25" w:rsidP="000F79DC">
      <w:pPr>
        <w:rPr>
          <w:rFonts w:ascii="Century Gothic" w:eastAsia="Times New Roman" w:hAnsi="Century Gothic" w:cs="Times New Roman"/>
          <w:sz w:val="22"/>
          <w:szCs w:val="22"/>
        </w:rPr>
      </w:pPr>
    </w:p>
    <w:p w14:paraId="76FDC4EA" w14:textId="0078358E" w:rsidR="00C64D36" w:rsidRPr="00993AEA" w:rsidRDefault="008F2B25" w:rsidP="00C64D36">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The Subcommittee approved a budget for the Oregon Health Authority (OHA) medical marijuana program that includes $5.8 million Other Funds expenditure limitation and 25 positions (19.58 FTE) that will be paid using fee revenues generated by licensing growers, processors, and dispensaries. A portion of the expenditures ($1.3 million) will be passed through to Shared Services in both OHA and the Department of Human Services to support positions in the Office of Information Services and the Background Check Unit (15 positions and 6.26 FTE). Staffing is included to do inspections and enforcement related to grow sites, processors, and dispensaries, including work related to the early start of retail sales in dispensaries. Fourteen full-time Compliance Specialists positions (11.17 FTE) are included to do this work. The three positions related to the early start of retail sales in dispensaries are limited duration. The approved budget includes staff to manage the program, including policy, rule-making, communication and education.</w:t>
      </w:r>
    </w:p>
    <w:p w14:paraId="4F411B18" w14:textId="54B320CA" w:rsidR="00BF6E77" w:rsidRPr="00E30010" w:rsidRDefault="00BF6E77" w:rsidP="00C64D36">
      <w:pPr>
        <w:pStyle w:val="Heading1"/>
        <w:rPr>
          <w:rFonts w:ascii="Century Gothic" w:eastAsia="Times New Roman" w:hAnsi="Century Gothic" w:cs="Times New Roman"/>
          <w:sz w:val="24"/>
          <w:szCs w:val="24"/>
        </w:rPr>
      </w:pPr>
      <w:bookmarkStart w:id="22" w:name="_Toc298580309"/>
      <w:r w:rsidRPr="00E30010">
        <w:rPr>
          <w:rFonts w:ascii="Century Gothic" w:hAnsi="Century Gothic"/>
          <w:sz w:val="24"/>
          <w:szCs w:val="24"/>
        </w:rPr>
        <w:t>Women’s Health Bills</w:t>
      </w:r>
      <w:bookmarkEnd w:id="22"/>
    </w:p>
    <w:p w14:paraId="2288DDE2" w14:textId="59EAB7AE" w:rsidR="002E3348" w:rsidRPr="00993AEA" w:rsidRDefault="002E3348" w:rsidP="002E3348">
      <w:pPr>
        <w:rPr>
          <w:rFonts w:ascii="Century Gothic" w:hAnsi="Century Gothic"/>
          <w:sz w:val="22"/>
          <w:szCs w:val="22"/>
        </w:rPr>
      </w:pPr>
      <w:r w:rsidRPr="00993AEA">
        <w:rPr>
          <w:rFonts w:ascii="Century Gothic" w:hAnsi="Century Gothic"/>
          <w:sz w:val="22"/>
          <w:szCs w:val="22"/>
        </w:rPr>
        <w:t xml:space="preserve">This session was quite a success for Women’s Health. </w:t>
      </w:r>
      <w:r w:rsidR="00416AC1" w:rsidRPr="00993AEA">
        <w:rPr>
          <w:rFonts w:ascii="Century Gothic" w:hAnsi="Century Gothic"/>
          <w:sz w:val="22"/>
          <w:szCs w:val="22"/>
        </w:rPr>
        <w:t xml:space="preserve"> Planned Parenthood and Women’s Health and Wellness caucus came into the session working for a comprehensive women’s health bill that would have aligned many provisions with the Contraceptive Care (CCare) program</w:t>
      </w:r>
      <w:r w:rsidR="001706D4" w:rsidRPr="00993AEA">
        <w:rPr>
          <w:rFonts w:ascii="Century Gothic" w:hAnsi="Century Gothic"/>
          <w:sz w:val="22"/>
          <w:szCs w:val="22"/>
        </w:rPr>
        <w:t xml:space="preserve"> to ensure that all women had access to preventative care</w:t>
      </w:r>
      <w:r w:rsidR="00416AC1" w:rsidRPr="00993AEA">
        <w:rPr>
          <w:rFonts w:ascii="Century Gothic" w:hAnsi="Century Gothic"/>
          <w:sz w:val="22"/>
          <w:szCs w:val="22"/>
        </w:rPr>
        <w:t>.  The bill also contained a very controversial provision to ensure access to safe abortions</w:t>
      </w:r>
      <w:r w:rsidR="00DC02CA" w:rsidRPr="00993AEA">
        <w:rPr>
          <w:rFonts w:ascii="Century Gothic" w:hAnsi="Century Gothic"/>
          <w:sz w:val="22"/>
          <w:szCs w:val="22"/>
        </w:rPr>
        <w:t xml:space="preserve"> and didn’t receive a hearing. There were several other bills that passed this session to ensure access to birth control and client protection. </w:t>
      </w:r>
      <w:r w:rsidR="001706D4" w:rsidRPr="00993AEA">
        <w:rPr>
          <w:rFonts w:ascii="Century Gothic" w:hAnsi="Century Gothic"/>
          <w:sz w:val="22"/>
          <w:szCs w:val="22"/>
        </w:rPr>
        <w:t xml:space="preserve"> </w:t>
      </w:r>
    </w:p>
    <w:p w14:paraId="4A4C548E" w14:textId="77777777" w:rsidR="00CE5291" w:rsidRPr="00993AEA" w:rsidRDefault="00CE5291" w:rsidP="00CE5291">
      <w:pPr>
        <w:pStyle w:val="Heading2"/>
        <w:rPr>
          <w:rFonts w:ascii="Century Gothic" w:hAnsi="Century Gothic"/>
          <w:sz w:val="22"/>
          <w:szCs w:val="22"/>
        </w:rPr>
      </w:pPr>
      <w:bookmarkStart w:id="23" w:name="_Toc298580310"/>
      <w:r w:rsidRPr="00993AEA">
        <w:rPr>
          <w:rFonts w:ascii="Century Gothic" w:hAnsi="Century Gothic"/>
          <w:sz w:val="22"/>
          <w:szCs w:val="22"/>
        </w:rPr>
        <w:t>HB2758 – Client Protection</w:t>
      </w:r>
      <w:bookmarkEnd w:id="23"/>
    </w:p>
    <w:p w14:paraId="6D549B28" w14:textId="77777777" w:rsidR="00CE5291" w:rsidRPr="00993AEA" w:rsidRDefault="00CE5291" w:rsidP="00CE5291">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 xml:space="preserve">HB 2758 prohibits insurance carriers and third-party administrators from disclosing to anyone other than the enrollee receiving services, personal information about an enrollee, upon the request of the dependent enrollee. This bill specifies procedure for enrollees making a confidential communication request. The Department of Consumer and Business Services is required to submit a report no later than December 1, 2016 on the effectiveness of the process. </w:t>
      </w:r>
    </w:p>
    <w:p w14:paraId="6F516006" w14:textId="77777777" w:rsidR="00CE5291" w:rsidRPr="00993AEA" w:rsidRDefault="00CE5291" w:rsidP="00CE5291">
      <w:pPr>
        <w:pStyle w:val="Heading2"/>
        <w:rPr>
          <w:rFonts w:ascii="Century Gothic" w:hAnsi="Century Gothic"/>
          <w:sz w:val="22"/>
          <w:szCs w:val="22"/>
        </w:rPr>
      </w:pPr>
      <w:bookmarkStart w:id="24" w:name="_Toc298580311"/>
      <w:r w:rsidRPr="00993AEA">
        <w:rPr>
          <w:rFonts w:ascii="Century Gothic" w:hAnsi="Century Gothic"/>
          <w:sz w:val="22"/>
          <w:szCs w:val="22"/>
        </w:rPr>
        <w:t>HB2879 – Pharmacy Prescribing Birth Control</w:t>
      </w:r>
      <w:bookmarkEnd w:id="24"/>
    </w:p>
    <w:p w14:paraId="5BF111FF" w14:textId="15A6C240" w:rsidR="00CE5291" w:rsidRPr="00993AEA" w:rsidRDefault="00CE5291" w:rsidP="00CE5291">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 xml:space="preserve">HB 2879 directs Board of Pharmacy (BOP) to adopt rules allowing licensed pharmacist to prescribe and dispense hormonal contraceptives to persons 18 and older, or persons under 18 years of age, if that person has evidence of previous prescription. This bill directs BOP to work in consultation with Oregon Medical Board, Oregon State Board of Nursing and Oregon Health Authority, with consideration of American Congress of Obstetricians and Gynecologists guidelines, to develop standard procedures for prescribing contraceptives. The bill further specifies that rules need to include: BOP-approved training program; requirement that patient use self-screening risk assessment tool prior to pharmacist prescribing contraceptive; that pharmacist advise and refer patient to patient’s primary care practitioner upon prescribing and dispensing contraceptive; provides patient with written record of contraceptive prescribed and dispensed. </w:t>
      </w:r>
    </w:p>
    <w:p w14:paraId="0FB93DF7" w14:textId="1EAB3578" w:rsidR="00BF6E77" w:rsidRPr="00993AEA" w:rsidRDefault="00BF6E77" w:rsidP="006B1487">
      <w:pPr>
        <w:pStyle w:val="Heading2"/>
        <w:rPr>
          <w:rFonts w:ascii="Century Gothic" w:hAnsi="Century Gothic"/>
          <w:sz w:val="22"/>
          <w:szCs w:val="22"/>
        </w:rPr>
      </w:pPr>
      <w:bookmarkStart w:id="25" w:name="_Toc298580312"/>
      <w:r w:rsidRPr="00993AEA">
        <w:rPr>
          <w:rFonts w:ascii="Century Gothic" w:hAnsi="Century Gothic"/>
          <w:sz w:val="22"/>
          <w:szCs w:val="22"/>
        </w:rPr>
        <w:t>HB3343</w:t>
      </w:r>
      <w:r w:rsidR="00E0692B" w:rsidRPr="00993AEA">
        <w:rPr>
          <w:rFonts w:ascii="Century Gothic" w:hAnsi="Century Gothic"/>
          <w:sz w:val="22"/>
          <w:szCs w:val="22"/>
        </w:rPr>
        <w:t xml:space="preserve"> – 12 Months Dispensing</w:t>
      </w:r>
      <w:r w:rsidR="00C64D36" w:rsidRPr="00993AEA">
        <w:rPr>
          <w:rFonts w:ascii="Century Gothic" w:hAnsi="Century Gothic"/>
          <w:sz w:val="22"/>
          <w:szCs w:val="22"/>
        </w:rPr>
        <w:t xml:space="preserve"> of Birth Control</w:t>
      </w:r>
      <w:bookmarkEnd w:id="25"/>
    </w:p>
    <w:p w14:paraId="49D2EFE5" w14:textId="3C49F7BD" w:rsidR="001706D4" w:rsidRPr="00993AEA" w:rsidRDefault="001706D4" w:rsidP="001706D4">
      <w:pPr>
        <w:rPr>
          <w:rFonts w:ascii="Century Gothic" w:hAnsi="Century Gothic"/>
          <w:sz w:val="22"/>
          <w:szCs w:val="22"/>
        </w:rPr>
      </w:pPr>
      <w:r w:rsidRPr="00993AEA">
        <w:rPr>
          <w:rFonts w:ascii="Century Gothic" w:hAnsi="Century Gothic"/>
          <w:sz w:val="22"/>
          <w:szCs w:val="22"/>
        </w:rPr>
        <w:t xml:space="preserve">HB 3343 would require health insurance plans to cover a 12-month distribution of birth control, after an initial three-month supply.  HB 3343 would closely emulate the practices in the CCare program.  </w:t>
      </w:r>
    </w:p>
    <w:p w14:paraId="7E9131A8" w14:textId="77777777" w:rsidR="00BF6E77" w:rsidRPr="00E30010" w:rsidRDefault="00BF6E77" w:rsidP="006B1487">
      <w:pPr>
        <w:pStyle w:val="Heading1"/>
        <w:rPr>
          <w:rFonts w:ascii="Century Gothic" w:hAnsi="Century Gothic"/>
          <w:sz w:val="24"/>
          <w:szCs w:val="24"/>
        </w:rPr>
      </w:pPr>
      <w:bookmarkStart w:id="26" w:name="_Toc298580313"/>
      <w:r w:rsidRPr="00E30010">
        <w:rPr>
          <w:rFonts w:ascii="Century Gothic" w:hAnsi="Century Gothic"/>
          <w:sz w:val="24"/>
          <w:szCs w:val="24"/>
        </w:rPr>
        <w:t>Environmental Health Bills</w:t>
      </w:r>
      <w:bookmarkEnd w:id="26"/>
    </w:p>
    <w:p w14:paraId="156187D2" w14:textId="2D970BEF" w:rsidR="00D7718E" w:rsidRPr="00993AEA" w:rsidRDefault="00D7718E" w:rsidP="00D7718E">
      <w:pPr>
        <w:rPr>
          <w:rFonts w:ascii="Century Gothic" w:hAnsi="Century Gothic"/>
          <w:sz w:val="22"/>
          <w:szCs w:val="22"/>
        </w:rPr>
      </w:pPr>
      <w:r w:rsidRPr="00993AEA">
        <w:rPr>
          <w:rFonts w:ascii="Century Gothic" w:hAnsi="Century Gothic"/>
          <w:sz w:val="22"/>
          <w:szCs w:val="22"/>
        </w:rPr>
        <w:t xml:space="preserve">There was </w:t>
      </w:r>
      <w:r w:rsidR="00DC02CA" w:rsidRPr="00993AEA">
        <w:rPr>
          <w:rFonts w:ascii="Century Gothic" w:hAnsi="Century Gothic"/>
          <w:sz w:val="22"/>
          <w:szCs w:val="22"/>
        </w:rPr>
        <w:t>quite a bit of discussion of</w:t>
      </w:r>
      <w:r w:rsidRPr="00993AEA">
        <w:rPr>
          <w:rFonts w:ascii="Century Gothic" w:hAnsi="Century Gothic"/>
          <w:sz w:val="22"/>
          <w:szCs w:val="22"/>
        </w:rPr>
        <w:t xml:space="preserve"> bills protecting the public’s health</w:t>
      </w:r>
      <w:r w:rsidR="00FB04D5" w:rsidRPr="00993AEA">
        <w:rPr>
          <w:rFonts w:ascii="Century Gothic" w:hAnsi="Century Gothic"/>
          <w:sz w:val="22"/>
          <w:szCs w:val="22"/>
        </w:rPr>
        <w:t xml:space="preserve"> by</w:t>
      </w:r>
      <w:r w:rsidRPr="00993AEA">
        <w:rPr>
          <w:rFonts w:ascii="Century Gothic" w:hAnsi="Century Gothic"/>
          <w:sz w:val="22"/>
          <w:szCs w:val="22"/>
        </w:rPr>
        <w:t xml:space="preserve"> addressing environmental concerns such as aerial pesticide spraying, radon and asbestos in demolished old homes, diesel pollution and many others.  While many of these bills did not make it through the whole legislative process, some did.  Here are a couple of bills that may be of interest to local public health. </w:t>
      </w:r>
    </w:p>
    <w:p w14:paraId="43081EF5" w14:textId="3BD299DC" w:rsidR="00BF6E77" w:rsidRPr="00993AEA" w:rsidRDefault="00E0692B" w:rsidP="006B1487">
      <w:pPr>
        <w:pStyle w:val="Heading2"/>
        <w:rPr>
          <w:rFonts w:ascii="Century Gothic" w:hAnsi="Century Gothic"/>
          <w:sz w:val="22"/>
          <w:szCs w:val="22"/>
        </w:rPr>
      </w:pPr>
      <w:bookmarkStart w:id="27" w:name="_Toc298580314"/>
      <w:r w:rsidRPr="00993AEA">
        <w:rPr>
          <w:rFonts w:ascii="Century Gothic" w:hAnsi="Century Gothic"/>
          <w:sz w:val="22"/>
          <w:szCs w:val="22"/>
        </w:rPr>
        <w:t>S</w:t>
      </w:r>
      <w:r w:rsidR="00BF6E77" w:rsidRPr="00993AEA">
        <w:rPr>
          <w:rFonts w:ascii="Century Gothic" w:hAnsi="Century Gothic"/>
          <w:sz w:val="22"/>
          <w:szCs w:val="22"/>
        </w:rPr>
        <w:t>B478</w:t>
      </w:r>
      <w:r w:rsidRPr="00993AEA">
        <w:rPr>
          <w:rFonts w:ascii="Century Gothic" w:hAnsi="Century Gothic"/>
          <w:sz w:val="22"/>
          <w:szCs w:val="22"/>
        </w:rPr>
        <w:t xml:space="preserve"> – </w:t>
      </w:r>
      <w:r w:rsidR="00FB04D5" w:rsidRPr="00993AEA">
        <w:rPr>
          <w:rFonts w:ascii="Century Gothic" w:hAnsi="Century Gothic"/>
          <w:sz w:val="22"/>
          <w:szCs w:val="22"/>
        </w:rPr>
        <w:t>Toxic-Free Kids Act</w:t>
      </w:r>
      <w:bookmarkEnd w:id="27"/>
    </w:p>
    <w:p w14:paraId="09E60429" w14:textId="13B234A0" w:rsidR="00D7718E" w:rsidRPr="00993AEA" w:rsidRDefault="00D7718E" w:rsidP="00FB04D5">
      <w:pPr>
        <w:rPr>
          <w:rFonts w:ascii="Century Gothic" w:hAnsi="Century Gothic"/>
          <w:sz w:val="22"/>
          <w:szCs w:val="22"/>
        </w:rPr>
      </w:pPr>
      <w:r w:rsidRPr="00993AEA">
        <w:rPr>
          <w:rFonts w:ascii="Century Gothic" w:hAnsi="Century Gothic"/>
          <w:sz w:val="22"/>
          <w:szCs w:val="22"/>
        </w:rPr>
        <w:t xml:space="preserve">SB 478 </w:t>
      </w:r>
      <w:r w:rsidR="00FB04D5" w:rsidRPr="00993AEA">
        <w:rPr>
          <w:rFonts w:ascii="Century Gothic" w:hAnsi="Century Gothic"/>
          <w:sz w:val="22"/>
          <w:szCs w:val="22"/>
        </w:rPr>
        <w:t>establishes the “Toxic-Free Kids Act” requiring the Oregon Health Authority to establish and maintain on its website a list of designated high priority chemicals of concern for children’s health used in children’s products. OHA is directed to review and revise to keep the list current.</w:t>
      </w:r>
    </w:p>
    <w:p w14:paraId="299877AB" w14:textId="5493A68F" w:rsidR="00BF6E77" w:rsidRPr="00993AEA" w:rsidRDefault="00E0692B" w:rsidP="006B1487">
      <w:pPr>
        <w:pStyle w:val="Heading2"/>
        <w:rPr>
          <w:rFonts w:ascii="Century Gothic" w:hAnsi="Century Gothic"/>
          <w:sz w:val="22"/>
          <w:szCs w:val="22"/>
        </w:rPr>
      </w:pPr>
      <w:bookmarkStart w:id="28" w:name="_Toc298580315"/>
      <w:r w:rsidRPr="00993AEA">
        <w:rPr>
          <w:rFonts w:ascii="Century Gothic" w:hAnsi="Century Gothic"/>
          <w:sz w:val="22"/>
          <w:szCs w:val="22"/>
        </w:rPr>
        <w:t>HB32</w:t>
      </w:r>
      <w:r w:rsidR="00BF6E77" w:rsidRPr="00993AEA">
        <w:rPr>
          <w:rFonts w:ascii="Century Gothic" w:hAnsi="Century Gothic"/>
          <w:sz w:val="22"/>
          <w:szCs w:val="22"/>
        </w:rPr>
        <w:t>25</w:t>
      </w:r>
      <w:r w:rsidRPr="00993AEA">
        <w:rPr>
          <w:rFonts w:ascii="Century Gothic" w:hAnsi="Century Gothic"/>
          <w:sz w:val="22"/>
          <w:szCs w:val="22"/>
        </w:rPr>
        <w:t xml:space="preserve"> – Oil Train Planning</w:t>
      </w:r>
      <w:bookmarkEnd w:id="28"/>
    </w:p>
    <w:p w14:paraId="732FC2A7" w14:textId="77777777" w:rsidR="00FB04D5" w:rsidRPr="00993AEA" w:rsidRDefault="00FB04D5" w:rsidP="00FB04D5">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HB 3225 directs the Oregon State Fire Marshall to adopt a plan to coordinate response to oil or hazardous materials spills or releases that occur during rail transport. The bill establishes the Oil and Hazardous Material Transportation by Rail Action Fund to receive and account for gifts, grants, donations, endowments, or bequests from any public or private source to carry out the provisions of this bill, and requires the Fire Marshal to submit a report by February 1st each year to the Legislative Assembly.</w:t>
      </w:r>
    </w:p>
    <w:p w14:paraId="196566EA" w14:textId="77777777" w:rsidR="00FB04D5" w:rsidRPr="00993AEA" w:rsidRDefault="00FB04D5" w:rsidP="00FB04D5">
      <w:pPr>
        <w:rPr>
          <w:rFonts w:ascii="Century Gothic" w:hAnsi="Century Gothic"/>
          <w:sz w:val="22"/>
          <w:szCs w:val="22"/>
        </w:rPr>
      </w:pPr>
    </w:p>
    <w:p w14:paraId="0A4B6766" w14:textId="0F49EA94" w:rsidR="00FB04D5" w:rsidRPr="00993AEA" w:rsidRDefault="00FB04D5" w:rsidP="00FB04D5">
      <w:pPr>
        <w:rPr>
          <w:rFonts w:ascii="Century Gothic" w:hAnsi="Century Gothic"/>
          <w:sz w:val="22"/>
          <w:szCs w:val="22"/>
        </w:rPr>
      </w:pPr>
      <w:r w:rsidRPr="00993AEA">
        <w:rPr>
          <w:rFonts w:ascii="Century Gothic" w:hAnsi="Century Gothic"/>
          <w:sz w:val="22"/>
          <w:szCs w:val="22"/>
        </w:rPr>
        <w:t>A $365,225 General Fund appropriation was made to the Oregon State Police’s 2015-17 budget, which will allow the Office of the State Fire Marshal to hire a position to coordinate outreach and develop the spill response plan with local public safety organizations; and provide funding for exercises, training, and support for local public safety partners.</w:t>
      </w:r>
    </w:p>
    <w:p w14:paraId="2E75E144" w14:textId="1D074200" w:rsidR="008E05E0" w:rsidRPr="00993AEA" w:rsidRDefault="00BF6E77" w:rsidP="006B1487">
      <w:pPr>
        <w:pStyle w:val="Heading2"/>
        <w:rPr>
          <w:rFonts w:ascii="Century Gothic" w:hAnsi="Century Gothic"/>
          <w:sz w:val="22"/>
          <w:szCs w:val="22"/>
        </w:rPr>
      </w:pPr>
      <w:bookmarkStart w:id="29" w:name="_Toc298580316"/>
      <w:r w:rsidRPr="00993AEA">
        <w:rPr>
          <w:rFonts w:ascii="Century Gothic" w:hAnsi="Century Gothic"/>
          <w:sz w:val="22"/>
          <w:szCs w:val="22"/>
        </w:rPr>
        <w:t>HB3549</w:t>
      </w:r>
      <w:r w:rsidR="00E0692B" w:rsidRPr="00993AEA">
        <w:rPr>
          <w:rFonts w:ascii="Century Gothic" w:hAnsi="Century Gothic"/>
          <w:sz w:val="22"/>
          <w:szCs w:val="22"/>
        </w:rPr>
        <w:t xml:space="preserve"> – Aerial Pesticides</w:t>
      </w:r>
      <w:bookmarkEnd w:id="29"/>
    </w:p>
    <w:p w14:paraId="4C0C9D8A" w14:textId="5B7C234E" w:rsidR="00FB04D5" w:rsidRPr="00993AEA" w:rsidRDefault="00FB04D5" w:rsidP="00FB04D5">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HB 3549 requires the Oregon Department of Agriculture to establish qualifications for obtaining and maintaining an aerial pesticide applicator certificate, requires the Pesticide Analytical Response Center to develop standards for response to pesticide related complaints, requires a biennial report to the Legislative Assembly, and increases the maximum the Department may establish as a pesticide registration fee. In addition, the bill requires the Department to operate a 24-hour hotline to receive and coordinate responses to pesticide related complaints by the public and report to the Legislative Assembly biennially</w:t>
      </w:r>
      <w:r w:rsidR="00F83860" w:rsidRPr="00993AEA">
        <w:rPr>
          <w:rFonts w:ascii="Century Gothic" w:eastAsia="Times New Roman" w:hAnsi="Century Gothic" w:cs="Times New Roman"/>
          <w:sz w:val="22"/>
          <w:szCs w:val="22"/>
        </w:rPr>
        <w:t xml:space="preserve">. </w:t>
      </w:r>
    </w:p>
    <w:p w14:paraId="7B4FC00C" w14:textId="77777777" w:rsidR="001408A7" w:rsidRPr="00E30010" w:rsidRDefault="009528D6" w:rsidP="006B1487">
      <w:pPr>
        <w:pStyle w:val="Heading1"/>
        <w:rPr>
          <w:rFonts w:ascii="Century Gothic" w:hAnsi="Century Gothic"/>
          <w:sz w:val="24"/>
          <w:szCs w:val="24"/>
        </w:rPr>
      </w:pPr>
      <w:bookmarkStart w:id="30" w:name="_Toc298580317"/>
      <w:r w:rsidRPr="00E30010">
        <w:rPr>
          <w:rFonts w:ascii="Century Gothic" w:hAnsi="Century Gothic"/>
          <w:sz w:val="24"/>
          <w:szCs w:val="24"/>
        </w:rPr>
        <w:t>Child Health &amp; Early Learning Bills</w:t>
      </w:r>
      <w:bookmarkEnd w:id="30"/>
    </w:p>
    <w:p w14:paraId="0B34F22E" w14:textId="1FAA5F9C" w:rsidR="00F83860" w:rsidRPr="00993AEA" w:rsidRDefault="00CE5291" w:rsidP="008F2B25">
      <w:pPr>
        <w:pStyle w:val="Heading2"/>
        <w:rPr>
          <w:rFonts w:ascii="Century Gothic" w:hAnsi="Century Gothic"/>
          <w:sz w:val="22"/>
          <w:szCs w:val="22"/>
        </w:rPr>
      </w:pPr>
      <w:bookmarkStart w:id="31" w:name="_Toc298580318"/>
      <w:r w:rsidRPr="00993AEA">
        <w:rPr>
          <w:rFonts w:ascii="Century Gothic" w:hAnsi="Century Gothic"/>
          <w:sz w:val="22"/>
          <w:szCs w:val="22"/>
        </w:rPr>
        <w:t>SB</w:t>
      </w:r>
      <w:r w:rsidR="008F2B25" w:rsidRPr="00993AEA">
        <w:rPr>
          <w:rFonts w:ascii="Century Gothic" w:hAnsi="Century Gothic"/>
          <w:sz w:val="22"/>
          <w:szCs w:val="22"/>
        </w:rPr>
        <w:t>213 – Early Learning Hub Metrics</w:t>
      </w:r>
      <w:bookmarkEnd w:id="31"/>
    </w:p>
    <w:p w14:paraId="292F0EDE" w14:textId="77A911F5" w:rsidR="00C64D36" w:rsidRPr="00993AEA" w:rsidRDefault="00C64D36" w:rsidP="00C64D36">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SB 213 codifies provisions in HB 2013 from the 2013 legislative session, which authorized the establishment of Early Learning Hubs. These include authority to require a local match. SB 213 instructs the Early Learning Council to develop metrics that focus on community readiness and tracking outcomes. These metrics are also to include child performance metrics. SB 213 also requires an annual report to the Legislature by September 15th of each year as well as an evaluation of the Hubs and their performance by February 2019, with recommendations. The budget for the Oregon Department of Education (SB 5016) will provide the funding of this evaluation.</w:t>
      </w:r>
    </w:p>
    <w:p w14:paraId="11FD7B19" w14:textId="77777777" w:rsidR="009528D6" w:rsidRPr="00993AEA" w:rsidRDefault="009528D6" w:rsidP="006B1487">
      <w:pPr>
        <w:pStyle w:val="Heading2"/>
        <w:rPr>
          <w:rFonts w:ascii="Century Gothic" w:hAnsi="Century Gothic"/>
          <w:sz w:val="22"/>
          <w:szCs w:val="22"/>
        </w:rPr>
      </w:pPr>
      <w:bookmarkStart w:id="32" w:name="_Toc298580319"/>
      <w:r w:rsidRPr="00993AEA">
        <w:rPr>
          <w:rFonts w:ascii="Century Gothic" w:hAnsi="Century Gothic"/>
          <w:sz w:val="22"/>
          <w:szCs w:val="22"/>
        </w:rPr>
        <w:t>SB520 – Pharmacists Immunizations</w:t>
      </w:r>
      <w:bookmarkEnd w:id="32"/>
    </w:p>
    <w:p w14:paraId="3338817D" w14:textId="5B605D6C" w:rsidR="004C2C0A" w:rsidRPr="00993AEA" w:rsidRDefault="004C2C0A" w:rsidP="004C2C0A">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 xml:space="preserve">SB 520 modifies the age for which pharmacist may administer vaccines from eleven to seven years of age and older. </w:t>
      </w:r>
    </w:p>
    <w:p w14:paraId="446824C8" w14:textId="77777777" w:rsidR="009528D6" w:rsidRPr="00993AEA" w:rsidRDefault="009528D6" w:rsidP="006B1487">
      <w:pPr>
        <w:pStyle w:val="Heading2"/>
        <w:rPr>
          <w:rFonts w:ascii="Century Gothic" w:hAnsi="Century Gothic"/>
          <w:sz w:val="22"/>
          <w:szCs w:val="22"/>
        </w:rPr>
      </w:pPr>
      <w:bookmarkStart w:id="33" w:name="_Toc298580320"/>
      <w:r w:rsidRPr="00993AEA">
        <w:rPr>
          <w:rFonts w:ascii="Century Gothic" w:hAnsi="Century Gothic"/>
          <w:sz w:val="22"/>
          <w:szCs w:val="22"/>
        </w:rPr>
        <w:t>SB698 – School Nurses</w:t>
      </w:r>
      <w:bookmarkEnd w:id="33"/>
    </w:p>
    <w:p w14:paraId="446358A1" w14:textId="3E1DEE2D" w:rsidR="008F2B25" w:rsidRPr="00993AEA" w:rsidRDefault="004C2C0A" w:rsidP="008F2B25">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 xml:space="preserve">SB 698 creates a position of a State School Nursing Consultant in the Oregon Health Authority to coordinate and collaborate with the Oregon Department of Education’s school nurse specialist in providing leadership and integration in the delivery of nursing services in schools. The bill also establishes the 14-member Task Force on School Nursing charged with examining and recommending sustainable funding sources for school health services. </w:t>
      </w:r>
      <w:r w:rsidR="00F61F7A">
        <w:rPr>
          <w:rFonts w:ascii="Century Gothic" w:eastAsia="Times New Roman" w:hAnsi="Century Gothic" w:cs="Times New Roman"/>
          <w:sz w:val="22"/>
          <w:szCs w:val="22"/>
        </w:rPr>
        <w:t>One o</w:t>
      </w:r>
      <w:r w:rsidRPr="00993AEA">
        <w:rPr>
          <w:rFonts w:ascii="Century Gothic" w:eastAsia="Times New Roman" w:hAnsi="Century Gothic" w:cs="Times New Roman"/>
          <w:sz w:val="22"/>
          <w:szCs w:val="22"/>
        </w:rPr>
        <w:t xml:space="preserve">f the seats on the Task Force is </w:t>
      </w:r>
      <w:r w:rsidR="00F61F7A">
        <w:rPr>
          <w:rFonts w:ascii="Century Gothic" w:eastAsia="Times New Roman" w:hAnsi="Century Gothic" w:cs="Times New Roman"/>
          <w:sz w:val="22"/>
          <w:szCs w:val="22"/>
        </w:rPr>
        <w:t>dedicated to a</w:t>
      </w:r>
      <w:r w:rsidRPr="00993AEA">
        <w:rPr>
          <w:rFonts w:ascii="Century Gothic" w:eastAsia="Times New Roman" w:hAnsi="Century Gothic" w:cs="Times New Roman"/>
          <w:sz w:val="22"/>
          <w:szCs w:val="22"/>
        </w:rPr>
        <w:t xml:space="preserve"> representative of Local Public Health Official</w:t>
      </w:r>
      <w:r w:rsidR="00F61F7A">
        <w:rPr>
          <w:rFonts w:ascii="Century Gothic" w:eastAsia="Times New Roman" w:hAnsi="Century Gothic" w:cs="Times New Roman"/>
          <w:sz w:val="22"/>
          <w:szCs w:val="22"/>
        </w:rPr>
        <w:t>s</w:t>
      </w:r>
      <w:r w:rsidRPr="00993AEA">
        <w:rPr>
          <w:rFonts w:ascii="Century Gothic" w:eastAsia="Times New Roman" w:hAnsi="Century Gothic" w:cs="Times New Roman"/>
          <w:sz w:val="22"/>
          <w:szCs w:val="22"/>
        </w:rPr>
        <w:t xml:space="preserve">. </w:t>
      </w:r>
    </w:p>
    <w:p w14:paraId="324BE48B" w14:textId="5C3D8E3D" w:rsidR="008F2B25" w:rsidRPr="00993AEA" w:rsidRDefault="00CE5291" w:rsidP="008F2B25">
      <w:pPr>
        <w:pStyle w:val="Heading2"/>
        <w:rPr>
          <w:rFonts w:ascii="Century Gothic" w:hAnsi="Century Gothic"/>
          <w:sz w:val="22"/>
          <w:szCs w:val="22"/>
        </w:rPr>
      </w:pPr>
      <w:bookmarkStart w:id="34" w:name="_Toc298580321"/>
      <w:r w:rsidRPr="00993AEA">
        <w:rPr>
          <w:rFonts w:ascii="Century Gothic" w:hAnsi="Century Gothic"/>
          <w:sz w:val="22"/>
          <w:szCs w:val="22"/>
        </w:rPr>
        <w:t>SB</w:t>
      </w:r>
      <w:r w:rsidR="008F2B25" w:rsidRPr="00993AEA">
        <w:rPr>
          <w:rFonts w:ascii="Century Gothic" w:hAnsi="Century Gothic"/>
          <w:sz w:val="22"/>
          <w:szCs w:val="22"/>
        </w:rPr>
        <w:t>895 – Immunization Education</w:t>
      </w:r>
      <w:bookmarkEnd w:id="34"/>
    </w:p>
    <w:p w14:paraId="0BAAB44E" w14:textId="408690ED" w:rsidR="004C2C0A" w:rsidRPr="00993AEA" w:rsidRDefault="004C2C0A" w:rsidP="004C2C0A">
      <w:pPr>
        <w:rPr>
          <w:rFonts w:ascii="Century Gothic" w:eastAsia="Times New Roman" w:hAnsi="Century Gothic" w:cs="Times New Roman"/>
          <w:sz w:val="22"/>
          <w:szCs w:val="22"/>
        </w:rPr>
      </w:pPr>
      <w:r w:rsidRPr="00993AEA">
        <w:rPr>
          <w:rFonts w:ascii="Century Gothic" w:hAnsi="Century Gothic"/>
          <w:sz w:val="22"/>
          <w:szCs w:val="22"/>
        </w:rPr>
        <w:t>SB 895</w:t>
      </w:r>
      <w:r w:rsidRPr="00993AEA">
        <w:rPr>
          <w:rFonts w:ascii="Century Gothic" w:eastAsia="Times New Roman" w:hAnsi="Century Gothic" w:cs="Times New Roman"/>
          <w:sz w:val="22"/>
          <w:szCs w:val="22"/>
        </w:rPr>
        <w:t xml:space="preserve"> requires schools and children facilities to report annually to the Oregon Health Authority on the number of children served by the school who are in attendance conditionally because of an incomplete immunization schedule. The bill also requires local health departments to make available aggregate data on the immunization rate, by disease, of children in the area. OHA is required to help compile this data, if requested. Schools and children facilities are, in turn, required to make this information available to parents.</w:t>
      </w:r>
      <w:r w:rsidRPr="00993AEA">
        <w:rPr>
          <w:rFonts w:ascii="Century Gothic" w:hAnsi="Century Gothic"/>
          <w:sz w:val="22"/>
          <w:szCs w:val="22"/>
        </w:rPr>
        <w:t xml:space="preserve"> </w:t>
      </w:r>
    </w:p>
    <w:p w14:paraId="3583B90E" w14:textId="303F1188" w:rsidR="003463FB" w:rsidRPr="00993AEA" w:rsidRDefault="003463FB" w:rsidP="003463FB">
      <w:pPr>
        <w:pStyle w:val="Heading2"/>
        <w:rPr>
          <w:rFonts w:ascii="Century Gothic" w:hAnsi="Century Gothic"/>
          <w:sz w:val="22"/>
          <w:szCs w:val="22"/>
        </w:rPr>
      </w:pPr>
      <w:bookmarkStart w:id="35" w:name="_Toc298580322"/>
      <w:r w:rsidRPr="00993AEA">
        <w:rPr>
          <w:rFonts w:ascii="Century Gothic" w:hAnsi="Century Gothic"/>
          <w:sz w:val="22"/>
          <w:szCs w:val="22"/>
        </w:rPr>
        <w:t>SB901 – Insurance reimburse provider, not the client</w:t>
      </w:r>
      <w:bookmarkEnd w:id="35"/>
    </w:p>
    <w:p w14:paraId="5731639C" w14:textId="55254FDF" w:rsidR="003463FB" w:rsidRPr="00993AEA" w:rsidRDefault="003463FB" w:rsidP="003463FB">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SB 901 requires provider that bills insurer for covered hospital, nursing, medical or surgical services to be reimbursed directly by insurer. Applies to reimbursements on claims on or after January 1, 2017.</w:t>
      </w:r>
    </w:p>
    <w:p w14:paraId="6A57D70F" w14:textId="77777777" w:rsidR="008E05E0" w:rsidRPr="00E30010" w:rsidRDefault="008E05E0" w:rsidP="006B1487">
      <w:pPr>
        <w:pStyle w:val="Heading1"/>
        <w:rPr>
          <w:rFonts w:ascii="Century Gothic" w:hAnsi="Century Gothic"/>
          <w:sz w:val="24"/>
          <w:szCs w:val="24"/>
        </w:rPr>
      </w:pPr>
      <w:bookmarkStart w:id="36" w:name="_Toc298580323"/>
      <w:r w:rsidRPr="00E30010">
        <w:rPr>
          <w:rFonts w:ascii="Century Gothic" w:hAnsi="Century Gothic"/>
          <w:sz w:val="24"/>
          <w:szCs w:val="24"/>
        </w:rPr>
        <w:t xml:space="preserve">Social Determinants of Health </w:t>
      </w:r>
      <w:r w:rsidR="009528D6" w:rsidRPr="00E30010">
        <w:rPr>
          <w:rFonts w:ascii="Century Gothic" w:hAnsi="Century Gothic"/>
          <w:sz w:val="24"/>
          <w:szCs w:val="24"/>
        </w:rPr>
        <w:t>Bills</w:t>
      </w:r>
      <w:bookmarkEnd w:id="36"/>
    </w:p>
    <w:p w14:paraId="46E24273" w14:textId="1D7BCB5C" w:rsidR="008E05E0" w:rsidRPr="00993AEA" w:rsidRDefault="00CE5291" w:rsidP="006B1487">
      <w:pPr>
        <w:pStyle w:val="Heading2"/>
        <w:rPr>
          <w:rFonts w:ascii="Century Gothic" w:hAnsi="Century Gothic"/>
          <w:sz w:val="22"/>
          <w:szCs w:val="22"/>
        </w:rPr>
      </w:pPr>
      <w:bookmarkStart w:id="37" w:name="_Toc298580324"/>
      <w:r w:rsidRPr="00993AEA">
        <w:rPr>
          <w:rFonts w:ascii="Century Gothic" w:hAnsi="Century Gothic"/>
          <w:sz w:val="22"/>
          <w:szCs w:val="22"/>
        </w:rPr>
        <w:t>SB</w:t>
      </w:r>
      <w:r w:rsidR="008E05E0" w:rsidRPr="00993AEA">
        <w:rPr>
          <w:rFonts w:ascii="Century Gothic" w:hAnsi="Century Gothic"/>
          <w:sz w:val="22"/>
          <w:szCs w:val="22"/>
        </w:rPr>
        <w:t xml:space="preserve">454 </w:t>
      </w:r>
      <w:r w:rsidR="009528D6" w:rsidRPr="00993AEA">
        <w:rPr>
          <w:rFonts w:ascii="Century Gothic" w:hAnsi="Century Gothic"/>
          <w:sz w:val="22"/>
          <w:szCs w:val="22"/>
        </w:rPr>
        <w:t>– Mandatory Sick Time</w:t>
      </w:r>
      <w:bookmarkEnd w:id="37"/>
    </w:p>
    <w:p w14:paraId="5F9BD4F5" w14:textId="79BF0439" w:rsidR="004C2C0A" w:rsidRPr="00993AEA" w:rsidRDefault="004C2C0A" w:rsidP="004C2C0A">
      <w:pPr>
        <w:rPr>
          <w:rFonts w:ascii="Century Gothic" w:eastAsia="Times New Roman" w:hAnsi="Century Gothic" w:cs="Times New Roman"/>
          <w:sz w:val="22"/>
          <w:szCs w:val="22"/>
        </w:rPr>
      </w:pPr>
      <w:r w:rsidRPr="00993AEA">
        <w:rPr>
          <w:rFonts w:ascii="Century Gothic" w:eastAsia="Times New Roman" w:hAnsi="Century Gothic" w:cs="Times New Roman"/>
          <w:sz w:val="22"/>
          <w:szCs w:val="22"/>
        </w:rPr>
        <w:t>SB 454 requires most employers having six or more employees to implement a sick time policy allowing an employee to earn, accrue, donate or use up to 40 hours of paid sick time per year. Most employers who employ fewer than six employees are required to implement an unpaid sick time policy.</w:t>
      </w:r>
    </w:p>
    <w:p w14:paraId="711C141C" w14:textId="7B9B687B" w:rsidR="00BF6E77" w:rsidRPr="00E30010" w:rsidRDefault="008E05E0" w:rsidP="006B1487">
      <w:pPr>
        <w:pStyle w:val="Heading1"/>
        <w:rPr>
          <w:rFonts w:ascii="Century Gothic" w:hAnsi="Century Gothic"/>
          <w:sz w:val="24"/>
          <w:szCs w:val="24"/>
        </w:rPr>
      </w:pPr>
      <w:bookmarkStart w:id="38" w:name="_Toc298580325"/>
      <w:r w:rsidRPr="00E30010">
        <w:rPr>
          <w:rFonts w:ascii="Century Gothic" w:hAnsi="Century Gothic"/>
          <w:sz w:val="24"/>
          <w:szCs w:val="24"/>
        </w:rPr>
        <w:t>Bills that Did</w:t>
      </w:r>
      <w:r w:rsidR="00F61F7A">
        <w:rPr>
          <w:rFonts w:ascii="Century Gothic" w:hAnsi="Century Gothic"/>
          <w:sz w:val="24"/>
          <w:szCs w:val="24"/>
        </w:rPr>
        <w:t xml:space="preserve"> Not </w:t>
      </w:r>
      <w:r w:rsidRPr="00E30010">
        <w:rPr>
          <w:rFonts w:ascii="Century Gothic" w:hAnsi="Century Gothic"/>
          <w:sz w:val="24"/>
          <w:szCs w:val="24"/>
        </w:rPr>
        <w:t>Pass</w:t>
      </w:r>
      <w:bookmarkEnd w:id="38"/>
    </w:p>
    <w:p w14:paraId="3DA89E1C" w14:textId="7F86E1F9" w:rsidR="007D45B4" w:rsidRPr="00993AEA" w:rsidRDefault="007D45B4" w:rsidP="007D45B4">
      <w:pPr>
        <w:rPr>
          <w:rFonts w:ascii="Century Gothic" w:hAnsi="Century Gothic"/>
          <w:sz w:val="22"/>
          <w:szCs w:val="22"/>
        </w:rPr>
      </w:pPr>
      <w:r w:rsidRPr="00993AEA">
        <w:rPr>
          <w:rFonts w:ascii="Century Gothic" w:hAnsi="Century Gothic"/>
          <w:sz w:val="22"/>
          <w:szCs w:val="22"/>
        </w:rPr>
        <w:t>This is the short list of bills that didn’t pass this legislative session. It is important to note that several of th</w:t>
      </w:r>
      <w:r w:rsidR="00F61F7A">
        <w:rPr>
          <w:rFonts w:ascii="Century Gothic" w:hAnsi="Century Gothic"/>
          <w:sz w:val="22"/>
          <w:szCs w:val="22"/>
        </w:rPr>
        <w:t>e</w:t>
      </w:r>
      <w:r w:rsidRPr="00993AEA">
        <w:rPr>
          <w:rFonts w:ascii="Century Gothic" w:hAnsi="Century Gothic"/>
          <w:sz w:val="22"/>
          <w:szCs w:val="22"/>
        </w:rPr>
        <w:t xml:space="preserve"> bills were high priorities for CLHO and CLHO staff spent quite a bit of time lobbying on these bill</w:t>
      </w:r>
      <w:r w:rsidR="00F61F7A">
        <w:rPr>
          <w:rFonts w:ascii="Century Gothic" w:hAnsi="Century Gothic"/>
          <w:sz w:val="22"/>
          <w:szCs w:val="22"/>
        </w:rPr>
        <w:t>s</w:t>
      </w:r>
      <w:r w:rsidRPr="00993AEA">
        <w:rPr>
          <w:rFonts w:ascii="Century Gothic" w:hAnsi="Century Gothic"/>
          <w:sz w:val="22"/>
          <w:szCs w:val="22"/>
        </w:rPr>
        <w:t xml:space="preserve"> as well as those that passed. </w:t>
      </w:r>
      <w:r w:rsidR="0053179C" w:rsidRPr="00993AEA">
        <w:rPr>
          <w:rFonts w:ascii="Century Gothic" w:hAnsi="Century Gothic"/>
          <w:sz w:val="22"/>
          <w:szCs w:val="22"/>
        </w:rPr>
        <w:t xml:space="preserve">Several of these bills are assured to come back in future legislative sessions and we may see the minimum wage bill on the 2016 Ballot. </w:t>
      </w:r>
    </w:p>
    <w:p w14:paraId="5D3C6A4F" w14:textId="77777777" w:rsidR="001408A7" w:rsidRPr="00993AEA" w:rsidRDefault="001408A7" w:rsidP="006B1487">
      <w:pPr>
        <w:pStyle w:val="Heading2"/>
        <w:rPr>
          <w:rFonts w:ascii="Century Gothic" w:hAnsi="Century Gothic"/>
          <w:sz w:val="22"/>
          <w:szCs w:val="22"/>
        </w:rPr>
      </w:pPr>
      <w:bookmarkStart w:id="39" w:name="_Toc298580326"/>
      <w:r w:rsidRPr="00993AEA">
        <w:rPr>
          <w:rFonts w:ascii="Century Gothic" w:hAnsi="Century Gothic"/>
          <w:sz w:val="22"/>
          <w:szCs w:val="22"/>
        </w:rPr>
        <w:t>Tobacco Retail Licensure – SB663/ SB417 /HB3534</w:t>
      </w:r>
      <w:bookmarkEnd w:id="39"/>
    </w:p>
    <w:p w14:paraId="2AF1231D" w14:textId="77F68E54" w:rsidR="00E8021C" w:rsidRDefault="00E8021C" w:rsidP="00E8021C">
      <w:pPr>
        <w:rPr>
          <w:rFonts w:ascii="Century Gothic" w:hAnsi="Century Gothic"/>
          <w:sz w:val="22"/>
          <w:szCs w:val="22"/>
        </w:rPr>
      </w:pPr>
      <w:r w:rsidRPr="00993AEA">
        <w:rPr>
          <w:rFonts w:ascii="Century Gothic" w:hAnsi="Century Gothic"/>
          <w:sz w:val="22"/>
          <w:szCs w:val="22"/>
        </w:rPr>
        <w:t xml:space="preserve">Senator Steiner Hayward introduced the original bill, SB 417, which died in the Senate Business and Transportation committee. In order the keep the concept alive the Senate Health Care Committee “gut n stuffed” SB 663, the Public Health Modernization bill, and moved the bill to Senate Finance and Labor committee.  Senator Hass tried to broker a compromise between the public health community and the tobacco industry but was unsuccessful.  I suspect that we </w:t>
      </w:r>
      <w:r w:rsidR="007E6180">
        <w:rPr>
          <w:rFonts w:ascii="Century Gothic" w:hAnsi="Century Gothic"/>
          <w:sz w:val="22"/>
          <w:szCs w:val="22"/>
        </w:rPr>
        <w:t xml:space="preserve">will </w:t>
      </w:r>
      <w:r w:rsidRPr="00993AEA">
        <w:rPr>
          <w:rFonts w:ascii="Century Gothic" w:hAnsi="Century Gothic"/>
          <w:sz w:val="22"/>
          <w:szCs w:val="22"/>
        </w:rPr>
        <w:t>see this</w:t>
      </w:r>
      <w:r w:rsidR="007E6180">
        <w:rPr>
          <w:rFonts w:ascii="Century Gothic" w:hAnsi="Century Gothic"/>
          <w:sz w:val="22"/>
          <w:szCs w:val="22"/>
        </w:rPr>
        <w:t xml:space="preserve"> issue </w:t>
      </w:r>
      <w:r w:rsidRPr="00993AEA">
        <w:rPr>
          <w:rFonts w:ascii="Century Gothic" w:hAnsi="Century Gothic"/>
          <w:sz w:val="22"/>
          <w:szCs w:val="22"/>
        </w:rPr>
        <w:t xml:space="preserve">in future legislative sessions.  </w:t>
      </w:r>
    </w:p>
    <w:p w14:paraId="2364CAD1" w14:textId="77777777" w:rsidR="006C1885" w:rsidRDefault="006C1885" w:rsidP="00E8021C">
      <w:pPr>
        <w:rPr>
          <w:rFonts w:ascii="Century Gothic" w:hAnsi="Century Gothic"/>
          <w:sz w:val="22"/>
          <w:szCs w:val="22"/>
        </w:rPr>
      </w:pPr>
    </w:p>
    <w:p w14:paraId="4B7B7B28" w14:textId="48BF32F0" w:rsidR="00446AF5" w:rsidRPr="00446AF5" w:rsidRDefault="006C1885" w:rsidP="00446AF5">
      <w:pPr>
        <w:pStyle w:val="Heading2"/>
        <w:rPr>
          <w:rFonts w:ascii="Century Gothic" w:hAnsi="Century Gothic"/>
          <w:sz w:val="22"/>
          <w:szCs w:val="22"/>
        </w:rPr>
      </w:pPr>
      <w:bookmarkStart w:id="40" w:name="_Toc298580327"/>
      <w:r w:rsidRPr="00993AEA">
        <w:rPr>
          <w:rFonts w:ascii="Century Gothic" w:hAnsi="Century Gothic"/>
          <w:sz w:val="22"/>
          <w:szCs w:val="22"/>
        </w:rPr>
        <w:t>Smoke Shop Fee</w:t>
      </w:r>
      <w:r w:rsidR="00446AF5">
        <w:rPr>
          <w:rFonts w:ascii="Century Gothic" w:hAnsi="Century Gothic"/>
          <w:sz w:val="22"/>
          <w:szCs w:val="22"/>
        </w:rPr>
        <w:t xml:space="preserve"> - </w:t>
      </w:r>
      <w:r w:rsidR="00446AF5" w:rsidRPr="00993AEA">
        <w:rPr>
          <w:rFonts w:ascii="Century Gothic" w:hAnsi="Century Gothic"/>
          <w:sz w:val="22"/>
          <w:szCs w:val="22"/>
        </w:rPr>
        <w:t>SB416</w:t>
      </w:r>
      <w:bookmarkEnd w:id="40"/>
    </w:p>
    <w:p w14:paraId="6CC58B84" w14:textId="1569B041" w:rsidR="006C1885" w:rsidRPr="00E30010" w:rsidRDefault="006C1885" w:rsidP="00E8021C">
      <w:pPr>
        <w:rPr>
          <w:rFonts w:ascii="Century Gothic" w:hAnsi="Century Gothic"/>
          <w:sz w:val="22"/>
          <w:szCs w:val="22"/>
        </w:rPr>
      </w:pPr>
      <w:r w:rsidRPr="00993AEA">
        <w:rPr>
          <w:rFonts w:ascii="Century Gothic" w:eastAsia="Times New Roman" w:hAnsi="Century Gothic" w:cs="Times New Roman"/>
          <w:sz w:val="22"/>
          <w:szCs w:val="22"/>
        </w:rPr>
        <w:t xml:space="preserve">SB 416 requires smoke shops to pay a certification fee to the Oregon Health Authority. These certifications must be renewed every five years. The Oregon Health Authority currently certifies smoke shops, but the smoke shops do not pay a fee. Instead the costs of certification come out of funding dedicated for tobacco prevention and education. </w:t>
      </w:r>
      <w:r w:rsidRPr="00E30010">
        <w:rPr>
          <w:rFonts w:ascii="Century Gothic" w:eastAsia="Times New Roman" w:hAnsi="Century Gothic" w:cs="Times New Roman"/>
          <w:sz w:val="22"/>
          <w:szCs w:val="22"/>
        </w:rPr>
        <w:t xml:space="preserve">Unfortunately at sine die SB 416 did not pass. It passed the Senate but died in the House. There was an unsuccessful effort to revive it in the final hours of session. </w:t>
      </w:r>
    </w:p>
    <w:p w14:paraId="26CEC20C" w14:textId="77777777" w:rsidR="0053179C" w:rsidRPr="00993AEA" w:rsidRDefault="0053179C" w:rsidP="00E8021C">
      <w:pPr>
        <w:rPr>
          <w:rFonts w:ascii="Century Gothic" w:hAnsi="Century Gothic"/>
          <w:sz w:val="22"/>
          <w:szCs w:val="22"/>
        </w:rPr>
      </w:pPr>
    </w:p>
    <w:p w14:paraId="64F71B7A" w14:textId="2CCFE3B7" w:rsidR="0053179C" w:rsidRPr="00993AEA" w:rsidRDefault="0053179C" w:rsidP="00E8021C">
      <w:pPr>
        <w:rPr>
          <w:rFonts w:ascii="Century Gothic" w:hAnsi="Century Gothic"/>
          <w:sz w:val="22"/>
          <w:szCs w:val="22"/>
        </w:rPr>
      </w:pPr>
      <w:r w:rsidRPr="00993AEA">
        <w:rPr>
          <w:rFonts w:ascii="Century Gothic" w:hAnsi="Century Gothic"/>
          <w:sz w:val="22"/>
          <w:szCs w:val="22"/>
        </w:rPr>
        <w:t xml:space="preserve">The two major points of contention in this bill were the preemption on cities and counties to create retail license programs, and an amendment for Vapor shops to allow the sampling of products indoors. </w:t>
      </w:r>
    </w:p>
    <w:p w14:paraId="71C74784" w14:textId="71F6CD16" w:rsidR="001408A7" w:rsidRPr="00993AEA" w:rsidRDefault="001408A7" w:rsidP="006B1487">
      <w:pPr>
        <w:pStyle w:val="Heading2"/>
        <w:rPr>
          <w:rFonts w:ascii="Century Gothic" w:hAnsi="Century Gothic"/>
          <w:sz w:val="22"/>
          <w:szCs w:val="22"/>
        </w:rPr>
      </w:pPr>
      <w:bookmarkStart w:id="41" w:name="_Toc298580328"/>
      <w:r w:rsidRPr="00993AEA">
        <w:rPr>
          <w:rFonts w:ascii="Century Gothic" w:hAnsi="Century Gothic"/>
          <w:sz w:val="22"/>
          <w:szCs w:val="22"/>
        </w:rPr>
        <w:t xml:space="preserve">Tobacco Tax – </w:t>
      </w:r>
      <w:r w:rsidR="00F675E3" w:rsidRPr="00993AEA">
        <w:rPr>
          <w:rFonts w:ascii="Century Gothic" w:hAnsi="Century Gothic"/>
          <w:sz w:val="22"/>
          <w:szCs w:val="22"/>
        </w:rPr>
        <w:t>HB2066/ HB2166 / HB</w:t>
      </w:r>
      <w:r w:rsidR="009528D6" w:rsidRPr="00993AEA">
        <w:rPr>
          <w:rFonts w:ascii="Century Gothic" w:hAnsi="Century Gothic"/>
          <w:sz w:val="22"/>
          <w:szCs w:val="22"/>
        </w:rPr>
        <w:t>2555</w:t>
      </w:r>
      <w:bookmarkEnd w:id="41"/>
    </w:p>
    <w:p w14:paraId="2C3A1229" w14:textId="4AD76691" w:rsidR="00E8021C" w:rsidRPr="00993AEA" w:rsidRDefault="00E8021C" w:rsidP="00E8021C">
      <w:pPr>
        <w:rPr>
          <w:rFonts w:ascii="Century Gothic" w:hAnsi="Century Gothic"/>
          <w:sz w:val="22"/>
          <w:szCs w:val="22"/>
        </w:rPr>
      </w:pPr>
      <w:r w:rsidRPr="00993AEA">
        <w:rPr>
          <w:rFonts w:ascii="Century Gothic" w:hAnsi="Century Gothic"/>
          <w:sz w:val="22"/>
          <w:szCs w:val="22"/>
        </w:rPr>
        <w:t xml:space="preserve">There was little real discussion of any of these bills during the legislative session. </w:t>
      </w:r>
    </w:p>
    <w:p w14:paraId="050F8599" w14:textId="62079CCE" w:rsidR="001408A7" w:rsidRPr="00993AEA" w:rsidRDefault="00F675E3" w:rsidP="006B1487">
      <w:pPr>
        <w:pStyle w:val="Heading2"/>
        <w:rPr>
          <w:rFonts w:ascii="Century Gothic" w:hAnsi="Century Gothic"/>
          <w:sz w:val="22"/>
          <w:szCs w:val="22"/>
        </w:rPr>
      </w:pPr>
      <w:bookmarkStart w:id="42" w:name="_Toc298580329"/>
      <w:r w:rsidRPr="00993AEA">
        <w:rPr>
          <w:rFonts w:ascii="Century Gothic" w:hAnsi="Century Gothic"/>
          <w:sz w:val="22"/>
          <w:szCs w:val="22"/>
        </w:rPr>
        <w:t>E-Cigarette Tax – HB</w:t>
      </w:r>
      <w:r w:rsidR="001408A7" w:rsidRPr="00993AEA">
        <w:rPr>
          <w:rFonts w:ascii="Century Gothic" w:hAnsi="Century Gothic"/>
          <w:sz w:val="22"/>
          <w:szCs w:val="22"/>
        </w:rPr>
        <w:t>2074/ HB2134</w:t>
      </w:r>
      <w:bookmarkEnd w:id="42"/>
    </w:p>
    <w:p w14:paraId="4486A0F1" w14:textId="6A11F5EE" w:rsidR="00E8021C" w:rsidRPr="00993AEA" w:rsidRDefault="00E8021C" w:rsidP="00E8021C">
      <w:pPr>
        <w:rPr>
          <w:rFonts w:ascii="Century Gothic" w:hAnsi="Century Gothic"/>
          <w:sz w:val="22"/>
          <w:szCs w:val="22"/>
        </w:rPr>
      </w:pPr>
      <w:r w:rsidRPr="00993AEA">
        <w:rPr>
          <w:rFonts w:ascii="Century Gothic" w:hAnsi="Century Gothic"/>
          <w:sz w:val="22"/>
          <w:szCs w:val="22"/>
        </w:rPr>
        <w:t xml:space="preserve">E-Cigarette tax was an issue that we will probably see in future legislative sessions.  </w:t>
      </w:r>
      <w:r w:rsidR="007E6180">
        <w:rPr>
          <w:rFonts w:ascii="Century Gothic" w:hAnsi="Century Gothic"/>
          <w:sz w:val="22"/>
          <w:szCs w:val="22"/>
        </w:rPr>
        <w:t>In theory, t</w:t>
      </w:r>
      <w:r w:rsidRPr="00993AEA">
        <w:rPr>
          <w:rFonts w:ascii="Century Gothic" w:hAnsi="Century Gothic"/>
          <w:sz w:val="22"/>
          <w:szCs w:val="22"/>
        </w:rPr>
        <w:t>here was broad support across party line</w:t>
      </w:r>
      <w:r w:rsidR="007E6180">
        <w:rPr>
          <w:rFonts w:ascii="Century Gothic" w:hAnsi="Century Gothic"/>
          <w:sz w:val="22"/>
          <w:szCs w:val="22"/>
        </w:rPr>
        <w:t>s. Like</w:t>
      </w:r>
      <w:r w:rsidRPr="00993AEA">
        <w:rPr>
          <w:rFonts w:ascii="Century Gothic" w:hAnsi="Century Gothic"/>
          <w:sz w:val="22"/>
          <w:szCs w:val="22"/>
        </w:rPr>
        <w:t xml:space="preserve"> many issues the devil will be in the details.  An e-cigarette tax and retail licensure would compliment each other very nicely. </w:t>
      </w:r>
    </w:p>
    <w:p w14:paraId="3F84EEC3" w14:textId="23363E05" w:rsidR="001408A7" w:rsidRPr="00993AEA" w:rsidRDefault="00FB6ADF" w:rsidP="006B1487">
      <w:pPr>
        <w:pStyle w:val="Heading2"/>
        <w:rPr>
          <w:rFonts w:ascii="Century Gothic" w:hAnsi="Century Gothic"/>
          <w:sz w:val="22"/>
          <w:szCs w:val="22"/>
        </w:rPr>
      </w:pPr>
      <w:bookmarkStart w:id="43" w:name="_Toc298580330"/>
      <w:r w:rsidRPr="00993AEA">
        <w:rPr>
          <w:rFonts w:ascii="Century Gothic" w:hAnsi="Century Gothic"/>
          <w:sz w:val="22"/>
          <w:szCs w:val="22"/>
        </w:rPr>
        <w:t>Tobacco Preemption Lift</w:t>
      </w:r>
      <w:r w:rsidR="001408A7" w:rsidRPr="00993AEA">
        <w:rPr>
          <w:rFonts w:ascii="Century Gothic" w:hAnsi="Century Gothic"/>
          <w:sz w:val="22"/>
          <w:szCs w:val="22"/>
        </w:rPr>
        <w:t xml:space="preserve"> – </w:t>
      </w:r>
      <w:r w:rsidR="00F675E3" w:rsidRPr="00993AEA">
        <w:rPr>
          <w:rFonts w:ascii="Century Gothic" w:hAnsi="Century Gothic"/>
          <w:sz w:val="22"/>
          <w:szCs w:val="22"/>
        </w:rPr>
        <w:t>HB</w:t>
      </w:r>
      <w:r w:rsidR="00A77464" w:rsidRPr="00993AEA">
        <w:rPr>
          <w:rFonts w:ascii="Century Gothic" w:hAnsi="Century Gothic"/>
          <w:sz w:val="22"/>
          <w:szCs w:val="22"/>
        </w:rPr>
        <w:t xml:space="preserve">2160/ </w:t>
      </w:r>
      <w:r w:rsidR="00F675E3" w:rsidRPr="00993AEA">
        <w:rPr>
          <w:rFonts w:ascii="Century Gothic" w:hAnsi="Century Gothic"/>
          <w:sz w:val="22"/>
          <w:szCs w:val="22"/>
        </w:rPr>
        <w:t>HB</w:t>
      </w:r>
      <w:r w:rsidR="001408A7" w:rsidRPr="00993AEA">
        <w:rPr>
          <w:rFonts w:ascii="Century Gothic" w:hAnsi="Century Gothic"/>
          <w:sz w:val="22"/>
          <w:szCs w:val="22"/>
        </w:rPr>
        <w:t>2162</w:t>
      </w:r>
      <w:bookmarkEnd w:id="43"/>
    </w:p>
    <w:p w14:paraId="1C1B7FB0" w14:textId="79C1D2DC" w:rsidR="00E8021C" w:rsidRPr="00993AEA" w:rsidRDefault="00E8021C" w:rsidP="00E8021C">
      <w:pPr>
        <w:rPr>
          <w:rFonts w:ascii="Century Gothic" w:hAnsi="Century Gothic"/>
          <w:sz w:val="22"/>
          <w:szCs w:val="22"/>
        </w:rPr>
      </w:pPr>
      <w:r w:rsidRPr="00993AEA">
        <w:rPr>
          <w:rFonts w:ascii="Century Gothic" w:hAnsi="Century Gothic"/>
          <w:sz w:val="22"/>
          <w:szCs w:val="22"/>
        </w:rPr>
        <w:t xml:space="preserve">While there was interest in lifting the preemption on local jurisdictions in concept there was very little movement in public. </w:t>
      </w:r>
    </w:p>
    <w:p w14:paraId="69C880CF" w14:textId="77777777" w:rsidR="001408A7" w:rsidRPr="00993AEA" w:rsidRDefault="001408A7" w:rsidP="006B1487">
      <w:pPr>
        <w:pStyle w:val="Heading2"/>
        <w:rPr>
          <w:rFonts w:ascii="Century Gothic" w:hAnsi="Century Gothic"/>
          <w:sz w:val="22"/>
          <w:szCs w:val="22"/>
        </w:rPr>
      </w:pPr>
      <w:bookmarkStart w:id="44" w:name="_Toc298580331"/>
      <w:r w:rsidRPr="00993AEA">
        <w:rPr>
          <w:rFonts w:ascii="Century Gothic" w:hAnsi="Century Gothic"/>
          <w:sz w:val="22"/>
          <w:szCs w:val="22"/>
        </w:rPr>
        <w:t>Community Benefit to Public Health – HB2304</w:t>
      </w:r>
      <w:bookmarkEnd w:id="44"/>
      <w:r w:rsidRPr="00993AEA">
        <w:rPr>
          <w:rFonts w:ascii="Century Gothic" w:hAnsi="Century Gothic"/>
          <w:sz w:val="22"/>
          <w:szCs w:val="22"/>
        </w:rPr>
        <w:t xml:space="preserve"> </w:t>
      </w:r>
    </w:p>
    <w:p w14:paraId="1BC3432D" w14:textId="4E149602" w:rsidR="00E8021C" w:rsidRPr="00993AEA" w:rsidRDefault="00E8021C" w:rsidP="00E8021C">
      <w:pPr>
        <w:rPr>
          <w:rFonts w:ascii="Century Gothic" w:hAnsi="Century Gothic"/>
          <w:sz w:val="22"/>
          <w:szCs w:val="22"/>
        </w:rPr>
      </w:pPr>
      <w:r w:rsidRPr="00993AEA">
        <w:rPr>
          <w:rFonts w:ascii="Century Gothic" w:hAnsi="Century Gothic"/>
          <w:sz w:val="22"/>
          <w:szCs w:val="22"/>
        </w:rPr>
        <w:t xml:space="preserve">Representative Greenlick likes to recycle ideas he’s had from previous sessions and this is one of those bills.  The Hospitals and Health System Association </w:t>
      </w:r>
      <w:r w:rsidR="007E6180">
        <w:rPr>
          <w:rFonts w:ascii="Century Gothic" w:hAnsi="Century Gothic"/>
          <w:sz w:val="22"/>
          <w:szCs w:val="22"/>
        </w:rPr>
        <w:t>greatly opposed</w:t>
      </w:r>
      <w:r w:rsidR="007E6180" w:rsidRPr="00993AEA">
        <w:rPr>
          <w:rFonts w:ascii="Century Gothic" w:hAnsi="Century Gothic"/>
          <w:sz w:val="22"/>
          <w:szCs w:val="22"/>
        </w:rPr>
        <w:t xml:space="preserve"> </w:t>
      </w:r>
      <w:r w:rsidRPr="00993AEA">
        <w:rPr>
          <w:rFonts w:ascii="Century Gothic" w:hAnsi="Century Gothic"/>
          <w:sz w:val="22"/>
          <w:szCs w:val="22"/>
        </w:rPr>
        <w:t xml:space="preserve">this bill and it didn’t receive a hearing. </w:t>
      </w:r>
    </w:p>
    <w:p w14:paraId="4C027A76" w14:textId="77777777" w:rsidR="001408A7" w:rsidRPr="00993AEA" w:rsidRDefault="001408A7" w:rsidP="006B1487">
      <w:pPr>
        <w:pStyle w:val="Heading2"/>
        <w:rPr>
          <w:rFonts w:ascii="Century Gothic" w:hAnsi="Century Gothic"/>
          <w:sz w:val="22"/>
          <w:szCs w:val="22"/>
        </w:rPr>
      </w:pPr>
      <w:bookmarkStart w:id="45" w:name="_Toc298580332"/>
      <w:r w:rsidRPr="00993AEA">
        <w:rPr>
          <w:rFonts w:ascii="Century Gothic" w:hAnsi="Century Gothic"/>
          <w:sz w:val="22"/>
          <w:szCs w:val="22"/>
        </w:rPr>
        <w:t>Tobacco Flavor Ban – SB415</w:t>
      </w:r>
      <w:bookmarkEnd w:id="45"/>
    </w:p>
    <w:p w14:paraId="497AB2C1" w14:textId="190DFC9F" w:rsidR="00E8021C" w:rsidRPr="00993AEA" w:rsidRDefault="00E8021C" w:rsidP="00E8021C">
      <w:pPr>
        <w:rPr>
          <w:rFonts w:ascii="Century Gothic" w:hAnsi="Century Gothic"/>
          <w:sz w:val="22"/>
          <w:szCs w:val="22"/>
        </w:rPr>
      </w:pPr>
      <w:r w:rsidRPr="00993AEA">
        <w:rPr>
          <w:rFonts w:ascii="Century Gothic" w:hAnsi="Century Gothic"/>
          <w:sz w:val="22"/>
          <w:szCs w:val="22"/>
        </w:rPr>
        <w:t xml:space="preserve">Senator Monnes Anderson has been very worried about the </w:t>
      </w:r>
      <w:r w:rsidR="00D401B4" w:rsidRPr="00993AEA">
        <w:rPr>
          <w:rFonts w:ascii="Century Gothic" w:hAnsi="Century Gothic"/>
          <w:sz w:val="22"/>
          <w:szCs w:val="22"/>
        </w:rPr>
        <w:t xml:space="preserve">fact that flavored tobacco targets youth. </w:t>
      </w:r>
      <w:r w:rsidR="0053179C" w:rsidRPr="00993AEA">
        <w:rPr>
          <w:rFonts w:ascii="Century Gothic" w:hAnsi="Century Gothic"/>
          <w:sz w:val="22"/>
          <w:szCs w:val="22"/>
        </w:rPr>
        <w:t xml:space="preserve">The Senate Health Care Committee held a hearing on this bill and then referred the bill to Senate Finance to discuss the potential impact this bill would have on tobacco tax revenue. </w:t>
      </w:r>
    </w:p>
    <w:p w14:paraId="1620E4F9" w14:textId="1DCBF502" w:rsidR="001408A7" w:rsidRPr="00993AEA" w:rsidRDefault="009528D6" w:rsidP="006B1487">
      <w:pPr>
        <w:pStyle w:val="Heading2"/>
        <w:rPr>
          <w:rFonts w:ascii="Century Gothic" w:hAnsi="Century Gothic"/>
          <w:sz w:val="22"/>
          <w:szCs w:val="22"/>
        </w:rPr>
      </w:pPr>
      <w:bookmarkStart w:id="46" w:name="_Toc298580333"/>
      <w:r w:rsidRPr="00993AEA">
        <w:rPr>
          <w:rFonts w:ascii="Century Gothic" w:hAnsi="Century Gothic"/>
          <w:sz w:val="22"/>
          <w:szCs w:val="22"/>
        </w:rPr>
        <w:t>Elimina</w:t>
      </w:r>
      <w:r w:rsidR="00F675E3" w:rsidRPr="00993AEA">
        <w:rPr>
          <w:rFonts w:ascii="Century Gothic" w:hAnsi="Century Gothic"/>
          <w:sz w:val="22"/>
          <w:szCs w:val="22"/>
        </w:rPr>
        <w:t>te Immunization Exemptions – SB</w:t>
      </w:r>
      <w:r w:rsidRPr="00993AEA">
        <w:rPr>
          <w:rFonts w:ascii="Century Gothic" w:hAnsi="Century Gothic"/>
          <w:sz w:val="22"/>
          <w:szCs w:val="22"/>
        </w:rPr>
        <w:t>442</w:t>
      </w:r>
      <w:bookmarkEnd w:id="46"/>
    </w:p>
    <w:p w14:paraId="48A11543" w14:textId="2F24C534" w:rsidR="0053179C" w:rsidRPr="00993AEA" w:rsidRDefault="0053179C" w:rsidP="0053179C">
      <w:pPr>
        <w:rPr>
          <w:rFonts w:ascii="Century Gothic" w:hAnsi="Century Gothic"/>
          <w:sz w:val="22"/>
          <w:szCs w:val="22"/>
        </w:rPr>
      </w:pPr>
      <w:r w:rsidRPr="00993AEA">
        <w:rPr>
          <w:rFonts w:ascii="Century Gothic" w:hAnsi="Century Gothic"/>
          <w:sz w:val="22"/>
          <w:szCs w:val="22"/>
        </w:rPr>
        <w:t xml:space="preserve">Senator Steiner-Hayward </w:t>
      </w:r>
      <w:r w:rsidR="006F28AD" w:rsidRPr="00993AEA">
        <w:rPr>
          <w:rFonts w:ascii="Century Gothic" w:hAnsi="Century Gothic"/>
          <w:sz w:val="22"/>
          <w:szCs w:val="22"/>
        </w:rPr>
        <w:t xml:space="preserve">introduced SB 442 that would have eliminated all philosophical exemptions for vaccines.  This was probably one of the most controversial bills this legislative session. </w:t>
      </w:r>
    </w:p>
    <w:p w14:paraId="06FCF1B6" w14:textId="77777777" w:rsidR="009528D6" w:rsidRPr="00993AEA" w:rsidRDefault="009528D6" w:rsidP="006B1487">
      <w:pPr>
        <w:pStyle w:val="Heading2"/>
        <w:rPr>
          <w:rFonts w:ascii="Century Gothic" w:hAnsi="Century Gothic"/>
          <w:sz w:val="22"/>
          <w:szCs w:val="22"/>
        </w:rPr>
      </w:pPr>
      <w:bookmarkStart w:id="47" w:name="_Toc298580334"/>
      <w:r w:rsidRPr="00993AEA">
        <w:rPr>
          <w:rFonts w:ascii="Century Gothic" w:hAnsi="Century Gothic"/>
          <w:sz w:val="22"/>
          <w:szCs w:val="22"/>
        </w:rPr>
        <w:t>Comprehensive Women’s Health – SB894</w:t>
      </w:r>
      <w:bookmarkEnd w:id="47"/>
    </w:p>
    <w:p w14:paraId="3A73D2AB" w14:textId="5499A8D6" w:rsidR="00AD26D4" w:rsidRPr="005E1909" w:rsidRDefault="00AD26D4" w:rsidP="00AD26D4">
      <w:pPr>
        <w:rPr>
          <w:rFonts w:ascii="Century Gothic" w:hAnsi="Century Gothic"/>
          <w:sz w:val="22"/>
          <w:szCs w:val="22"/>
        </w:rPr>
      </w:pPr>
      <w:r w:rsidRPr="00616FEB">
        <w:rPr>
          <w:rFonts w:ascii="Century Gothic" w:hAnsi="Century Gothic"/>
          <w:sz w:val="22"/>
          <w:szCs w:val="22"/>
        </w:rPr>
        <w:t xml:space="preserve">SB 894 was the comprehensive women’s health bill introduced this session. </w:t>
      </w:r>
      <w:r w:rsidR="004724E3" w:rsidRPr="00616FEB">
        <w:rPr>
          <w:rFonts w:ascii="Century Gothic" w:hAnsi="Century Gothic"/>
          <w:sz w:val="22"/>
          <w:szCs w:val="22"/>
        </w:rPr>
        <w:t xml:space="preserve">This bill included </w:t>
      </w:r>
      <w:r w:rsidR="00616FEB">
        <w:rPr>
          <w:rFonts w:ascii="Century Gothic" w:hAnsi="Century Gothic"/>
          <w:sz w:val="22"/>
          <w:szCs w:val="22"/>
        </w:rPr>
        <w:t xml:space="preserve">provisions for women to access safe abortions and did not receive a hearing.  </w:t>
      </w:r>
      <w:r w:rsidR="00616FEB" w:rsidRPr="005E1909">
        <w:rPr>
          <w:rFonts w:ascii="Century Gothic" w:hAnsi="Century Gothic"/>
          <w:sz w:val="22"/>
          <w:szCs w:val="22"/>
        </w:rPr>
        <w:t xml:space="preserve">Legislators turned their attention to other women’s health bills that would have the political support to pass. </w:t>
      </w:r>
    </w:p>
    <w:p w14:paraId="45233B47" w14:textId="01F10DD4" w:rsidR="00A77464" w:rsidRPr="005E1909" w:rsidRDefault="00A77464" w:rsidP="00A77464">
      <w:pPr>
        <w:pStyle w:val="Heading2"/>
        <w:rPr>
          <w:rFonts w:ascii="Century Gothic" w:hAnsi="Century Gothic"/>
          <w:sz w:val="22"/>
          <w:szCs w:val="22"/>
        </w:rPr>
      </w:pPr>
      <w:bookmarkStart w:id="48" w:name="_Toc298580335"/>
      <w:r w:rsidRPr="005E1909">
        <w:rPr>
          <w:rFonts w:ascii="Century Gothic" w:hAnsi="Century Gothic"/>
          <w:sz w:val="22"/>
          <w:szCs w:val="22"/>
        </w:rPr>
        <w:t>Clean Diesel – SB 824</w:t>
      </w:r>
      <w:bookmarkEnd w:id="48"/>
    </w:p>
    <w:p w14:paraId="06A77144" w14:textId="60EA6C5B" w:rsidR="00616FEB" w:rsidRPr="005E1909" w:rsidRDefault="005E1909" w:rsidP="00616FEB">
      <w:pPr>
        <w:rPr>
          <w:rFonts w:ascii="Century Gothic" w:hAnsi="Century Gothic"/>
          <w:sz w:val="22"/>
          <w:szCs w:val="22"/>
        </w:rPr>
      </w:pPr>
      <w:r>
        <w:rPr>
          <w:rFonts w:ascii="Century Gothic" w:hAnsi="Century Gothic"/>
          <w:sz w:val="22"/>
          <w:szCs w:val="22"/>
        </w:rPr>
        <w:t xml:space="preserve">While SB 824 was compromised to a Task Force to </w:t>
      </w:r>
      <w:r w:rsidR="00B928A7">
        <w:rPr>
          <w:rFonts w:ascii="Century Gothic" w:hAnsi="Century Gothic"/>
          <w:sz w:val="22"/>
          <w:szCs w:val="22"/>
        </w:rPr>
        <w:t xml:space="preserve">Investigate a Clean Diesel Program there just wasn’t enough momentum to get the bill through the legislative session. </w:t>
      </w:r>
    </w:p>
    <w:p w14:paraId="4D6A7501" w14:textId="4209C8D1" w:rsidR="00A77464" w:rsidRDefault="00F675E3" w:rsidP="00A77464">
      <w:pPr>
        <w:pStyle w:val="Heading2"/>
        <w:rPr>
          <w:rFonts w:ascii="Century Gothic" w:hAnsi="Century Gothic"/>
          <w:sz w:val="22"/>
          <w:szCs w:val="22"/>
        </w:rPr>
      </w:pPr>
      <w:bookmarkStart w:id="49" w:name="_Toc298580336"/>
      <w:r w:rsidRPr="005E1909">
        <w:rPr>
          <w:rFonts w:ascii="Century Gothic" w:hAnsi="Century Gothic"/>
          <w:sz w:val="22"/>
          <w:szCs w:val="22"/>
        </w:rPr>
        <w:t>Minimum Wage Increase $15 – HB</w:t>
      </w:r>
      <w:r w:rsidR="00A77464" w:rsidRPr="005E1909">
        <w:rPr>
          <w:rFonts w:ascii="Century Gothic" w:hAnsi="Century Gothic"/>
          <w:sz w:val="22"/>
          <w:szCs w:val="22"/>
        </w:rPr>
        <w:t>2009</w:t>
      </w:r>
      <w:bookmarkEnd w:id="49"/>
    </w:p>
    <w:p w14:paraId="3238632B" w14:textId="457406CC" w:rsidR="005E1909" w:rsidRPr="005E1909" w:rsidRDefault="005E1909" w:rsidP="005E1909">
      <w:pPr>
        <w:rPr>
          <w:rFonts w:ascii="Century Gothic" w:hAnsi="Century Gothic"/>
          <w:sz w:val="22"/>
          <w:szCs w:val="22"/>
        </w:rPr>
      </w:pPr>
      <w:r>
        <w:rPr>
          <w:rFonts w:ascii="Century Gothic" w:hAnsi="Century Gothic"/>
          <w:sz w:val="22"/>
          <w:szCs w:val="22"/>
        </w:rPr>
        <w:t xml:space="preserve">Discussion of increasing the minimum wage is not an issue that will die with the 2015 legislative session. There are already discussions about potential ballot initiatives and coming back for a compromise bill in the 2016 legislative session. </w:t>
      </w:r>
    </w:p>
    <w:p w14:paraId="3B0E2C0E" w14:textId="5039170B" w:rsidR="00A77464" w:rsidRPr="005E1909" w:rsidRDefault="00F675E3" w:rsidP="00A77464">
      <w:pPr>
        <w:pStyle w:val="Heading2"/>
        <w:rPr>
          <w:rFonts w:ascii="Century Gothic" w:hAnsi="Century Gothic"/>
          <w:sz w:val="22"/>
          <w:szCs w:val="22"/>
        </w:rPr>
      </w:pPr>
      <w:bookmarkStart w:id="50" w:name="_Toc298580337"/>
      <w:r w:rsidRPr="005E1909">
        <w:rPr>
          <w:rFonts w:ascii="Century Gothic" w:hAnsi="Century Gothic"/>
          <w:sz w:val="22"/>
          <w:szCs w:val="22"/>
        </w:rPr>
        <w:t>Nurses at Blood Drives – HB</w:t>
      </w:r>
      <w:r w:rsidR="00A77464" w:rsidRPr="005E1909">
        <w:rPr>
          <w:rFonts w:ascii="Century Gothic" w:hAnsi="Century Gothic"/>
          <w:sz w:val="22"/>
          <w:szCs w:val="22"/>
        </w:rPr>
        <w:t>2541</w:t>
      </w:r>
      <w:bookmarkEnd w:id="50"/>
    </w:p>
    <w:p w14:paraId="40223641" w14:textId="7B882D22" w:rsidR="005E1909" w:rsidRPr="005E1909" w:rsidRDefault="005E1909" w:rsidP="005E1909">
      <w:pPr>
        <w:rPr>
          <w:rFonts w:ascii="Century Gothic" w:hAnsi="Century Gothic"/>
          <w:sz w:val="22"/>
          <w:szCs w:val="22"/>
        </w:rPr>
      </w:pPr>
      <w:r>
        <w:rPr>
          <w:rFonts w:ascii="Century Gothic" w:hAnsi="Century Gothic"/>
          <w:sz w:val="22"/>
          <w:szCs w:val="22"/>
        </w:rPr>
        <w:t xml:space="preserve">An priority bill for the Oregon Nurses Association, HB 2541 would have required nurses at blood drives helping to ensure the safety of blood drives and the blood supply. </w:t>
      </w:r>
    </w:p>
    <w:p w14:paraId="62E8EA0A" w14:textId="6163FD8F" w:rsidR="00A77464" w:rsidRPr="005E1909" w:rsidRDefault="00A77464" w:rsidP="00A77464">
      <w:pPr>
        <w:pStyle w:val="Heading2"/>
        <w:rPr>
          <w:rFonts w:ascii="Century Gothic" w:hAnsi="Century Gothic"/>
          <w:sz w:val="22"/>
          <w:szCs w:val="22"/>
        </w:rPr>
      </w:pPr>
      <w:bookmarkStart w:id="51" w:name="_Toc298580338"/>
      <w:r w:rsidRPr="005E1909">
        <w:rPr>
          <w:rFonts w:ascii="Century Gothic" w:hAnsi="Century Gothic"/>
          <w:sz w:val="22"/>
          <w:szCs w:val="22"/>
        </w:rPr>
        <w:t>Senior Farm</w:t>
      </w:r>
      <w:r w:rsidR="00F675E3" w:rsidRPr="005E1909">
        <w:rPr>
          <w:rFonts w:ascii="Century Gothic" w:hAnsi="Century Gothic"/>
          <w:sz w:val="22"/>
          <w:szCs w:val="22"/>
        </w:rPr>
        <w:t xml:space="preserve"> Direct Nutrition Increase – SB</w:t>
      </w:r>
      <w:r w:rsidRPr="005E1909">
        <w:rPr>
          <w:rFonts w:ascii="Century Gothic" w:hAnsi="Century Gothic"/>
          <w:sz w:val="22"/>
          <w:szCs w:val="22"/>
        </w:rPr>
        <w:t>700</w:t>
      </w:r>
      <w:bookmarkEnd w:id="51"/>
    </w:p>
    <w:p w14:paraId="30D19102" w14:textId="3F0F1194" w:rsidR="009528D6" w:rsidRPr="005E1909" w:rsidRDefault="005E1909" w:rsidP="00B31AD6">
      <w:pPr>
        <w:rPr>
          <w:rFonts w:ascii="Century Gothic" w:hAnsi="Century Gothic"/>
          <w:sz w:val="22"/>
          <w:szCs w:val="22"/>
        </w:rPr>
      </w:pPr>
      <w:r w:rsidRPr="005E1909">
        <w:rPr>
          <w:rFonts w:ascii="Century Gothic" w:hAnsi="Century Gothic"/>
          <w:sz w:val="22"/>
          <w:szCs w:val="22"/>
        </w:rPr>
        <w:t xml:space="preserve">While SB 700 didn’t pass there was additional funding to Senior and WIC Farm Direct Nutrition in the final budget bill that passed. </w:t>
      </w:r>
    </w:p>
    <w:p w14:paraId="2CC03C4A" w14:textId="0A4851B0" w:rsidR="00B31AD6" w:rsidRPr="00616FEB" w:rsidRDefault="00B31AD6" w:rsidP="006B1487">
      <w:pPr>
        <w:pStyle w:val="Heading1"/>
        <w:rPr>
          <w:rFonts w:ascii="Century Gothic" w:hAnsi="Century Gothic"/>
          <w:sz w:val="22"/>
          <w:szCs w:val="22"/>
        </w:rPr>
      </w:pPr>
      <w:bookmarkStart w:id="52" w:name="_Toc298580339"/>
      <w:r w:rsidRPr="00616FEB">
        <w:rPr>
          <w:rFonts w:ascii="Century Gothic" w:hAnsi="Century Gothic"/>
          <w:sz w:val="22"/>
          <w:szCs w:val="22"/>
        </w:rPr>
        <w:t>Appendices –</w:t>
      </w:r>
      <w:bookmarkEnd w:id="52"/>
      <w:r w:rsidR="00F675E3" w:rsidRPr="00616FEB">
        <w:rPr>
          <w:rFonts w:ascii="Century Gothic" w:hAnsi="Century Gothic"/>
          <w:sz w:val="22"/>
          <w:szCs w:val="22"/>
        </w:rPr>
        <w:t xml:space="preserve"> </w:t>
      </w:r>
    </w:p>
    <w:p w14:paraId="65D5B587" w14:textId="77777777" w:rsidR="00B31AD6" w:rsidRPr="00993AEA" w:rsidRDefault="00B31AD6" w:rsidP="00F675E3">
      <w:pPr>
        <w:rPr>
          <w:rFonts w:ascii="Century Gothic" w:hAnsi="Century Gothic"/>
          <w:sz w:val="22"/>
          <w:szCs w:val="22"/>
        </w:rPr>
      </w:pPr>
    </w:p>
    <w:p w14:paraId="72B4D4E9" w14:textId="77777777" w:rsidR="00BF6E77" w:rsidRPr="00993AEA" w:rsidRDefault="00BF6E77" w:rsidP="00BF6E77">
      <w:pPr>
        <w:rPr>
          <w:rFonts w:ascii="Century Gothic" w:hAnsi="Century Gothic"/>
          <w:sz w:val="22"/>
          <w:szCs w:val="22"/>
        </w:rPr>
      </w:pPr>
    </w:p>
    <w:p w14:paraId="2BFC7FF4" w14:textId="10C57342" w:rsidR="0077352B" w:rsidRPr="00993AEA" w:rsidRDefault="0077352B">
      <w:pPr>
        <w:rPr>
          <w:rFonts w:ascii="Century Gothic" w:hAnsi="Century Gothic"/>
          <w:sz w:val="22"/>
          <w:szCs w:val="22"/>
        </w:rPr>
      </w:pPr>
      <w:r w:rsidRPr="00993AEA">
        <w:rPr>
          <w:rFonts w:ascii="Century Gothic" w:hAnsi="Century Gothic"/>
          <w:sz w:val="22"/>
          <w:szCs w:val="22"/>
        </w:rPr>
        <w:br w:type="page"/>
      </w:r>
    </w:p>
    <w:p w14:paraId="5EF5C4D9" w14:textId="77777777" w:rsidR="00B31AD6" w:rsidRPr="00993AEA" w:rsidRDefault="00B31AD6" w:rsidP="00BF6E77">
      <w:pPr>
        <w:rPr>
          <w:rFonts w:ascii="Century Gothic" w:hAnsi="Century Gothic"/>
          <w:sz w:val="22"/>
          <w:szCs w:val="22"/>
        </w:rPr>
      </w:pPr>
    </w:p>
    <w:p w14:paraId="76AA7AD7" w14:textId="77777777" w:rsidR="00B31AD6" w:rsidRPr="00993AEA" w:rsidRDefault="00B31AD6" w:rsidP="00BF6E77">
      <w:pPr>
        <w:rPr>
          <w:rFonts w:ascii="Century Gothic" w:hAnsi="Century Gothic"/>
          <w:sz w:val="22"/>
          <w:szCs w:val="22"/>
        </w:rPr>
      </w:pPr>
    </w:p>
    <w:sectPr w:rsidR="00B31AD6" w:rsidRPr="00993AEA" w:rsidSect="005E0FF8">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9F32D" w14:textId="77777777" w:rsidR="005E1909" w:rsidRDefault="005E1909" w:rsidP="0099019C">
      <w:r>
        <w:separator/>
      </w:r>
    </w:p>
  </w:endnote>
  <w:endnote w:type="continuationSeparator" w:id="0">
    <w:p w14:paraId="2A1A2F14" w14:textId="77777777" w:rsidR="005E1909" w:rsidRDefault="005E1909" w:rsidP="00990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CD0458" w14:textId="77777777" w:rsidR="005E1909" w:rsidRDefault="005E1909" w:rsidP="00990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0320D" w14:textId="77777777" w:rsidR="005E1909" w:rsidRDefault="005E1909" w:rsidP="009901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A5DF18A" w14:textId="77777777" w:rsidR="005E1909" w:rsidRDefault="005E1909" w:rsidP="009901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4FCC">
      <w:rPr>
        <w:rStyle w:val="PageNumber"/>
        <w:noProof/>
      </w:rPr>
      <w:t>1</w:t>
    </w:r>
    <w:r>
      <w:rPr>
        <w:rStyle w:val="PageNumber"/>
      </w:rPr>
      <w:fldChar w:fldCharType="end"/>
    </w:r>
  </w:p>
  <w:p w14:paraId="08D68FF9" w14:textId="77777777" w:rsidR="005E1909" w:rsidRDefault="005E1909" w:rsidP="0099019C">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2D16534" w14:textId="77777777" w:rsidR="005E1909" w:rsidRDefault="005E190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FB1776" w14:textId="77777777" w:rsidR="005E1909" w:rsidRDefault="005E1909" w:rsidP="0099019C">
      <w:r>
        <w:separator/>
      </w:r>
    </w:p>
  </w:footnote>
  <w:footnote w:type="continuationSeparator" w:id="0">
    <w:p w14:paraId="190D8B9D" w14:textId="77777777" w:rsidR="005E1909" w:rsidRDefault="005E1909" w:rsidP="0099019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413264" w14:textId="0950FFA7" w:rsidR="005E1909" w:rsidRDefault="005E1909">
    <w:pPr>
      <w:pStyle w:val="Header"/>
    </w:pPr>
    <w:r>
      <w:rPr>
        <w:noProof/>
      </w:rPr>
      <w:pict w14:anchorId="33E23D28">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6in;height:2in;z-index:-251655168;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84200F7" w14:textId="55C908DF" w:rsidR="005E1909" w:rsidRDefault="005E1909">
    <w:pPr>
      <w:pStyle w:val="Header"/>
    </w:pPr>
    <w:r>
      <w:rPr>
        <w:noProof/>
      </w:rPr>
      <w:pict w14:anchorId="38E8CB3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6in;height:2in;z-index:-251657216;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9307816" w14:textId="7473FB30" w:rsidR="005E1909" w:rsidRDefault="005E1909">
    <w:pPr>
      <w:pStyle w:val="Header"/>
    </w:pPr>
    <w:r>
      <w:rPr>
        <w:noProof/>
      </w:rPr>
      <w:pict w14:anchorId="4865622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6in;height:2in;z-index:-251653120;mso-wrap-edited:f;mso-position-horizontal:center;mso-position-horizontal-relative:margin;mso-position-vertical:center;mso-position-vertical-relative:margin" wrapcoords="11100 5062 375 5062 337 5512 750 6862 750 15862 337 17100 337 17325 20325 17325 20325 17100 19875 15862 19837 8662 21075 8550 21412 8212 21412 5062 11850 5062 11100 5062"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6ABB"/>
    <w:multiLevelType w:val="hybridMultilevel"/>
    <w:tmpl w:val="9B8A9E1C"/>
    <w:lvl w:ilvl="0" w:tplc="4FBC6AE6">
      <w:start w:val="1"/>
      <w:numFmt w:val="decimal"/>
      <w:lvlText w:val="%1."/>
      <w:lvlJc w:val="left"/>
      <w:pPr>
        <w:ind w:left="740" w:hanging="3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D059BB"/>
    <w:multiLevelType w:val="hybridMultilevel"/>
    <w:tmpl w:val="5BD8F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EF29A0"/>
    <w:multiLevelType w:val="hybridMultilevel"/>
    <w:tmpl w:val="3DA0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D14EA7"/>
    <w:multiLevelType w:val="multilevel"/>
    <w:tmpl w:val="8204581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4">
    <w:nsid w:val="44D20088"/>
    <w:multiLevelType w:val="hybridMultilevel"/>
    <w:tmpl w:val="082E3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2D7E9A"/>
    <w:multiLevelType w:val="hybridMultilevel"/>
    <w:tmpl w:val="77381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28D1FAD"/>
    <w:multiLevelType w:val="hybridMultilevel"/>
    <w:tmpl w:val="D4FEC0CA"/>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nsid w:val="58416E6F"/>
    <w:multiLevelType w:val="hybridMultilevel"/>
    <w:tmpl w:val="E4C6458E"/>
    <w:lvl w:ilvl="0" w:tplc="09E4C16C">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7524C9"/>
    <w:multiLevelType w:val="hybridMultilevel"/>
    <w:tmpl w:val="773819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171F9"/>
    <w:multiLevelType w:val="hybridMultilevel"/>
    <w:tmpl w:val="6470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5E1B65"/>
    <w:multiLevelType w:val="hybridMultilevel"/>
    <w:tmpl w:val="5FD27EA6"/>
    <w:lvl w:ilvl="0" w:tplc="2B781A92">
      <w:start w:val="1"/>
      <w:numFmt w:val="bullet"/>
      <w:lvlText w:val=""/>
      <w:lvlJc w:val="left"/>
      <w:pPr>
        <w:tabs>
          <w:tab w:val="num" w:pos="360"/>
        </w:tabs>
        <w:ind w:left="360" w:hanging="360"/>
      </w:pPr>
      <w:rPr>
        <w:rFonts w:ascii="Wingdings" w:hAnsi="Wingdings" w:hint="default"/>
        <w:color w:val="274E6F"/>
        <w:sz w:val="28"/>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6190BE2"/>
    <w:multiLevelType w:val="hybridMultilevel"/>
    <w:tmpl w:val="F88A8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8B2434A"/>
    <w:multiLevelType w:val="hybridMultilevel"/>
    <w:tmpl w:val="820458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9233770"/>
    <w:multiLevelType w:val="hybridMultilevel"/>
    <w:tmpl w:val="1C149A7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nsid w:val="6DF6567B"/>
    <w:multiLevelType w:val="multilevel"/>
    <w:tmpl w:val="D4FEC0CA"/>
    <w:lvl w:ilvl="0">
      <w:start w:val="1"/>
      <w:numFmt w:val="decimal"/>
      <w:lvlText w:val="%1."/>
      <w:lvlJc w:val="left"/>
      <w:pPr>
        <w:ind w:left="540" w:hanging="360"/>
      </w:p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5">
    <w:nsid w:val="7EF55CFF"/>
    <w:multiLevelType w:val="hybridMultilevel"/>
    <w:tmpl w:val="99EA483A"/>
    <w:lvl w:ilvl="0" w:tplc="7910FA8C">
      <w:numFmt w:val="bullet"/>
      <w:lvlText w:val="-"/>
      <w:lvlJc w:val="left"/>
      <w:pPr>
        <w:ind w:left="720" w:hanging="360"/>
      </w:pPr>
      <w:rPr>
        <w:rFonts w:ascii="Cambria" w:eastAsiaTheme="minorEastAsia" w:hAnsi="Cambria"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10"/>
  </w:num>
  <w:num w:numId="4">
    <w:abstractNumId w:val="0"/>
  </w:num>
  <w:num w:numId="5">
    <w:abstractNumId w:val="7"/>
  </w:num>
  <w:num w:numId="6">
    <w:abstractNumId w:val="1"/>
  </w:num>
  <w:num w:numId="7">
    <w:abstractNumId w:val="15"/>
  </w:num>
  <w:num w:numId="8">
    <w:abstractNumId w:val="13"/>
  </w:num>
  <w:num w:numId="9">
    <w:abstractNumId w:val="2"/>
  </w:num>
  <w:num w:numId="10">
    <w:abstractNumId w:val="6"/>
  </w:num>
  <w:num w:numId="11">
    <w:abstractNumId w:val="12"/>
  </w:num>
  <w:num w:numId="12">
    <w:abstractNumId w:val="11"/>
  </w:num>
  <w:num w:numId="13">
    <w:abstractNumId w:val="9"/>
  </w:num>
  <w:num w:numId="14">
    <w:abstractNumId w:val="4"/>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B95"/>
    <w:rsid w:val="00054071"/>
    <w:rsid w:val="0009601A"/>
    <w:rsid w:val="000C48EB"/>
    <w:rsid w:val="000F79DC"/>
    <w:rsid w:val="001408A7"/>
    <w:rsid w:val="001706D4"/>
    <w:rsid w:val="001D1034"/>
    <w:rsid w:val="001D728C"/>
    <w:rsid w:val="002011CA"/>
    <w:rsid w:val="00214785"/>
    <w:rsid w:val="002652D7"/>
    <w:rsid w:val="002E3348"/>
    <w:rsid w:val="002E79B6"/>
    <w:rsid w:val="00306C85"/>
    <w:rsid w:val="003463FB"/>
    <w:rsid w:val="00354655"/>
    <w:rsid w:val="00370677"/>
    <w:rsid w:val="00382DE8"/>
    <w:rsid w:val="00416AC1"/>
    <w:rsid w:val="00424568"/>
    <w:rsid w:val="00446AF5"/>
    <w:rsid w:val="00470D26"/>
    <w:rsid w:val="004724E3"/>
    <w:rsid w:val="004A0E50"/>
    <w:rsid w:val="004C2C0A"/>
    <w:rsid w:val="004F4FCC"/>
    <w:rsid w:val="0053179C"/>
    <w:rsid w:val="005608C3"/>
    <w:rsid w:val="005E0FF8"/>
    <w:rsid w:val="005E1909"/>
    <w:rsid w:val="006013F9"/>
    <w:rsid w:val="00616FEB"/>
    <w:rsid w:val="00672E6D"/>
    <w:rsid w:val="00697137"/>
    <w:rsid w:val="006A620C"/>
    <w:rsid w:val="006A6218"/>
    <w:rsid w:val="006B1487"/>
    <w:rsid w:val="006C1885"/>
    <w:rsid w:val="006D6FEF"/>
    <w:rsid w:val="006F28AD"/>
    <w:rsid w:val="00705D37"/>
    <w:rsid w:val="0077352B"/>
    <w:rsid w:val="00773F35"/>
    <w:rsid w:val="007B38DC"/>
    <w:rsid w:val="007D45B4"/>
    <w:rsid w:val="007E6180"/>
    <w:rsid w:val="008E05E0"/>
    <w:rsid w:val="008F0366"/>
    <w:rsid w:val="008F2B25"/>
    <w:rsid w:val="00936D5C"/>
    <w:rsid w:val="009528D6"/>
    <w:rsid w:val="00980102"/>
    <w:rsid w:val="0099019C"/>
    <w:rsid w:val="00993AEA"/>
    <w:rsid w:val="00A10D2B"/>
    <w:rsid w:val="00A13B95"/>
    <w:rsid w:val="00A53CF7"/>
    <w:rsid w:val="00A77464"/>
    <w:rsid w:val="00AB10B6"/>
    <w:rsid w:val="00AC6248"/>
    <w:rsid w:val="00AC74CE"/>
    <w:rsid w:val="00AD26D4"/>
    <w:rsid w:val="00B31AD6"/>
    <w:rsid w:val="00B56B3C"/>
    <w:rsid w:val="00B928A7"/>
    <w:rsid w:val="00BC56A1"/>
    <w:rsid w:val="00BD3161"/>
    <w:rsid w:val="00BF0972"/>
    <w:rsid w:val="00BF56AE"/>
    <w:rsid w:val="00BF6E77"/>
    <w:rsid w:val="00C64D36"/>
    <w:rsid w:val="00CB7A05"/>
    <w:rsid w:val="00CC70B3"/>
    <w:rsid w:val="00CE5291"/>
    <w:rsid w:val="00D21287"/>
    <w:rsid w:val="00D25AC0"/>
    <w:rsid w:val="00D27A3D"/>
    <w:rsid w:val="00D401B4"/>
    <w:rsid w:val="00D64600"/>
    <w:rsid w:val="00D7718E"/>
    <w:rsid w:val="00D947CA"/>
    <w:rsid w:val="00DC02CA"/>
    <w:rsid w:val="00E0692B"/>
    <w:rsid w:val="00E30010"/>
    <w:rsid w:val="00E447E2"/>
    <w:rsid w:val="00E8021C"/>
    <w:rsid w:val="00EB3F38"/>
    <w:rsid w:val="00EC4E9E"/>
    <w:rsid w:val="00F16BA1"/>
    <w:rsid w:val="00F61F7A"/>
    <w:rsid w:val="00F675E3"/>
    <w:rsid w:val="00F7504E"/>
    <w:rsid w:val="00F83860"/>
    <w:rsid w:val="00FB04D5"/>
    <w:rsid w:val="00FB6ADF"/>
    <w:rsid w:val="00FC0124"/>
    <w:rsid w:val="00FC5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552328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E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B14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77"/>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F6E77"/>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BF6E77"/>
    <w:rPr>
      <w:rFonts w:ascii="Lucida Grande" w:hAnsi="Lucida Grande"/>
      <w:sz w:val="18"/>
      <w:szCs w:val="18"/>
    </w:rPr>
  </w:style>
  <w:style w:type="character" w:customStyle="1" w:styleId="BalloonTextChar">
    <w:name w:val="Balloon Text Char"/>
    <w:basedOn w:val="DefaultParagraphFont"/>
    <w:link w:val="BalloonText"/>
    <w:uiPriority w:val="99"/>
    <w:semiHidden/>
    <w:rsid w:val="00BF6E77"/>
    <w:rPr>
      <w:rFonts w:ascii="Lucida Grande" w:hAnsi="Lucida Grande"/>
      <w:sz w:val="18"/>
      <w:szCs w:val="18"/>
    </w:rPr>
  </w:style>
  <w:style w:type="paragraph" w:styleId="TOC1">
    <w:name w:val="toc 1"/>
    <w:basedOn w:val="Normal"/>
    <w:next w:val="Normal"/>
    <w:autoRedefine/>
    <w:uiPriority w:val="39"/>
    <w:unhideWhenUsed/>
    <w:rsid w:val="00BF6E77"/>
    <w:pPr>
      <w:spacing w:before="120"/>
    </w:pPr>
    <w:rPr>
      <w:rFonts w:asciiTheme="majorHAnsi" w:hAnsiTheme="majorHAnsi"/>
      <w:b/>
      <w:color w:val="548DD4"/>
    </w:rPr>
  </w:style>
  <w:style w:type="paragraph" w:styleId="TOC2">
    <w:name w:val="toc 2"/>
    <w:basedOn w:val="Normal"/>
    <w:next w:val="Normal"/>
    <w:autoRedefine/>
    <w:uiPriority w:val="39"/>
    <w:unhideWhenUsed/>
    <w:rsid w:val="00BF6E77"/>
    <w:rPr>
      <w:sz w:val="22"/>
      <w:szCs w:val="22"/>
    </w:rPr>
  </w:style>
  <w:style w:type="paragraph" w:styleId="TOC3">
    <w:name w:val="toc 3"/>
    <w:basedOn w:val="Normal"/>
    <w:next w:val="Normal"/>
    <w:autoRedefine/>
    <w:uiPriority w:val="39"/>
    <w:unhideWhenUsed/>
    <w:rsid w:val="00BF6E77"/>
    <w:pPr>
      <w:ind w:left="240"/>
    </w:pPr>
    <w:rPr>
      <w:i/>
      <w:sz w:val="22"/>
      <w:szCs w:val="22"/>
    </w:rPr>
  </w:style>
  <w:style w:type="paragraph" w:styleId="TOC4">
    <w:name w:val="toc 4"/>
    <w:basedOn w:val="Normal"/>
    <w:next w:val="Normal"/>
    <w:autoRedefine/>
    <w:uiPriority w:val="39"/>
    <w:unhideWhenUsed/>
    <w:rsid w:val="00BF6E77"/>
    <w:pPr>
      <w:pBdr>
        <w:between w:val="double" w:sz="6" w:space="0" w:color="auto"/>
      </w:pBdr>
      <w:ind w:left="480"/>
    </w:pPr>
    <w:rPr>
      <w:sz w:val="20"/>
      <w:szCs w:val="20"/>
    </w:rPr>
  </w:style>
  <w:style w:type="paragraph" w:styleId="TOC5">
    <w:name w:val="toc 5"/>
    <w:basedOn w:val="Normal"/>
    <w:next w:val="Normal"/>
    <w:autoRedefine/>
    <w:uiPriority w:val="39"/>
    <w:unhideWhenUsed/>
    <w:rsid w:val="00BF6E77"/>
    <w:pPr>
      <w:pBdr>
        <w:between w:val="double" w:sz="6" w:space="0" w:color="auto"/>
      </w:pBdr>
      <w:ind w:left="720"/>
    </w:pPr>
    <w:rPr>
      <w:sz w:val="20"/>
      <w:szCs w:val="20"/>
    </w:rPr>
  </w:style>
  <w:style w:type="paragraph" w:styleId="TOC6">
    <w:name w:val="toc 6"/>
    <w:basedOn w:val="Normal"/>
    <w:next w:val="Normal"/>
    <w:autoRedefine/>
    <w:uiPriority w:val="39"/>
    <w:unhideWhenUsed/>
    <w:rsid w:val="00BF6E77"/>
    <w:pPr>
      <w:pBdr>
        <w:between w:val="double" w:sz="6" w:space="0" w:color="auto"/>
      </w:pBdr>
      <w:ind w:left="960"/>
    </w:pPr>
    <w:rPr>
      <w:sz w:val="20"/>
      <w:szCs w:val="20"/>
    </w:rPr>
  </w:style>
  <w:style w:type="paragraph" w:styleId="TOC7">
    <w:name w:val="toc 7"/>
    <w:basedOn w:val="Normal"/>
    <w:next w:val="Normal"/>
    <w:autoRedefine/>
    <w:uiPriority w:val="39"/>
    <w:unhideWhenUsed/>
    <w:rsid w:val="00BF6E77"/>
    <w:pPr>
      <w:pBdr>
        <w:between w:val="double" w:sz="6" w:space="0" w:color="auto"/>
      </w:pBdr>
      <w:ind w:left="1200"/>
    </w:pPr>
    <w:rPr>
      <w:sz w:val="20"/>
      <w:szCs w:val="20"/>
    </w:rPr>
  </w:style>
  <w:style w:type="paragraph" w:styleId="TOC8">
    <w:name w:val="toc 8"/>
    <w:basedOn w:val="Normal"/>
    <w:next w:val="Normal"/>
    <w:autoRedefine/>
    <w:uiPriority w:val="39"/>
    <w:unhideWhenUsed/>
    <w:rsid w:val="00BF6E77"/>
    <w:pPr>
      <w:pBdr>
        <w:between w:val="double" w:sz="6" w:space="0" w:color="auto"/>
      </w:pBdr>
      <w:ind w:left="1440"/>
    </w:pPr>
    <w:rPr>
      <w:sz w:val="20"/>
      <w:szCs w:val="20"/>
    </w:rPr>
  </w:style>
  <w:style w:type="paragraph" w:styleId="TOC9">
    <w:name w:val="toc 9"/>
    <w:basedOn w:val="Normal"/>
    <w:next w:val="Normal"/>
    <w:autoRedefine/>
    <w:uiPriority w:val="39"/>
    <w:unhideWhenUsed/>
    <w:rsid w:val="00BF6E77"/>
    <w:pPr>
      <w:pBdr>
        <w:between w:val="double" w:sz="6" w:space="0" w:color="auto"/>
      </w:pBdr>
      <w:ind w:left="1680"/>
    </w:pPr>
    <w:rPr>
      <w:sz w:val="20"/>
      <w:szCs w:val="20"/>
    </w:rPr>
  </w:style>
  <w:style w:type="paragraph" w:styleId="ListParagraph">
    <w:name w:val="List Paragraph"/>
    <w:basedOn w:val="Normal"/>
    <w:uiPriority w:val="34"/>
    <w:qFormat/>
    <w:rsid w:val="00BF6E77"/>
    <w:pPr>
      <w:ind w:left="720"/>
      <w:contextualSpacing/>
    </w:pPr>
  </w:style>
  <w:style w:type="character" w:customStyle="1" w:styleId="Heading2Char">
    <w:name w:val="Heading 2 Char"/>
    <w:basedOn w:val="DefaultParagraphFont"/>
    <w:link w:val="Heading2"/>
    <w:uiPriority w:val="9"/>
    <w:rsid w:val="006B1487"/>
    <w:rPr>
      <w:rFonts w:asciiTheme="majorHAnsi" w:eastAsiaTheme="majorEastAsia" w:hAnsiTheme="majorHAnsi" w:cstheme="majorBidi"/>
      <w:b/>
      <w:bCs/>
      <w:color w:val="4F81BD" w:themeColor="accent1"/>
      <w:sz w:val="26"/>
      <w:szCs w:val="26"/>
    </w:rPr>
  </w:style>
  <w:style w:type="paragraph" w:styleId="Index1">
    <w:name w:val="index 1"/>
    <w:basedOn w:val="Normal"/>
    <w:next w:val="Normal"/>
    <w:autoRedefine/>
    <w:uiPriority w:val="99"/>
    <w:unhideWhenUsed/>
    <w:rsid w:val="006B1487"/>
    <w:pPr>
      <w:ind w:left="240" w:hanging="240"/>
    </w:pPr>
  </w:style>
  <w:style w:type="paragraph" w:styleId="Index2">
    <w:name w:val="index 2"/>
    <w:basedOn w:val="Normal"/>
    <w:next w:val="Normal"/>
    <w:autoRedefine/>
    <w:uiPriority w:val="99"/>
    <w:unhideWhenUsed/>
    <w:rsid w:val="006B1487"/>
    <w:pPr>
      <w:ind w:left="480" w:hanging="240"/>
    </w:pPr>
  </w:style>
  <w:style w:type="paragraph" w:styleId="Index3">
    <w:name w:val="index 3"/>
    <w:basedOn w:val="Normal"/>
    <w:next w:val="Normal"/>
    <w:autoRedefine/>
    <w:uiPriority w:val="99"/>
    <w:unhideWhenUsed/>
    <w:rsid w:val="006B1487"/>
    <w:pPr>
      <w:ind w:left="720" w:hanging="240"/>
    </w:pPr>
  </w:style>
  <w:style w:type="paragraph" w:styleId="Index4">
    <w:name w:val="index 4"/>
    <w:basedOn w:val="Normal"/>
    <w:next w:val="Normal"/>
    <w:autoRedefine/>
    <w:uiPriority w:val="99"/>
    <w:unhideWhenUsed/>
    <w:rsid w:val="006B1487"/>
    <w:pPr>
      <w:ind w:left="960" w:hanging="240"/>
    </w:pPr>
  </w:style>
  <w:style w:type="paragraph" w:styleId="Index5">
    <w:name w:val="index 5"/>
    <w:basedOn w:val="Normal"/>
    <w:next w:val="Normal"/>
    <w:autoRedefine/>
    <w:uiPriority w:val="99"/>
    <w:unhideWhenUsed/>
    <w:rsid w:val="006B1487"/>
    <w:pPr>
      <w:ind w:left="1200" w:hanging="240"/>
    </w:pPr>
  </w:style>
  <w:style w:type="paragraph" w:styleId="Index6">
    <w:name w:val="index 6"/>
    <w:basedOn w:val="Normal"/>
    <w:next w:val="Normal"/>
    <w:autoRedefine/>
    <w:uiPriority w:val="99"/>
    <w:unhideWhenUsed/>
    <w:rsid w:val="006B1487"/>
    <w:pPr>
      <w:ind w:left="1440" w:hanging="240"/>
    </w:pPr>
  </w:style>
  <w:style w:type="paragraph" w:styleId="Index7">
    <w:name w:val="index 7"/>
    <w:basedOn w:val="Normal"/>
    <w:next w:val="Normal"/>
    <w:autoRedefine/>
    <w:uiPriority w:val="99"/>
    <w:unhideWhenUsed/>
    <w:rsid w:val="006B1487"/>
    <w:pPr>
      <w:ind w:left="1680" w:hanging="240"/>
    </w:pPr>
  </w:style>
  <w:style w:type="paragraph" w:styleId="Index8">
    <w:name w:val="index 8"/>
    <w:basedOn w:val="Normal"/>
    <w:next w:val="Normal"/>
    <w:autoRedefine/>
    <w:uiPriority w:val="99"/>
    <w:unhideWhenUsed/>
    <w:rsid w:val="006B1487"/>
    <w:pPr>
      <w:ind w:left="1920" w:hanging="240"/>
    </w:pPr>
  </w:style>
  <w:style w:type="paragraph" w:styleId="Index9">
    <w:name w:val="index 9"/>
    <w:basedOn w:val="Normal"/>
    <w:next w:val="Normal"/>
    <w:autoRedefine/>
    <w:uiPriority w:val="99"/>
    <w:unhideWhenUsed/>
    <w:rsid w:val="006B1487"/>
    <w:pPr>
      <w:ind w:left="2160" w:hanging="240"/>
    </w:pPr>
  </w:style>
  <w:style w:type="paragraph" w:styleId="IndexHeading">
    <w:name w:val="index heading"/>
    <w:basedOn w:val="Normal"/>
    <w:next w:val="Index1"/>
    <w:uiPriority w:val="99"/>
    <w:unhideWhenUsed/>
    <w:rsid w:val="006B1487"/>
  </w:style>
  <w:style w:type="paragraph" w:styleId="Footer">
    <w:name w:val="footer"/>
    <w:basedOn w:val="Normal"/>
    <w:link w:val="FooterChar"/>
    <w:uiPriority w:val="99"/>
    <w:unhideWhenUsed/>
    <w:rsid w:val="0099019C"/>
    <w:pPr>
      <w:tabs>
        <w:tab w:val="center" w:pos="4320"/>
        <w:tab w:val="right" w:pos="8640"/>
      </w:tabs>
    </w:pPr>
  </w:style>
  <w:style w:type="character" w:customStyle="1" w:styleId="FooterChar">
    <w:name w:val="Footer Char"/>
    <w:basedOn w:val="DefaultParagraphFont"/>
    <w:link w:val="Footer"/>
    <w:uiPriority w:val="99"/>
    <w:rsid w:val="0099019C"/>
  </w:style>
  <w:style w:type="character" w:styleId="PageNumber">
    <w:name w:val="page number"/>
    <w:basedOn w:val="DefaultParagraphFont"/>
    <w:uiPriority w:val="99"/>
    <w:semiHidden/>
    <w:unhideWhenUsed/>
    <w:rsid w:val="0099019C"/>
  </w:style>
  <w:style w:type="character" w:styleId="Hyperlink">
    <w:name w:val="Hyperlink"/>
    <w:basedOn w:val="DefaultParagraphFont"/>
    <w:uiPriority w:val="99"/>
    <w:unhideWhenUsed/>
    <w:rsid w:val="00470D26"/>
    <w:rPr>
      <w:color w:val="0000FF" w:themeColor="hyperlink"/>
      <w:u w:val="single"/>
    </w:rPr>
  </w:style>
  <w:style w:type="character" w:customStyle="1" w:styleId="apple-converted-space">
    <w:name w:val="apple-converted-space"/>
    <w:basedOn w:val="DefaultParagraphFont"/>
    <w:rsid w:val="00A53CF7"/>
  </w:style>
  <w:style w:type="character" w:customStyle="1" w:styleId="aqj">
    <w:name w:val="aqj"/>
    <w:basedOn w:val="DefaultParagraphFont"/>
    <w:rsid w:val="00A53CF7"/>
  </w:style>
  <w:style w:type="character" w:styleId="Strong">
    <w:name w:val="Strong"/>
    <w:basedOn w:val="DefaultParagraphFont"/>
    <w:uiPriority w:val="22"/>
    <w:qFormat/>
    <w:rsid w:val="00A53CF7"/>
    <w:rPr>
      <w:b/>
      <w:bCs/>
    </w:rPr>
  </w:style>
  <w:style w:type="character" w:styleId="FollowedHyperlink">
    <w:name w:val="FollowedHyperlink"/>
    <w:basedOn w:val="DefaultParagraphFont"/>
    <w:uiPriority w:val="99"/>
    <w:semiHidden/>
    <w:unhideWhenUsed/>
    <w:rsid w:val="00A53CF7"/>
    <w:rPr>
      <w:color w:val="800080" w:themeColor="followedHyperlink"/>
      <w:u w:val="single"/>
    </w:rPr>
  </w:style>
  <w:style w:type="paragraph" w:styleId="Header">
    <w:name w:val="header"/>
    <w:basedOn w:val="Normal"/>
    <w:link w:val="HeaderChar"/>
    <w:uiPriority w:val="99"/>
    <w:unhideWhenUsed/>
    <w:rsid w:val="00F675E3"/>
    <w:pPr>
      <w:tabs>
        <w:tab w:val="center" w:pos="4320"/>
        <w:tab w:val="right" w:pos="8640"/>
      </w:tabs>
    </w:pPr>
  </w:style>
  <w:style w:type="character" w:customStyle="1" w:styleId="HeaderChar">
    <w:name w:val="Header Char"/>
    <w:basedOn w:val="DefaultParagraphFont"/>
    <w:link w:val="Header"/>
    <w:uiPriority w:val="99"/>
    <w:rsid w:val="00F675E3"/>
  </w:style>
  <w:style w:type="character" w:styleId="CommentReference">
    <w:name w:val="annotation reference"/>
    <w:basedOn w:val="DefaultParagraphFont"/>
    <w:uiPriority w:val="99"/>
    <w:semiHidden/>
    <w:unhideWhenUsed/>
    <w:rsid w:val="00F7504E"/>
    <w:rPr>
      <w:sz w:val="18"/>
      <w:szCs w:val="18"/>
    </w:rPr>
  </w:style>
  <w:style w:type="paragraph" w:styleId="CommentText">
    <w:name w:val="annotation text"/>
    <w:basedOn w:val="Normal"/>
    <w:link w:val="CommentTextChar"/>
    <w:uiPriority w:val="99"/>
    <w:semiHidden/>
    <w:unhideWhenUsed/>
    <w:rsid w:val="00F7504E"/>
  </w:style>
  <w:style w:type="character" w:customStyle="1" w:styleId="CommentTextChar">
    <w:name w:val="Comment Text Char"/>
    <w:basedOn w:val="DefaultParagraphFont"/>
    <w:link w:val="CommentText"/>
    <w:uiPriority w:val="99"/>
    <w:semiHidden/>
    <w:rsid w:val="00F7504E"/>
  </w:style>
  <w:style w:type="paragraph" w:styleId="CommentSubject">
    <w:name w:val="annotation subject"/>
    <w:basedOn w:val="CommentText"/>
    <w:next w:val="CommentText"/>
    <w:link w:val="CommentSubjectChar"/>
    <w:uiPriority w:val="99"/>
    <w:semiHidden/>
    <w:unhideWhenUsed/>
    <w:rsid w:val="00F7504E"/>
    <w:rPr>
      <w:b/>
      <w:bCs/>
      <w:sz w:val="20"/>
      <w:szCs w:val="20"/>
    </w:rPr>
  </w:style>
  <w:style w:type="character" w:customStyle="1" w:styleId="CommentSubjectChar">
    <w:name w:val="Comment Subject Char"/>
    <w:basedOn w:val="CommentTextChar"/>
    <w:link w:val="CommentSubject"/>
    <w:uiPriority w:val="99"/>
    <w:semiHidden/>
    <w:rsid w:val="00F7504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Arial"/>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F6E7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B148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77"/>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BF6E77"/>
    <w:pPr>
      <w:spacing w:line="276" w:lineRule="auto"/>
      <w:outlineLvl w:val="9"/>
    </w:pPr>
    <w:rPr>
      <w:color w:val="365F91" w:themeColor="accent1" w:themeShade="BF"/>
      <w:sz w:val="28"/>
      <w:szCs w:val="28"/>
    </w:rPr>
  </w:style>
  <w:style w:type="paragraph" w:styleId="BalloonText">
    <w:name w:val="Balloon Text"/>
    <w:basedOn w:val="Normal"/>
    <w:link w:val="BalloonTextChar"/>
    <w:uiPriority w:val="99"/>
    <w:semiHidden/>
    <w:unhideWhenUsed/>
    <w:rsid w:val="00BF6E77"/>
    <w:rPr>
      <w:rFonts w:ascii="Lucida Grande" w:hAnsi="Lucida Grande"/>
      <w:sz w:val="18"/>
      <w:szCs w:val="18"/>
    </w:rPr>
  </w:style>
  <w:style w:type="character" w:customStyle="1" w:styleId="BalloonTextChar">
    <w:name w:val="Balloon Text Char"/>
    <w:basedOn w:val="DefaultParagraphFont"/>
    <w:link w:val="BalloonText"/>
    <w:uiPriority w:val="99"/>
    <w:semiHidden/>
    <w:rsid w:val="00BF6E77"/>
    <w:rPr>
      <w:rFonts w:ascii="Lucida Grande" w:hAnsi="Lucida Grande"/>
      <w:sz w:val="18"/>
      <w:szCs w:val="18"/>
    </w:rPr>
  </w:style>
  <w:style w:type="paragraph" w:styleId="TOC1">
    <w:name w:val="toc 1"/>
    <w:basedOn w:val="Normal"/>
    <w:next w:val="Normal"/>
    <w:autoRedefine/>
    <w:uiPriority w:val="39"/>
    <w:unhideWhenUsed/>
    <w:rsid w:val="00BF6E77"/>
    <w:pPr>
      <w:spacing w:before="120"/>
    </w:pPr>
    <w:rPr>
      <w:rFonts w:asciiTheme="majorHAnsi" w:hAnsiTheme="majorHAnsi"/>
      <w:b/>
      <w:color w:val="548DD4"/>
    </w:rPr>
  </w:style>
  <w:style w:type="paragraph" w:styleId="TOC2">
    <w:name w:val="toc 2"/>
    <w:basedOn w:val="Normal"/>
    <w:next w:val="Normal"/>
    <w:autoRedefine/>
    <w:uiPriority w:val="39"/>
    <w:unhideWhenUsed/>
    <w:rsid w:val="00BF6E77"/>
    <w:rPr>
      <w:sz w:val="22"/>
      <w:szCs w:val="22"/>
    </w:rPr>
  </w:style>
  <w:style w:type="paragraph" w:styleId="TOC3">
    <w:name w:val="toc 3"/>
    <w:basedOn w:val="Normal"/>
    <w:next w:val="Normal"/>
    <w:autoRedefine/>
    <w:uiPriority w:val="39"/>
    <w:unhideWhenUsed/>
    <w:rsid w:val="00BF6E77"/>
    <w:pPr>
      <w:ind w:left="240"/>
    </w:pPr>
    <w:rPr>
      <w:i/>
      <w:sz w:val="22"/>
      <w:szCs w:val="22"/>
    </w:rPr>
  </w:style>
  <w:style w:type="paragraph" w:styleId="TOC4">
    <w:name w:val="toc 4"/>
    <w:basedOn w:val="Normal"/>
    <w:next w:val="Normal"/>
    <w:autoRedefine/>
    <w:uiPriority w:val="39"/>
    <w:unhideWhenUsed/>
    <w:rsid w:val="00BF6E77"/>
    <w:pPr>
      <w:pBdr>
        <w:between w:val="double" w:sz="6" w:space="0" w:color="auto"/>
      </w:pBdr>
      <w:ind w:left="480"/>
    </w:pPr>
    <w:rPr>
      <w:sz w:val="20"/>
      <w:szCs w:val="20"/>
    </w:rPr>
  </w:style>
  <w:style w:type="paragraph" w:styleId="TOC5">
    <w:name w:val="toc 5"/>
    <w:basedOn w:val="Normal"/>
    <w:next w:val="Normal"/>
    <w:autoRedefine/>
    <w:uiPriority w:val="39"/>
    <w:unhideWhenUsed/>
    <w:rsid w:val="00BF6E77"/>
    <w:pPr>
      <w:pBdr>
        <w:between w:val="double" w:sz="6" w:space="0" w:color="auto"/>
      </w:pBdr>
      <w:ind w:left="720"/>
    </w:pPr>
    <w:rPr>
      <w:sz w:val="20"/>
      <w:szCs w:val="20"/>
    </w:rPr>
  </w:style>
  <w:style w:type="paragraph" w:styleId="TOC6">
    <w:name w:val="toc 6"/>
    <w:basedOn w:val="Normal"/>
    <w:next w:val="Normal"/>
    <w:autoRedefine/>
    <w:uiPriority w:val="39"/>
    <w:unhideWhenUsed/>
    <w:rsid w:val="00BF6E77"/>
    <w:pPr>
      <w:pBdr>
        <w:between w:val="double" w:sz="6" w:space="0" w:color="auto"/>
      </w:pBdr>
      <w:ind w:left="960"/>
    </w:pPr>
    <w:rPr>
      <w:sz w:val="20"/>
      <w:szCs w:val="20"/>
    </w:rPr>
  </w:style>
  <w:style w:type="paragraph" w:styleId="TOC7">
    <w:name w:val="toc 7"/>
    <w:basedOn w:val="Normal"/>
    <w:next w:val="Normal"/>
    <w:autoRedefine/>
    <w:uiPriority w:val="39"/>
    <w:unhideWhenUsed/>
    <w:rsid w:val="00BF6E77"/>
    <w:pPr>
      <w:pBdr>
        <w:between w:val="double" w:sz="6" w:space="0" w:color="auto"/>
      </w:pBdr>
      <w:ind w:left="1200"/>
    </w:pPr>
    <w:rPr>
      <w:sz w:val="20"/>
      <w:szCs w:val="20"/>
    </w:rPr>
  </w:style>
  <w:style w:type="paragraph" w:styleId="TOC8">
    <w:name w:val="toc 8"/>
    <w:basedOn w:val="Normal"/>
    <w:next w:val="Normal"/>
    <w:autoRedefine/>
    <w:uiPriority w:val="39"/>
    <w:unhideWhenUsed/>
    <w:rsid w:val="00BF6E77"/>
    <w:pPr>
      <w:pBdr>
        <w:between w:val="double" w:sz="6" w:space="0" w:color="auto"/>
      </w:pBdr>
      <w:ind w:left="1440"/>
    </w:pPr>
    <w:rPr>
      <w:sz w:val="20"/>
      <w:szCs w:val="20"/>
    </w:rPr>
  </w:style>
  <w:style w:type="paragraph" w:styleId="TOC9">
    <w:name w:val="toc 9"/>
    <w:basedOn w:val="Normal"/>
    <w:next w:val="Normal"/>
    <w:autoRedefine/>
    <w:uiPriority w:val="39"/>
    <w:unhideWhenUsed/>
    <w:rsid w:val="00BF6E77"/>
    <w:pPr>
      <w:pBdr>
        <w:between w:val="double" w:sz="6" w:space="0" w:color="auto"/>
      </w:pBdr>
      <w:ind w:left="1680"/>
    </w:pPr>
    <w:rPr>
      <w:sz w:val="20"/>
      <w:szCs w:val="20"/>
    </w:rPr>
  </w:style>
  <w:style w:type="paragraph" w:styleId="ListParagraph">
    <w:name w:val="List Paragraph"/>
    <w:basedOn w:val="Normal"/>
    <w:uiPriority w:val="34"/>
    <w:qFormat/>
    <w:rsid w:val="00BF6E77"/>
    <w:pPr>
      <w:ind w:left="720"/>
      <w:contextualSpacing/>
    </w:pPr>
  </w:style>
  <w:style w:type="character" w:customStyle="1" w:styleId="Heading2Char">
    <w:name w:val="Heading 2 Char"/>
    <w:basedOn w:val="DefaultParagraphFont"/>
    <w:link w:val="Heading2"/>
    <w:uiPriority w:val="9"/>
    <w:rsid w:val="006B1487"/>
    <w:rPr>
      <w:rFonts w:asciiTheme="majorHAnsi" w:eastAsiaTheme="majorEastAsia" w:hAnsiTheme="majorHAnsi" w:cstheme="majorBidi"/>
      <w:b/>
      <w:bCs/>
      <w:color w:val="4F81BD" w:themeColor="accent1"/>
      <w:sz w:val="26"/>
      <w:szCs w:val="26"/>
    </w:rPr>
  </w:style>
  <w:style w:type="paragraph" w:styleId="Index1">
    <w:name w:val="index 1"/>
    <w:basedOn w:val="Normal"/>
    <w:next w:val="Normal"/>
    <w:autoRedefine/>
    <w:uiPriority w:val="99"/>
    <w:unhideWhenUsed/>
    <w:rsid w:val="006B1487"/>
    <w:pPr>
      <w:ind w:left="240" w:hanging="240"/>
    </w:pPr>
  </w:style>
  <w:style w:type="paragraph" w:styleId="Index2">
    <w:name w:val="index 2"/>
    <w:basedOn w:val="Normal"/>
    <w:next w:val="Normal"/>
    <w:autoRedefine/>
    <w:uiPriority w:val="99"/>
    <w:unhideWhenUsed/>
    <w:rsid w:val="006B1487"/>
    <w:pPr>
      <w:ind w:left="480" w:hanging="240"/>
    </w:pPr>
  </w:style>
  <w:style w:type="paragraph" w:styleId="Index3">
    <w:name w:val="index 3"/>
    <w:basedOn w:val="Normal"/>
    <w:next w:val="Normal"/>
    <w:autoRedefine/>
    <w:uiPriority w:val="99"/>
    <w:unhideWhenUsed/>
    <w:rsid w:val="006B1487"/>
    <w:pPr>
      <w:ind w:left="720" w:hanging="240"/>
    </w:pPr>
  </w:style>
  <w:style w:type="paragraph" w:styleId="Index4">
    <w:name w:val="index 4"/>
    <w:basedOn w:val="Normal"/>
    <w:next w:val="Normal"/>
    <w:autoRedefine/>
    <w:uiPriority w:val="99"/>
    <w:unhideWhenUsed/>
    <w:rsid w:val="006B1487"/>
    <w:pPr>
      <w:ind w:left="960" w:hanging="240"/>
    </w:pPr>
  </w:style>
  <w:style w:type="paragraph" w:styleId="Index5">
    <w:name w:val="index 5"/>
    <w:basedOn w:val="Normal"/>
    <w:next w:val="Normal"/>
    <w:autoRedefine/>
    <w:uiPriority w:val="99"/>
    <w:unhideWhenUsed/>
    <w:rsid w:val="006B1487"/>
    <w:pPr>
      <w:ind w:left="1200" w:hanging="240"/>
    </w:pPr>
  </w:style>
  <w:style w:type="paragraph" w:styleId="Index6">
    <w:name w:val="index 6"/>
    <w:basedOn w:val="Normal"/>
    <w:next w:val="Normal"/>
    <w:autoRedefine/>
    <w:uiPriority w:val="99"/>
    <w:unhideWhenUsed/>
    <w:rsid w:val="006B1487"/>
    <w:pPr>
      <w:ind w:left="1440" w:hanging="240"/>
    </w:pPr>
  </w:style>
  <w:style w:type="paragraph" w:styleId="Index7">
    <w:name w:val="index 7"/>
    <w:basedOn w:val="Normal"/>
    <w:next w:val="Normal"/>
    <w:autoRedefine/>
    <w:uiPriority w:val="99"/>
    <w:unhideWhenUsed/>
    <w:rsid w:val="006B1487"/>
    <w:pPr>
      <w:ind w:left="1680" w:hanging="240"/>
    </w:pPr>
  </w:style>
  <w:style w:type="paragraph" w:styleId="Index8">
    <w:name w:val="index 8"/>
    <w:basedOn w:val="Normal"/>
    <w:next w:val="Normal"/>
    <w:autoRedefine/>
    <w:uiPriority w:val="99"/>
    <w:unhideWhenUsed/>
    <w:rsid w:val="006B1487"/>
    <w:pPr>
      <w:ind w:left="1920" w:hanging="240"/>
    </w:pPr>
  </w:style>
  <w:style w:type="paragraph" w:styleId="Index9">
    <w:name w:val="index 9"/>
    <w:basedOn w:val="Normal"/>
    <w:next w:val="Normal"/>
    <w:autoRedefine/>
    <w:uiPriority w:val="99"/>
    <w:unhideWhenUsed/>
    <w:rsid w:val="006B1487"/>
    <w:pPr>
      <w:ind w:left="2160" w:hanging="240"/>
    </w:pPr>
  </w:style>
  <w:style w:type="paragraph" w:styleId="IndexHeading">
    <w:name w:val="index heading"/>
    <w:basedOn w:val="Normal"/>
    <w:next w:val="Index1"/>
    <w:uiPriority w:val="99"/>
    <w:unhideWhenUsed/>
    <w:rsid w:val="006B1487"/>
  </w:style>
  <w:style w:type="paragraph" w:styleId="Footer">
    <w:name w:val="footer"/>
    <w:basedOn w:val="Normal"/>
    <w:link w:val="FooterChar"/>
    <w:uiPriority w:val="99"/>
    <w:unhideWhenUsed/>
    <w:rsid w:val="0099019C"/>
    <w:pPr>
      <w:tabs>
        <w:tab w:val="center" w:pos="4320"/>
        <w:tab w:val="right" w:pos="8640"/>
      </w:tabs>
    </w:pPr>
  </w:style>
  <w:style w:type="character" w:customStyle="1" w:styleId="FooterChar">
    <w:name w:val="Footer Char"/>
    <w:basedOn w:val="DefaultParagraphFont"/>
    <w:link w:val="Footer"/>
    <w:uiPriority w:val="99"/>
    <w:rsid w:val="0099019C"/>
  </w:style>
  <w:style w:type="character" w:styleId="PageNumber">
    <w:name w:val="page number"/>
    <w:basedOn w:val="DefaultParagraphFont"/>
    <w:uiPriority w:val="99"/>
    <w:semiHidden/>
    <w:unhideWhenUsed/>
    <w:rsid w:val="0099019C"/>
  </w:style>
  <w:style w:type="character" w:styleId="Hyperlink">
    <w:name w:val="Hyperlink"/>
    <w:basedOn w:val="DefaultParagraphFont"/>
    <w:uiPriority w:val="99"/>
    <w:unhideWhenUsed/>
    <w:rsid w:val="00470D26"/>
    <w:rPr>
      <w:color w:val="0000FF" w:themeColor="hyperlink"/>
      <w:u w:val="single"/>
    </w:rPr>
  </w:style>
  <w:style w:type="character" w:customStyle="1" w:styleId="apple-converted-space">
    <w:name w:val="apple-converted-space"/>
    <w:basedOn w:val="DefaultParagraphFont"/>
    <w:rsid w:val="00A53CF7"/>
  </w:style>
  <w:style w:type="character" w:customStyle="1" w:styleId="aqj">
    <w:name w:val="aqj"/>
    <w:basedOn w:val="DefaultParagraphFont"/>
    <w:rsid w:val="00A53CF7"/>
  </w:style>
  <w:style w:type="character" w:styleId="Strong">
    <w:name w:val="Strong"/>
    <w:basedOn w:val="DefaultParagraphFont"/>
    <w:uiPriority w:val="22"/>
    <w:qFormat/>
    <w:rsid w:val="00A53CF7"/>
    <w:rPr>
      <w:b/>
      <w:bCs/>
    </w:rPr>
  </w:style>
  <w:style w:type="character" w:styleId="FollowedHyperlink">
    <w:name w:val="FollowedHyperlink"/>
    <w:basedOn w:val="DefaultParagraphFont"/>
    <w:uiPriority w:val="99"/>
    <w:semiHidden/>
    <w:unhideWhenUsed/>
    <w:rsid w:val="00A53CF7"/>
    <w:rPr>
      <w:color w:val="800080" w:themeColor="followedHyperlink"/>
      <w:u w:val="single"/>
    </w:rPr>
  </w:style>
  <w:style w:type="paragraph" w:styleId="Header">
    <w:name w:val="header"/>
    <w:basedOn w:val="Normal"/>
    <w:link w:val="HeaderChar"/>
    <w:uiPriority w:val="99"/>
    <w:unhideWhenUsed/>
    <w:rsid w:val="00F675E3"/>
    <w:pPr>
      <w:tabs>
        <w:tab w:val="center" w:pos="4320"/>
        <w:tab w:val="right" w:pos="8640"/>
      </w:tabs>
    </w:pPr>
  </w:style>
  <w:style w:type="character" w:customStyle="1" w:styleId="HeaderChar">
    <w:name w:val="Header Char"/>
    <w:basedOn w:val="DefaultParagraphFont"/>
    <w:link w:val="Header"/>
    <w:uiPriority w:val="99"/>
    <w:rsid w:val="00F675E3"/>
  </w:style>
  <w:style w:type="character" w:styleId="CommentReference">
    <w:name w:val="annotation reference"/>
    <w:basedOn w:val="DefaultParagraphFont"/>
    <w:uiPriority w:val="99"/>
    <w:semiHidden/>
    <w:unhideWhenUsed/>
    <w:rsid w:val="00F7504E"/>
    <w:rPr>
      <w:sz w:val="18"/>
      <w:szCs w:val="18"/>
    </w:rPr>
  </w:style>
  <w:style w:type="paragraph" w:styleId="CommentText">
    <w:name w:val="annotation text"/>
    <w:basedOn w:val="Normal"/>
    <w:link w:val="CommentTextChar"/>
    <w:uiPriority w:val="99"/>
    <w:semiHidden/>
    <w:unhideWhenUsed/>
    <w:rsid w:val="00F7504E"/>
  </w:style>
  <w:style w:type="character" w:customStyle="1" w:styleId="CommentTextChar">
    <w:name w:val="Comment Text Char"/>
    <w:basedOn w:val="DefaultParagraphFont"/>
    <w:link w:val="CommentText"/>
    <w:uiPriority w:val="99"/>
    <w:semiHidden/>
    <w:rsid w:val="00F7504E"/>
  </w:style>
  <w:style w:type="paragraph" w:styleId="CommentSubject">
    <w:name w:val="annotation subject"/>
    <w:basedOn w:val="CommentText"/>
    <w:next w:val="CommentText"/>
    <w:link w:val="CommentSubjectChar"/>
    <w:uiPriority w:val="99"/>
    <w:semiHidden/>
    <w:unhideWhenUsed/>
    <w:rsid w:val="00F7504E"/>
    <w:rPr>
      <w:b/>
      <w:bCs/>
      <w:sz w:val="20"/>
      <w:szCs w:val="20"/>
    </w:rPr>
  </w:style>
  <w:style w:type="character" w:customStyle="1" w:styleId="CommentSubjectChar">
    <w:name w:val="Comment Subject Char"/>
    <w:basedOn w:val="CommentTextChar"/>
    <w:link w:val="CommentSubject"/>
    <w:uiPriority w:val="99"/>
    <w:semiHidden/>
    <w:rsid w:val="00F750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0273">
      <w:bodyDiv w:val="1"/>
      <w:marLeft w:val="0"/>
      <w:marRight w:val="0"/>
      <w:marTop w:val="0"/>
      <w:marBottom w:val="0"/>
      <w:divBdr>
        <w:top w:val="none" w:sz="0" w:space="0" w:color="auto"/>
        <w:left w:val="none" w:sz="0" w:space="0" w:color="auto"/>
        <w:bottom w:val="none" w:sz="0" w:space="0" w:color="auto"/>
        <w:right w:val="none" w:sz="0" w:space="0" w:color="auto"/>
      </w:divBdr>
    </w:div>
    <w:div w:id="59521643">
      <w:bodyDiv w:val="1"/>
      <w:marLeft w:val="0"/>
      <w:marRight w:val="0"/>
      <w:marTop w:val="0"/>
      <w:marBottom w:val="0"/>
      <w:divBdr>
        <w:top w:val="none" w:sz="0" w:space="0" w:color="auto"/>
        <w:left w:val="none" w:sz="0" w:space="0" w:color="auto"/>
        <w:bottom w:val="none" w:sz="0" w:space="0" w:color="auto"/>
        <w:right w:val="none" w:sz="0" w:space="0" w:color="auto"/>
      </w:divBdr>
    </w:div>
    <w:div w:id="61560197">
      <w:bodyDiv w:val="1"/>
      <w:marLeft w:val="0"/>
      <w:marRight w:val="0"/>
      <w:marTop w:val="0"/>
      <w:marBottom w:val="0"/>
      <w:divBdr>
        <w:top w:val="none" w:sz="0" w:space="0" w:color="auto"/>
        <w:left w:val="none" w:sz="0" w:space="0" w:color="auto"/>
        <w:bottom w:val="none" w:sz="0" w:space="0" w:color="auto"/>
        <w:right w:val="none" w:sz="0" w:space="0" w:color="auto"/>
      </w:divBdr>
    </w:div>
    <w:div w:id="159660219">
      <w:bodyDiv w:val="1"/>
      <w:marLeft w:val="0"/>
      <w:marRight w:val="0"/>
      <w:marTop w:val="0"/>
      <w:marBottom w:val="0"/>
      <w:divBdr>
        <w:top w:val="none" w:sz="0" w:space="0" w:color="auto"/>
        <w:left w:val="none" w:sz="0" w:space="0" w:color="auto"/>
        <w:bottom w:val="none" w:sz="0" w:space="0" w:color="auto"/>
        <w:right w:val="none" w:sz="0" w:space="0" w:color="auto"/>
      </w:divBdr>
    </w:div>
    <w:div w:id="185801303">
      <w:bodyDiv w:val="1"/>
      <w:marLeft w:val="0"/>
      <w:marRight w:val="0"/>
      <w:marTop w:val="0"/>
      <w:marBottom w:val="0"/>
      <w:divBdr>
        <w:top w:val="none" w:sz="0" w:space="0" w:color="auto"/>
        <w:left w:val="none" w:sz="0" w:space="0" w:color="auto"/>
        <w:bottom w:val="none" w:sz="0" w:space="0" w:color="auto"/>
        <w:right w:val="none" w:sz="0" w:space="0" w:color="auto"/>
      </w:divBdr>
    </w:div>
    <w:div w:id="378894954">
      <w:bodyDiv w:val="1"/>
      <w:marLeft w:val="0"/>
      <w:marRight w:val="0"/>
      <w:marTop w:val="0"/>
      <w:marBottom w:val="0"/>
      <w:divBdr>
        <w:top w:val="none" w:sz="0" w:space="0" w:color="auto"/>
        <w:left w:val="none" w:sz="0" w:space="0" w:color="auto"/>
        <w:bottom w:val="none" w:sz="0" w:space="0" w:color="auto"/>
        <w:right w:val="none" w:sz="0" w:space="0" w:color="auto"/>
      </w:divBdr>
    </w:div>
    <w:div w:id="518470766">
      <w:bodyDiv w:val="1"/>
      <w:marLeft w:val="0"/>
      <w:marRight w:val="0"/>
      <w:marTop w:val="0"/>
      <w:marBottom w:val="0"/>
      <w:divBdr>
        <w:top w:val="none" w:sz="0" w:space="0" w:color="auto"/>
        <w:left w:val="none" w:sz="0" w:space="0" w:color="auto"/>
        <w:bottom w:val="none" w:sz="0" w:space="0" w:color="auto"/>
        <w:right w:val="none" w:sz="0" w:space="0" w:color="auto"/>
      </w:divBdr>
    </w:div>
    <w:div w:id="616791690">
      <w:bodyDiv w:val="1"/>
      <w:marLeft w:val="0"/>
      <w:marRight w:val="0"/>
      <w:marTop w:val="0"/>
      <w:marBottom w:val="0"/>
      <w:divBdr>
        <w:top w:val="none" w:sz="0" w:space="0" w:color="auto"/>
        <w:left w:val="none" w:sz="0" w:space="0" w:color="auto"/>
        <w:bottom w:val="none" w:sz="0" w:space="0" w:color="auto"/>
        <w:right w:val="none" w:sz="0" w:space="0" w:color="auto"/>
      </w:divBdr>
    </w:div>
    <w:div w:id="678892385">
      <w:bodyDiv w:val="1"/>
      <w:marLeft w:val="0"/>
      <w:marRight w:val="0"/>
      <w:marTop w:val="0"/>
      <w:marBottom w:val="0"/>
      <w:divBdr>
        <w:top w:val="none" w:sz="0" w:space="0" w:color="auto"/>
        <w:left w:val="none" w:sz="0" w:space="0" w:color="auto"/>
        <w:bottom w:val="none" w:sz="0" w:space="0" w:color="auto"/>
        <w:right w:val="none" w:sz="0" w:space="0" w:color="auto"/>
      </w:divBdr>
    </w:div>
    <w:div w:id="693651721">
      <w:bodyDiv w:val="1"/>
      <w:marLeft w:val="0"/>
      <w:marRight w:val="0"/>
      <w:marTop w:val="0"/>
      <w:marBottom w:val="0"/>
      <w:divBdr>
        <w:top w:val="none" w:sz="0" w:space="0" w:color="auto"/>
        <w:left w:val="none" w:sz="0" w:space="0" w:color="auto"/>
        <w:bottom w:val="none" w:sz="0" w:space="0" w:color="auto"/>
        <w:right w:val="none" w:sz="0" w:space="0" w:color="auto"/>
      </w:divBdr>
      <w:divsChild>
        <w:div w:id="1692027082">
          <w:marLeft w:val="0"/>
          <w:marRight w:val="0"/>
          <w:marTop w:val="0"/>
          <w:marBottom w:val="0"/>
          <w:divBdr>
            <w:top w:val="none" w:sz="0" w:space="0" w:color="auto"/>
            <w:left w:val="none" w:sz="0" w:space="0" w:color="auto"/>
            <w:bottom w:val="none" w:sz="0" w:space="0" w:color="auto"/>
            <w:right w:val="none" w:sz="0" w:space="0" w:color="auto"/>
          </w:divBdr>
        </w:div>
        <w:div w:id="384985707">
          <w:marLeft w:val="0"/>
          <w:marRight w:val="0"/>
          <w:marTop w:val="0"/>
          <w:marBottom w:val="0"/>
          <w:divBdr>
            <w:top w:val="none" w:sz="0" w:space="0" w:color="auto"/>
            <w:left w:val="none" w:sz="0" w:space="0" w:color="auto"/>
            <w:bottom w:val="none" w:sz="0" w:space="0" w:color="auto"/>
            <w:right w:val="none" w:sz="0" w:space="0" w:color="auto"/>
          </w:divBdr>
        </w:div>
        <w:div w:id="1076980620">
          <w:marLeft w:val="0"/>
          <w:marRight w:val="0"/>
          <w:marTop w:val="0"/>
          <w:marBottom w:val="0"/>
          <w:divBdr>
            <w:top w:val="none" w:sz="0" w:space="0" w:color="auto"/>
            <w:left w:val="none" w:sz="0" w:space="0" w:color="auto"/>
            <w:bottom w:val="none" w:sz="0" w:space="0" w:color="auto"/>
            <w:right w:val="none" w:sz="0" w:space="0" w:color="auto"/>
          </w:divBdr>
        </w:div>
        <w:div w:id="2118133545">
          <w:marLeft w:val="0"/>
          <w:marRight w:val="0"/>
          <w:marTop w:val="0"/>
          <w:marBottom w:val="0"/>
          <w:divBdr>
            <w:top w:val="none" w:sz="0" w:space="0" w:color="auto"/>
            <w:left w:val="none" w:sz="0" w:space="0" w:color="auto"/>
            <w:bottom w:val="none" w:sz="0" w:space="0" w:color="auto"/>
            <w:right w:val="none" w:sz="0" w:space="0" w:color="auto"/>
          </w:divBdr>
        </w:div>
        <w:div w:id="1729917338">
          <w:marLeft w:val="0"/>
          <w:marRight w:val="0"/>
          <w:marTop w:val="0"/>
          <w:marBottom w:val="0"/>
          <w:divBdr>
            <w:top w:val="none" w:sz="0" w:space="0" w:color="auto"/>
            <w:left w:val="none" w:sz="0" w:space="0" w:color="auto"/>
            <w:bottom w:val="none" w:sz="0" w:space="0" w:color="auto"/>
            <w:right w:val="none" w:sz="0" w:space="0" w:color="auto"/>
          </w:divBdr>
        </w:div>
        <w:div w:id="1140880573">
          <w:marLeft w:val="0"/>
          <w:marRight w:val="0"/>
          <w:marTop w:val="0"/>
          <w:marBottom w:val="0"/>
          <w:divBdr>
            <w:top w:val="none" w:sz="0" w:space="0" w:color="auto"/>
            <w:left w:val="none" w:sz="0" w:space="0" w:color="auto"/>
            <w:bottom w:val="none" w:sz="0" w:space="0" w:color="auto"/>
            <w:right w:val="none" w:sz="0" w:space="0" w:color="auto"/>
          </w:divBdr>
        </w:div>
        <w:div w:id="524371427">
          <w:marLeft w:val="0"/>
          <w:marRight w:val="0"/>
          <w:marTop w:val="0"/>
          <w:marBottom w:val="0"/>
          <w:divBdr>
            <w:top w:val="none" w:sz="0" w:space="0" w:color="auto"/>
            <w:left w:val="none" w:sz="0" w:space="0" w:color="auto"/>
            <w:bottom w:val="none" w:sz="0" w:space="0" w:color="auto"/>
            <w:right w:val="none" w:sz="0" w:space="0" w:color="auto"/>
          </w:divBdr>
        </w:div>
      </w:divsChild>
    </w:div>
    <w:div w:id="873421773">
      <w:bodyDiv w:val="1"/>
      <w:marLeft w:val="0"/>
      <w:marRight w:val="0"/>
      <w:marTop w:val="0"/>
      <w:marBottom w:val="0"/>
      <w:divBdr>
        <w:top w:val="none" w:sz="0" w:space="0" w:color="auto"/>
        <w:left w:val="none" w:sz="0" w:space="0" w:color="auto"/>
        <w:bottom w:val="none" w:sz="0" w:space="0" w:color="auto"/>
        <w:right w:val="none" w:sz="0" w:space="0" w:color="auto"/>
      </w:divBdr>
    </w:div>
    <w:div w:id="932594704">
      <w:bodyDiv w:val="1"/>
      <w:marLeft w:val="0"/>
      <w:marRight w:val="0"/>
      <w:marTop w:val="0"/>
      <w:marBottom w:val="0"/>
      <w:divBdr>
        <w:top w:val="none" w:sz="0" w:space="0" w:color="auto"/>
        <w:left w:val="none" w:sz="0" w:space="0" w:color="auto"/>
        <w:bottom w:val="none" w:sz="0" w:space="0" w:color="auto"/>
        <w:right w:val="none" w:sz="0" w:space="0" w:color="auto"/>
      </w:divBdr>
    </w:div>
    <w:div w:id="1105226693">
      <w:bodyDiv w:val="1"/>
      <w:marLeft w:val="0"/>
      <w:marRight w:val="0"/>
      <w:marTop w:val="0"/>
      <w:marBottom w:val="0"/>
      <w:divBdr>
        <w:top w:val="none" w:sz="0" w:space="0" w:color="auto"/>
        <w:left w:val="none" w:sz="0" w:space="0" w:color="auto"/>
        <w:bottom w:val="none" w:sz="0" w:space="0" w:color="auto"/>
        <w:right w:val="none" w:sz="0" w:space="0" w:color="auto"/>
      </w:divBdr>
    </w:div>
    <w:div w:id="1132408807">
      <w:bodyDiv w:val="1"/>
      <w:marLeft w:val="0"/>
      <w:marRight w:val="0"/>
      <w:marTop w:val="0"/>
      <w:marBottom w:val="0"/>
      <w:divBdr>
        <w:top w:val="none" w:sz="0" w:space="0" w:color="auto"/>
        <w:left w:val="none" w:sz="0" w:space="0" w:color="auto"/>
        <w:bottom w:val="none" w:sz="0" w:space="0" w:color="auto"/>
        <w:right w:val="none" w:sz="0" w:space="0" w:color="auto"/>
      </w:divBdr>
    </w:div>
    <w:div w:id="1132862980">
      <w:bodyDiv w:val="1"/>
      <w:marLeft w:val="0"/>
      <w:marRight w:val="0"/>
      <w:marTop w:val="0"/>
      <w:marBottom w:val="0"/>
      <w:divBdr>
        <w:top w:val="none" w:sz="0" w:space="0" w:color="auto"/>
        <w:left w:val="none" w:sz="0" w:space="0" w:color="auto"/>
        <w:bottom w:val="none" w:sz="0" w:space="0" w:color="auto"/>
        <w:right w:val="none" w:sz="0" w:space="0" w:color="auto"/>
      </w:divBdr>
    </w:div>
    <w:div w:id="1203515775">
      <w:bodyDiv w:val="1"/>
      <w:marLeft w:val="0"/>
      <w:marRight w:val="0"/>
      <w:marTop w:val="0"/>
      <w:marBottom w:val="0"/>
      <w:divBdr>
        <w:top w:val="none" w:sz="0" w:space="0" w:color="auto"/>
        <w:left w:val="none" w:sz="0" w:space="0" w:color="auto"/>
        <w:bottom w:val="none" w:sz="0" w:space="0" w:color="auto"/>
        <w:right w:val="none" w:sz="0" w:space="0" w:color="auto"/>
      </w:divBdr>
    </w:div>
    <w:div w:id="1345285783">
      <w:bodyDiv w:val="1"/>
      <w:marLeft w:val="0"/>
      <w:marRight w:val="0"/>
      <w:marTop w:val="0"/>
      <w:marBottom w:val="0"/>
      <w:divBdr>
        <w:top w:val="none" w:sz="0" w:space="0" w:color="auto"/>
        <w:left w:val="none" w:sz="0" w:space="0" w:color="auto"/>
        <w:bottom w:val="none" w:sz="0" w:space="0" w:color="auto"/>
        <w:right w:val="none" w:sz="0" w:space="0" w:color="auto"/>
      </w:divBdr>
    </w:div>
    <w:div w:id="1607926306">
      <w:bodyDiv w:val="1"/>
      <w:marLeft w:val="0"/>
      <w:marRight w:val="0"/>
      <w:marTop w:val="0"/>
      <w:marBottom w:val="0"/>
      <w:divBdr>
        <w:top w:val="none" w:sz="0" w:space="0" w:color="auto"/>
        <w:left w:val="none" w:sz="0" w:space="0" w:color="auto"/>
        <w:bottom w:val="none" w:sz="0" w:space="0" w:color="auto"/>
        <w:right w:val="none" w:sz="0" w:space="0" w:color="auto"/>
      </w:divBdr>
    </w:div>
    <w:div w:id="1899510777">
      <w:bodyDiv w:val="1"/>
      <w:marLeft w:val="0"/>
      <w:marRight w:val="0"/>
      <w:marTop w:val="0"/>
      <w:marBottom w:val="0"/>
      <w:divBdr>
        <w:top w:val="none" w:sz="0" w:space="0" w:color="auto"/>
        <w:left w:val="none" w:sz="0" w:space="0" w:color="auto"/>
        <w:bottom w:val="none" w:sz="0" w:space="0" w:color="auto"/>
        <w:right w:val="none" w:sz="0" w:space="0" w:color="auto"/>
      </w:divBdr>
    </w:div>
    <w:div w:id="1964649731">
      <w:bodyDiv w:val="1"/>
      <w:marLeft w:val="0"/>
      <w:marRight w:val="0"/>
      <w:marTop w:val="0"/>
      <w:marBottom w:val="0"/>
      <w:divBdr>
        <w:top w:val="none" w:sz="0" w:space="0" w:color="auto"/>
        <w:left w:val="none" w:sz="0" w:space="0" w:color="auto"/>
        <w:bottom w:val="none" w:sz="0" w:space="0" w:color="auto"/>
        <w:right w:val="none" w:sz="0" w:space="0" w:color="auto"/>
      </w:divBdr>
    </w:div>
    <w:div w:id="1972204344">
      <w:bodyDiv w:val="1"/>
      <w:marLeft w:val="0"/>
      <w:marRight w:val="0"/>
      <w:marTop w:val="0"/>
      <w:marBottom w:val="0"/>
      <w:divBdr>
        <w:top w:val="none" w:sz="0" w:space="0" w:color="auto"/>
        <w:left w:val="none" w:sz="0" w:space="0" w:color="auto"/>
        <w:bottom w:val="none" w:sz="0" w:space="0" w:color="auto"/>
        <w:right w:val="none" w:sz="0" w:space="0" w:color="auto"/>
      </w:divBdr>
    </w:div>
    <w:div w:id="21360242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15699-23FF-2E45-B66B-9140E9507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5390</Words>
  <Characters>30725</Characters>
  <Application>Microsoft Macintosh Word</Application>
  <DocSecurity>0</DocSecurity>
  <Lines>256</Lines>
  <Paragraphs>72</Paragraphs>
  <ScaleCrop>false</ScaleCrop>
  <Company>Coalition of Local Health Officials</Company>
  <LinksUpToDate>false</LinksUpToDate>
  <CharactersWithSpaces>36043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D. Cowling</cp:lastModifiedBy>
  <cp:revision>3</cp:revision>
  <dcterms:created xsi:type="dcterms:W3CDTF">2015-07-15T18:46:00Z</dcterms:created>
  <dcterms:modified xsi:type="dcterms:W3CDTF">2015-07-15T18:49:00Z</dcterms:modified>
</cp:coreProperties>
</file>