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AB8" w:rsidRDefault="003C26CA" w:rsidP="00D73A23">
      <w:pPr>
        <w:spacing w:after="0" w:line="240" w:lineRule="auto"/>
        <w:jc w:val="center"/>
        <w:rPr>
          <w:b/>
        </w:rPr>
      </w:pPr>
      <w:bookmarkStart w:id="0" w:name="_GoBack"/>
      <w:bookmarkEnd w:id="0"/>
      <w:r>
        <w:rPr>
          <w:b/>
        </w:rPr>
        <w:t>Modernization of Public Health Implementation</w:t>
      </w:r>
    </w:p>
    <w:p w:rsidR="006D6DD7" w:rsidRPr="006D6DD7" w:rsidRDefault="006D6DD7" w:rsidP="006D6DD7">
      <w:pPr>
        <w:spacing w:after="0" w:line="240" w:lineRule="auto"/>
        <w:jc w:val="center"/>
      </w:pPr>
      <w:r>
        <w:t>Conference of Local Health Officials</w:t>
      </w:r>
    </w:p>
    <w:p w:rsidR="00375A55" w:rsidRPr="00D73A23" w:rsidRDefault="003C26CA" w:rsidP="00D73A23">
      <w:pPr>
        <w:spacing w:after="0" w:line="240" w:lineRule="auto"/>
        <w:jc w:val="center"/>
      </w:pPr>
      <w:r>
        <w:t>May 21, 2015</w:t>
      </w:r>
    </w:p>
    <w:p w:rsidR="00375A55" w:rsidRPr="00D73A23" w:rsidRDefault="00375A55" w:rsidP="00D73A23">
      <w:pPr>
        <w:spacing w:after="0" w:line="240" w:lineRule="auto"/>
        <w:jc w:val="center"/>
      </w:pPr>
    </w:p>
    <w:p w:rsidR="00375A55" w:rsidRPr="00D73A23" w:rsidRDefault="00607B1E" w:rsidP="00D73A23">
      <w:pPr>
        <w:pStyle w:val="ListParagraph"/>
        <w:numPr>
          <w:ilvl w:val="0"/>
          <w:numId w:val="1"/>
        </w:numPr>
        <w:spacing w:after="0" w:line="240" w:lineRule="auto"/>
        <w:rPr>
          <w:b/>
        </w:rPr>
      </w:pPr>
      <w:r w:rsidRPr="00D73A23">
        <w:rPr>
          <w:b/>
        </w:rPr>
        <w:t>Background</w:t>
      </w:r>
    </w:p>
    <w:p w:rsidR="003C26CA" w:rsidRDefault="003C26CA" w:rsidP="00DC5D2D">
      <w:pPr>
        <w:pStyle w:val="ListParagraph"/>
        <w:spacing w:after="0" w:line="240" w:lineRule="auto"/>
      </w:pPr>
      <w:r>
        <w:t>The Modernization of Public Health report (September 2014) was created by the Task Force on the Future of Public Health Services.  The Modernization of Public Health report was since used to inform the development of House Bill 3100</w:t>
      </w:r>
      <w:r w:rsidR="00DC5D2D">
        <w:t>A</w:t>
      </w:r>
      <w:r>
        <w:t>, which passed out of the House Health Care Committee on April 17 with a subsequent referral to the Committee on Ways and Means.</w:t>
      </w:r>
      <w:r w:rsidR="00DC5D2D">
        <w:t xml:space="preserve"> </w:t>
      </w:r>
    </w:p>
    <w:p w:rsidR="00DC5D2D" w:rsidRDefault="00DC5D2D" w:rsidP="00DC5D2D">
      <w:pPr>
        <w:pStyle w:val="ListParagraph"/>
        <w:spacing w:after="0" w:line="240" w:lineRule="auto"/>
      </w:pPr>
    </w:p>
    <w:p w:rsidR="00DC5D2D" w:rsidRDefault="00DC5D2D" w:rsidP="00DC5D2D">
      <w:pPr>
        <w:pStyle w:val="ListParagraph"/>
        <w:spacing w:after="0" w:line="240" w:lineRule="auto"/>
      </w:pPr>
      <w:r>
        <w:t xml:space="preserve">If passed, House Bill 3100A </w:t>
      </w:r>
      <w:r w:rsidR="00635F04">
        <w:t>will allow provide time for the public health system and its stakeholders to plan for the implementation of the</w:t>
      </w:r>
      <w:r>
        <w:t xml:space="preserve"> Foundational Capabilities and Programs for governmental public health </w:t>
      </w:r>
      <w:r w:rsidR="00635F04">
        <w:t>between 2015 and 2017</w:t>
      </w:r>
      <w:r>
        <w:t>.</w:t>
      </w:r>
    </w:p>
    <w:p w:rsidR="00DC5D2D" w:rsidRDefault="00DC5D2D" w:rsidP="00DC5D2D">
      <w:pPr>
        <w:pStyle w:val="ListParagraph"/>
        <w:spacing w:after="0" w:line="240" w:lineRule="auto"/>
      </w:pPr>
    </w:p>
    <w:p w:rsidR="00453547" w:rsidRDefault="00033551" w:rsidP="00453547">
      <w:pPr>
        <w:pStyle w:val="ListParagraph"/>
        <w:numPr>
          <w:ilvl w:val="0"/>
          <w:numId w:val="1"/>
        </w:numPr>
        <w:spacing w:after="0" w:line="240" w:lineRule="auto"/>
        <w:rPr>
          <w:b/>
        </w:rPr>
      </w:pPr>
      <w:r>
        <w:rPr>
          <w:b/>
        </w:rPr>
        <w:t>Important e</w:t>
      </w:r>
      <w:r w:rsidR="00DC5D2D">
        <w:rPr>
          <w:b/>
        </w:rPr>
        <w:t>ffective dates in House Bill 3100A</w:t>
      </w:r>
    </w:p>
    <w:p w:rsidR="00192AC1" w:rsidRPr="00A022AF" w:rsidRDefault="00A022AF" w:rsidP="00A022AF">
      <w:pPr>
        <w:pStyle w:val="ListParagraph"/>
        <w:numPr>
          <w:ilvl w:val="0"/>
          <w:numId w:val="6"/>
        </w:numPr>
        <w:spacing w:after="0" w:line="240" w:lineRule="auto"/>
        <w:rPr>
          <w:b/>
        </w:rPr>
      </w:pPr>
      <w:r>
        <w:t>January 1, 2016: The New Public Health Advisory Board takes effect.</w:t>
      </w:r>
    </w:p>
    <w:p w:rsidR="00A022AF" w:rsidRPr="00A022AF" w:rsidRDefault="00A022AF" w:rsidP="00A022AF">
      <w:pPr>
        <w:pStyle w:val="ListParagraph"/>
        <w:numPr>
          <w:ilvl w:val="0"/>
          <w:numId w:val="6"/>
        </w:numPr>
        <w:spacing w:after="0" w:line="240" w:lineRule="auto"/>
        <w:rPr>
          <w:b/>
        </w:rPr>
      </w:pPr>
      <w:r>
        <w:t>By June 30, 2016: OHA must submit a funding formula for the Foundational Capabilities and Programs to the Legislative Fiscal Office.</w:t>
      </w:r>
    </w:p>
    <w:p w:rsidR="00A022AF" w:rsidRPr="00A022AF" w:rsidRDefault="00A022AF" w:rsidP="00A022AF">
      <w:pPr>
        <w:pStyle w:val="ListParagraph"/>
        <w:numPr>
          <w:ilvl w:val="0"/>
          <w:numId w:val="6"/>
        </w:numPr>
        <w:spacing w:after="0" w:line="240" w:lineRule="auto"/>
        <w:rPr>
          <w:b/>
        </w:rPr>
      </w:pPr>
      <w:r>
        <w:t>By January 1, 2017: OHA must adopt the initial statewide Modernization assessment and develop the initial statewide Modernization plan;</w:t>
      </w:r>
      <w:r w:rsidR="001E2099">
        <w:t xml:space="preserve"> and</w:t>
      </w:r>
      <w:r>
        <w:t xml:space="preserve"> develop a schedule by which local public health authorities will submit their Modernization plans, with all plans submitted no later than December 31, 2023.</w:t>
      </w:r>
    </w:p>
    <w:p w:rsidR="00A022AF" w:rsidRPr="00A022AF" w:rsidRDefault="00A022AF" w:rsidP="00A022AF">
      <w:pPr>
        <w:spacing w:after="0" w:line="240" w:lineRule="auto"/>
        <w:rPr>
          <w:b/>
        </w:rPr>
      </w:pPr>
    </w:p>
    <w:p w:rsidR="00382CB6" w:rsidRDefault="00A022AF" w:rsidP="008429CA">
      <w:pPr>
        <w:pStyle w:val="ListParagraph"/>
        <w:numPr>
          <w:ilvl w:val="0"/>
          <w:numId w:val="1"/>
        </w:numPr>
        <w:spacing w:after="0" w:line="240" w:lineRule="auto"/>
        <w:rPr>
          <w:b/>
        </w:rPr>
      </w:pPr>
      <w:r>
        <w:rPr>
          <w:b/>
        </w:rPr>
        <w:t xml:space="preserve">What this means for public health </w:t>
      </w:r>
    </w:p>
    <w:p w:rsidR="00B36C0E" w:rsidRDefault="00B36C0E" w:rsidP="003368C1">
      <w:pPr>
        <w:pStyle w:val="ListParagraph"/>
        <w:spacing w:after="0" w:line="240" w:lineRule="auto"/>
      </w:pPr>
      <w:r>
        <w:t>Given the timelines set forward in the bill, and the timelines set forward to develop legislative concepts for the 2017 legislative session, state and local public health through the leadership of the Oregon Health Policy Board and the Public Health Advisory Board must work t</w:t>
      </w:r>
      <w:r w:rsidR="001E2099">
        <w:t>o accomplish the following tasks:</w:t>
      </w:r>
    </w:p>
    <w:p w:rsidR="003368C1" w:rsidRDefault="003368C1" w:rsidP="003368C1">
      <w:pPr>
        <w:pStyle w:val="ListParagraph"/>
        <w:numPr>
          <w:ilvl w:val="0"/>
          <w:numId w:val="7"/>
        </w:numPr>
        <w:spacing w:after="0" w:line="240" w:lineRule="auto"/>
      </w:pPr>
      <w:r>
        <w:rPr>
          <w:i/>
        </w:rPr>
        <w:t>Draft measurable definitions of each Foundational Capability and Program</w:t>
      </w:r>
      <w:r>
        <w:t xml:space="preserve"> – House Bill 3100A includes broad definitions of each Foundational Capability and Program, but additional work must be done so those definitions are clear, measurable and can be applied to a general assessment of all health departments.</w:t>
      </w:r>
    </w:p>
    <w:p w:rsidR="003368C1" w:rsidRDefault="003368C1" w:rsidP="003368C1">
      <w:pPr>
        <w:pStyle w:val="ListParagraph"/>
        <w:numPr>
          <w:ilvl w:val="0"/>
          <w:numId w:val="7"/>
        </w:numPr>
        <w:spacing w:after="0" w:line="240" w:lineRule="auto"/>
      </w:pPr>
      <w:r>
        <w:rPr>
          <w:i/>
        </w:rPr>
        <w:t xml:space="preserve">Draft administrative rules to accompany House Bill 3100A </w:t>
      </w:r>
      <w:r>
        <w:t xml:space="preserve">– Using the definitions detailed above and guidance from the Oregon Health Policy Board and Public Health </w:t>
      </w:r>
      <w:r w:rsidR="00951DA1">
        <w:t>Advisory Board</w:t>
      </w:r>
      <w:r>
        <w:t xml:space="preserve">, </w:t>
      </w:r>
      <w:r w:rsidR="005366BB">
        <w:t xml:space="preserve">convene a Rules Advisory Committee and develop administrative rules </w:t>
      </w:r>
      <w:r w:rsidR="0013157F">
        <w:t>in order to implement</w:t>
      </w:r>
      <w:r w:rsidR="005366BB">
        <w:t xml:space="preserve"> House Bill 3100.</w:t>
      </w:r>
    </w:p>
    <w:p w:rsidR="003368C1" w:rsidRDefault="003368C1" w:rsidP="003368C1">
      <w:pPr>
        <w:pStyle w:val="ListParagraph"/>
        <w:numPr>
          <w:ilvl w:val="0"/>
          <w:numId w:val="7"/>
        </w:numPr>
        <w:spacing w:after="0" w:line="240" w:lineRule="auto"/>
      </w:pPr>
      <w:r>
        <w:rPr>
          <w:i/>
        </w:rPr>
        <w:t xml:space="preserve">Conduct an assessment to determine the extent to which Foundational Capabilities and Programs are currently provided in each jurisdiction, and determine the cost </w:t>
      </w:r>
      <w:r w:rsidR="005366BB">
        <w:rPr>
          <w:i/>
        </w:rPr>
        <w:t xml:space="preserve">of the gap between </w:t>
      </w:r>
      <w:r w:rsidR="0013157F">
        <w:rPr>
          <w:i/>
        </w:rPr>
        <w:t xml:space="preserve">the </w:t>
      </w:r>
      <w:r w:rsidR="005366BB">
        <w:rPr>
          <w:i/>
        </w:rPr>
        <w:t xml:space="preserve">current state and the Foundational Capabilities and Programs – </w:t>
      </w:r>
      <w:r w:rsidR="005366BB">
        <w:t>State and local public health authorities will need to use the measurable definitions of the Founda</w:t>
      </w:r>
      <w:r w:rsidR="004067E4">
        <w:t>tional Capabilities and Programs in order to assess their current state and</w:t>
      </w:r>
      <w:r w:rsidR="0013157F">
        <w:t xml:space="preserve"> estimate the</w:t>
      </w:r>
      <w:r w:rsidR="004067E4">
        <w:t xml:space="preserve"> cost for full implementation of the Foundational Capabilities and Programs.</w:t>
      </w:r>
    </w:p>
    <w:p w:rsidR="00155520" w:rsidRDefault="00155520" w:rsidP="003368C1">
      <w:pPr>
        <w:pStyle w:val="ListParagraph"/>
        <w:numPr>
          <w:ilvl w:val="0"/>
          <w:numId w:val="7"/>
        </w:numPr>
        <w:spacing w:after="0" w:line="240" w:lineRule="auto"/>
      </w:pPr>
      <w:r>
        <w:rPr>
          <w:i/>
        </w:rPr>
        <w:t xml:space="preserve">Compile and submit a report to Legislative Fiscal Office on the cost of statewide implementation of the Foundational Capabilities and Programs </w:t>
      </w:r>
      <w:r w:rsidR="00841809">
        <w:rPr>
          <w:i/>
        </w:rPr>
        <w:t>–</w:t>
      </w:r>
      <w:r>
        <w:t xml:space="preserve"> </w:t>
      </w:r>
      <w:r w:rsidR="00841809">
        <w:t xml:space="preserve">Based on the findings of each state and local public health authority assessment, a price for the implementation of the Foundational Capabilities and Programs will need to be </w:t>
      </w:r>
      <w:r w:rsidR="00841809">
        <w:lastRenderedPageBreak/>
        <w:t>estimated and shared with Legislative Fiscal Office. The findings of the assessment will inform a legislative concept for 2017.</w:t>
      </w:r>
    </w:p>
    <w:p w:rsidR="00ED7AE6" w:rsidRDefault="00ED7AE6" w:rsidP="003368C1">
      <w:pPr>
        <w:pStyle w:val="ListParagraph"/>
        <w:numPr>
          <w:ilvl w:val="0"/>
          <w:numId w:val="7"/>
        </w:numPr>
        <w:spacing w:after="0" w:line="240" w:lineRule="auto"/>
      </w:pPr>
      <w:r>
        <w:rPr>
          <w:i/>
        </w:rPr>
        <w:t>Local governance considerations for implementation of the Foundational Capabilities and Programs –</w:t>
      </w:r>
      <w:r>
        <w:t xml:space="preserve"> State and local public health authorities will need to consider the most appropriate, efficient and cost-effective  mechanism to implement the Foundational Capabilities and Programs. House Bill 3100A allows the Foundational Capabilities and Programs to be implemented by a single jurisdiction, a single jurisdiction with shared services or a health district. Local jurisdictions may consider taking the findings from their assessments to determine their preferred governance and plan for implementation.</w:t>
      </w:r>
    </w:p>
    <w:p w:rsidR="00841809" w:rsidRDefault="000B40C8" w:rsidP="000B40C8">
      <w:pPr>
        <w:spacing w:after="0" w:line="240" w:lineRule="auto"/>
        <w:ind w:left="720"/>
      </w:pPr>
      <w:r>
        <w:t>Please note there are other activities that must be completed within this timeframe but may be subject to guidance from the Public Health Advisory Board and the Oregon Health Policy Board.</w:t>
      </w:r>
    </w:p>
    <w:p w:rsidR="000B40C8" w:rsidRDefault="000B40C8" w:rsidP="000B40C8">
      <w:pPr>
        <w:spacing w:after="0" w:line="240" w:lineRule="auto"/>
        <w:ind w:left="720"/>
      </w:pPr>
    </w:p>
    <w:p w:rsidR="009C1A36" w:rsidRDefault="009C1A36" w:rsidP="00841809">
      <w:pPr>
        <w:spacing w:after="0" w:line="240" w:lineRule="auto"/>
        <w:rPr>
          <w:b/>
        </w:rPr>
      </w:pPr>
      <w:r>
        <w:rPr>
          <w:b/>
        </w:rPr>
        <w:t>4. Draft timeline</w:t>
      </w:r>
      <w:r w:rsidR="00CD02DF">
        <w:rPr>
          <w:b/>
        </w:rPr>
        <w:t xml:space="preserve"> and interested parties</w:t>
      </w:r>
    </w:p>
    <w:tbl>
      <w:tblPr>
        <w:tblStyle w:val="TableGrid"/>
        <w:tblW w:w="0" w:type="auto"/>
        <w:tblLook w:val="04A0" w:firstRow="1" w:lastRow="0" w:firstColumn="1" w:lastColumn="0" w:noHBand="0" w:noVBand="1"/>
      </w:tblPr>
      <w:tblGrid>
        <w:gridCol w:w="3344"/>
        <w:gridCol w:w="1920"/>
        <w:gridCol w:w="2156"/>
        <w:gridCol w:w="2156"/>
      </w:tblGrid>
      <w:tr w:rsidR="0001044F" w:rsidTr="0001044F">
        <w:tc>
          <w:tcPr>
            <w:tcW w:w="3344" w:type="dxa"/>
          </w:tcPr>
          <w:p w:rsidR="0001044F" w:rsidRPr="00D723CD" w:rsidRDefault="0001044F" w:rsidP="00841809">
            <w:pPr>
              <w:spacing w:after="0" w:line="240" w:lineRule="auto"/>
              <w:rPr>
                <w:b/>
              </w:rPr>
            </w:pPr>
            <w:r>
              <w:rPr>
                <w:b/>
              </w:rPr>
              <w:t>Activity</w:t>
            </w:r>
          </w:p>
        </w:tc>
        <w:tc>
          <w:tcPr>
            <w:tcW w:w="1920" w:type="dxa"/>
          </w:tcPr>
          <w:p w:rsidR="0001044F" w:rsidRPr="00D723CD" w:rsidRDefault="0001044F" w:rsidP="00841809">
            <w:pPr>
              <w:spacing w:after="0" w:line="240" w:lineRule="auto"/>
              <w:rPr>
                <w:b/>
              </w:rPr>
            </w:pPr>
            <w:r>
              <w:rPr>
                <w:b/>
              </w:rPr>
              <w:t>Completion date</w:t>
            </w:r>
          </w:p>
        </w:tc>
        <w:tc>
          <w:tcPr>
            <w:tcW w:w="2156" w:type="dxa"/>
          </w:tcPr>
          <w:p w:rsidR="0001044F" w:rsidRDefault="00003ECB" w:rsidP="00841809">
            <w:pPr>
              <w:spacing w:after="0" w:line="240" w:lineRule="auto"/>
              <w:rPr>
                <w:b/>
              </w:rPr>
            </w:pPr>
            <w:r>
              <w:rPr>
                <w:b/>
              </w:rPr>
              <w:t>Stakeholders</w:t>
            </w:r>
          </w:p>
        </w:tc>
        <w:tc>
          <w:tcPr>
            <w:tcW w:w="2156" w:type="dxa"/>
          </w:tcPr>
          <w:p w:rsidR="0001044F" w:rsidRDefault="00003ECB" w:rsidP="00841809">
            <w:pPr>
              <w:spacing w:after="0" w:line="240" w:lineRule="auto"/>
              <w:rPr>
                <w:b/>
              </w:rPr>
            </w:pPr>
            <w:r>
              <w:rPr>
                <w:b/>
              </w:rPr>
              <w:t>Reviewers</w:t>
            </w:r>
          </w:p>
        </w:tc>
      </w:tr>
      <w:tr w:rsidR="0001044F" w:rsidTr="0001044F">
        <w:tc>
          <w:tcPr>
            <w:tcW w:w="3344" w:type="dxa"/>
          </w:tcPr>
          <w:p w:rsidR="0001044F" w:rsidRDefault="0001044F" w:rsidP="00841809">
            <w:pPr>
              <w:spacing w:after="0" w:line="240" w:lineRule="auto"/>
            </w:pPr>
            <w:r>
              <w:t>Draft measurable definitions of the Foundational Capabilities and Programs for the Public Health Advisory Board</w:t>
            </w:r>
          </w:p>
        </w:tc>
        <w:tc>
          <w:tcPr>
            <w:tcW w:w="1920" w:type="dxa"/>
          </w:tcPr>
          <w:p w:rsidR="0001044F" w:rsidRDefault="0001044F" w:rsidP="00841809">
            <w:pPr>
              <w:spacing w:after="0" w:line="240" w:lineRule="auto"/>
            </w:pPr>
            <w:r>
              <w:t>August 2015</w:t>
            </w:r>
          </w:p>
        </w:tc>
        <w:tc>
          <w:tcPr>
            <w:tcW w:w="2156" w:type="dxa"/>
          </w:tcPr>
          <w:p w:rsidR="0001044F" w:rsidRDefault="00CD02DF" w:rsidP="00841809">
            <w:pPr>
              <w:spacing w:after="0" w:line="240" w:lineRule="auto"/>
            </w:pPr>
            <w:r>
              <w:t>CLHO committees; PHD programs</w:t>
            </w:r>
          </w:p>
        </w:tc>
        <w:tc>
          <w:tcPr>
            <w:tcW w:w="2156" w:type="dxa"/>
          </w:tcPr>
          <w:p w:rsidR="0001044F" w:rsidRDefault="00003ECB" w:rsidP="00841809">
            <w:pPr>
              <w:spacing w:after="0" w:line="240" w:lineRule="auto"/>
            </w:pPr>
            <w:r>
              <w:t>Public Health Advisory Board; Oregon Health Policy Board</w:t>
            </w:r>
          </w:p>
        </w:tc>
      </w:tr>
      <w:tr w:rsidR="0001044F" w:rsidTr="0001044F">
        <w:tc>
          <w:tcPr>
            <w:tcW w:w="3344" w:type="dxa"/>
          </w:tcPr>
          <w:p w:rsidR="0001044F" w:rsidRDefault="0001044F" w:rsidP="00841809">
            <w:pPr>
              <w:spacing w:after="0" w:line="240" w:lineRule="auto"/>
            </w:pPr>
            <w:r>
              <w:t>Use measurable definitions of the Foundational Capabilities and Programs to inform the development of the Modernization assessment tool</w:t>
            </w:r>
          </w:p>
        </w:tc>
        <w:tc>
          <w:tcPr>
            <w:tcW w:w="1920" w:type="dxa"/>
          </w:tcPr>
          <w:p w:rsidR="0001044F" w:rsidRDefault="0001044F" w:rsidP="00841809">
            <w:pPr>
              <w:spacing w:after="0" w:line="240" w:lineRule="auto"/>
            </w:pPr>
            <w:r>
              <w:t>December 2015</w:t>
            </w:r>
          </w:p>
        </w:tc>
        <w:tc>
          <w:tcPr>
            <w:tcW w:w="2156" w:type="dxa"/>
          </w:tcPr>
          <w:p w:rsidR="0001044F" w:rsidRDefault="00CD02DF" w:rsidP="00841809">
            <w:pPr>
              <w:spacing w:after="0" w:line="240" w:lineRule="auto"/>
            </w:pPr>
            <w:r>
              <w:t>CLHO; PHD</w:t>
            </w:r>
          </w:p>
        </w:tc>
        <w:tc>
          <w:tcPr>
            <w:tcW w:w="2156" w:type="dxa"/>
          </w:tcPr>
          <w:p w:rsidR="0001044F" w:rsidRDefault="00003ECB" w:rsidP="00841809">
            <w:pPr>
              <w:spacing w:after="0" w:line="240" w:lineRule="auto"/>
            </w:pPr>
            <w:r w:rsidRPr="00003ECB">
              <w:t>Public Health Advisory Board; Oregon Health Policy Board</w:t>
            </w:r>
          </w:p>
        </w:tc>
      </w:tr>
      <w:tr w:rsidR="0001044F" w:rsidTr="0001044F">
        <w:tc>
          <w:tcPr>
            <w:tcW w:w="3344" w:type="dxa"/>
          </w:tcPr>
          <w:p w:rsidR="0001044F" w:rsidRDefault="0001044F" w:rsidP="00841809">
            <w:pPr>
              <w:spacing w:after="0" w:line="240" w:lineRule="auto"/>
            </w:pPr>
            <w:r>
              <w:t>Convene Rules Advisory Committee and develop administrative rules</w:t>
            </w:r>
          </w:p>
        </w:tc>
        <w:tc>
          <w:tcPr>
            <w:tcW w:w="1920" w:type="dxa"/>
          </w:tcPr>
          <w:p w:rsidR="0001044F" w:rsidRDefault="0001044F" w:rsidP="00841809">
            <w:pPr>
              <w:spacing w:after="0" w:line="240" w:lineRule="auto"/>
            </w:pPr>
            <w:r>
              <w:t>January 2016</w:t>
            </w:r>
          </w:p>
        </w:tc>
        <w:tc>
          <w:tcPr>
            <w:tcW w:w="2156" w:type="dxa"/>
          </w:tcPr>
          <w:p w:rsidR="0001044F" w:rsidRDefault="00CD02DF" w:rsidP="00841809">
            <w:pPr>
              <w:spacing w:after="0" w:line="240" w:lineRule="auto"/>
            </w:pPr>
            <w:r>
              <w:t>CLHO; PHD</w:t>
            </w:r>
          </w:p>
        </w:tc>
        <w:tc>
          <w:tcPr>
            <w:tcW w:w="2156" w:type="dxa"/>
          </w:tcPr>
          <w:p w:rsidR="0001044F" w:rsidRDefault="00003ECB" w:rsidP="00841809">
            <w:pPr>
              <w:spacing w:after="0" w:line="240" w:lineRule="auto"/>
            </w:pPr>
            <w:r w:rsidRPr="00003ECB">
              <w:t>Public Health Advisory Board; Oregon Health Policy Board</w:t>
            </w:r>
          </w:p>
        </w:tc>
      </w:tr>
      <w:tr w:rsidR="0001044F" w:rsidTr="0001044F">
        <w:tc>
          <w:tcPr>
            <w:tcW w:w="3344" w:type="dxa"/>
          </w:tcPr>
          <w:p w:rsidR="0001044F" w:rsidRDefault="0001044F" w:rsidP="00841809">
            <w:pPr>
              <w:spacing w:after="0" w:line="240" w:lineRule="auto"/>
            </w:pPr>
            <w:r>
              <w:t>State and local public health authorities complete the Modernization assessment</w:t>
            </w:r>
          </w:p>
        </w:tc>
        <w:tc>
          <w:tcPr>
            <w:tcW w:w="1920" w:type="dxa"/>
          </w:tcPr>
          <w:p w:rsidR="0001044F" w:rsidRDefault="0001044F" w:rsidP="00841809">
            <w:pPr>
              <w:spacing w:after="0" w:line="240" w:lineRule="auto"/>
            </w:pPr>
            <w:r>
              <w:t>March 2016</w:t>
            </w:r>
          </w:p>
        </w:tc>
        <w:tc>
          <w:tcPr>
            <w:tcW w:w="2156" w:type="dxa"/>
          </w:tcPr>
          <w:p w:rsidR="0001044F" w:rsidRDefault="00CD02DF" w:rsidP="00841809">
            <w:pPr>
              <w:spacing w:after="0" w:line="240" w:lineRule="auto"/>
            </w:pPr>
            <w:r>
              <w:t>CLHO; PHD</w:t>
            </w:r>
          </w:p>
        </w:tc>
        <w:tc>
          <w:tcPr>
            <w:tcW w:w="2156" w:type="dxa"/>
          </w:tcPr>
          <w:p w:rsidR="0001044F" w:rsidRDefault="00003ECB" w:rsidP="00841809">
            <w:pPr>
              <w:spacing w:after="0" w:line="240" w:lineRule="auto"/>
            </w:pPr>
            <w:r w:rsidRPr="00003ECB">
              <w:t>Public Health Advisory Board; Oregon Health Policy Board</w:t>
            </w:r>
          </w:p>
        </w:tc>
      </w:tr>
      <w:tr w:rsidR="0001044F" w:rsidTr="0001044F">
        <w:tc>
          <w:tcPr>
            <w:tcW w:w="3344" w:type="dxa"/>
          </w:tcPr>
          <w:p w:rsidR="0001044F" w:rsidRDefault="0001044F" w:rsidP="00841809">
            <w:pPr>
              <w:spacing w:after="0" w:line="240" w:lineRule="auto"/>
            </w:pPr>
            <w:r>
              <w:t>Financial report developed and submitted to Legislative Fiscal Office</w:t>
            </w:r>
          </w:p>
        </w:tc>
        <w:tc>
          <w:tcPr>
            <w:tcW w:w="1920" w:type="dxa"/>
          </w:tcPr>
          <w:p w:rsidR="0001044F" w:rsidRDefault="0001044F" w:rsidP="00841809">
            <w:pPr>
              <w:spacing w:after="0" w:line="240" w:lineRule="auto"/>
            </w:pPr>
            <w:r>
              <w:t>June 2016</w:t>
            </w:r>
          </w:p>
        </w:tc>
        <w:tc>
          <w:tcPr>
            <w:tcW w:w="2156" w:type="dxa"/>
          </w:tcPr>
          <w:p w:rsidR="0001044F" w:rsidRDefault="00CD02DF" w:rsidP="00841809">
            <w:pPr>
              <w:spacing w:after="0" w:line="240" w:lineRule="auto"/>
            </w:pPr>
            <w:r>
              <w:t>CLHO; PHD</w:t>
            </w:r>
          </w:p>
        </w:tc>
        <w:tc>
          <w:tcPr>
            <w:tcW w:w="2156" w:type="dxa"/>
          </w:tcPr>
          <w:p w:rsidR="0001044F" w:rsidRDefault="00003ECB" w:rsidP="00841809">
            <w:pPr>
              <w:spacing w:after="0" w:line="240" w:lineRule="auto"/>
            </w:pPr>
            <w:r w:rsidRPr="00003ECB">
              <w:t>Public Health Advisory Board; Oregon Health Policy Board</w:t>
            </w:r>
            <w:r>
              <w:t>; Governor’s Office; legislators</w:t>
            </w:r>
          </w:p>
        </w:tc>
      </w:tr>
      <w:tr w:rsidR="0001044F" w:rsidTr="0001044F">
        <w:tc>
          <w:tcPr>
            <w:tcW w:w="3344" w:type="dxa"/>
          </w:tcPr>
          <w:p w:rsidR="0001044F" w:rsidRDefault="0001044F" w:rsidP="00841809">
            <w:pPr>
              <w:spacing w:after="0" w:line="240" w:lineRule="auto"/>
            </w:pPr>
            <w:r>
              <w:t>State and local public health authorities develop Modernization implementation plans; determine governance structures</w:t>
            </w:r>
          </w:p>
        </w:tc>
        <w:tc>
          <w:tcPr>
            <w:tcW w:w="1920" w:type="dxa"/>
          </w:tcPr>
          <w:p w:rsidR="0001044F" w:rsidRDefault="00F9328D" w:rsidP="00841809">
            <w:pPr>
              <w:spacing w:after="0" w:line="240" w:lineRule="auto"/>
            </w:pPr>
            <w:r>
              <w:t>March 2016</w:t>
            </w:r>
            <w:r w:rsidR="0001044F">
              <w:t>-December 2023</w:t>
            </w:r>
          </w:p>
        </w:tc>
        <w:tc>
          <w:tcPr>
            <w:tcW w:w="2156" w:type="dxa"/>
          </w:tcPr>
          <w:p w:rsidR="0001044F" w:rsidRDefault="00CD02DF" w:rsidP="00841809">
            <w:pPr>
              <w:spacing w:after="0" w:line="240" w:lineRule="auto"/>
            </w:pPr>
            <w:r>
              <w:t>CLHO; PHD</w:t>
            </w:r>
          </w:p>
        </w:tc>
        <w:tc>
          <w:tcPr>
            <w:tcW w:w="2156" w:type="dxa"/>
          </w:tcPr>
          <w:p w:rsidR="0001044F" w:rsidRDefault="00003ECB" w:rsidP="00841809">
            <w:pPr>
              <w:spacing w:after="0" w:line="240" w:lineRule="auto"/>
            </w:pPr>
            <w:r w:rsidRPr="00003ECB">
              <w:t>Public Health Advisory Board; Oregon Health Policy Board</w:t>
            </w:r>
          </w:p>
        </w:tc>
      </w:tr>
    </w:tbl>
    <w:p w:rsidR="009C1A36" w:rsidRPr="009C1A36" w:rsidRDefault="009C1A36" w:rsidP="00841809">
      <w:pPr>
        <w:spacing w:after="0" w:line="240" w:lineRule="auto"/>
      </w:pPr>
    </w:p>
    <w:p w:rsidR="009C1A36" w:rsidRDefault="009C1A36" w:rsidP="00841809">
      <w:pPr>
        <w:spacing w:after="0" w:line="240" w:lineRule="auto"/>
        <w:rPr>
          <w:b/>
        </w:rPr>
      </w:pPr>
      <w:r>
        <w:rPr>
          <w:b/>
        </w:rPr>
        <w:t>5. Next steps</w:t>
      </w:r>
    </w:p>
    <w:p w:rsidR="00102DA9" w:rsidRPr="00102DA9" w:rsidRDefault="006A3216" w:rsidP="00841809">
      <w:pPr>
        <w:spacing w:after="0" w:line="240" w:lineRule="auto"/>
      </w:pPr>
      <w:r>
        <w:t>In order to move this important work ahead in a compressed timeline, CLHO members and leadership are needed to inform the activities listed above.</w:t>
      </w:r>
    </w:p>
    <w:sectPr w:rsidR="00102DA9" w:rsidRPr="00102DA9" w:rsidSect="00BC4F4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C74" w:rsidRDefault="000B3C74" w:rsidP="00607B1E">
      <w:pPr>
        <w:spacing w:after="0" w:line="240" w:lineRule="auto"/>
      </w:pPr>
      <w:r>
        <w:separator/>
      </w:r>
    </w:p>
  </w:endnote>
  <w:endnote w:type="continuationSeparator" w:id="0">
    <w:p w:rsidR="000B3C74" w:rsidRDefault="000B3C74" w:rsidP="0060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246500995"/>
      <w:docPartObj>
        <w:docPartGallery w:val="Page Numbers (Bottom of Page)"/>
        <w:docPartUnique/>
      </w:docPartObj>
    </w:sdtPr>
    <w:sdtEndPr>
      <w:rPr>
        <w:noProof/>
      </w:rPr>
    </w:sdtEndPr>
    <w:sdtContent>
      <w:p w:rsidR="00B86050" w:rsidRDefault="00B86050">
        <w:pPr>
          <w:pStyle w:val="Footer"/>
          <w:jc w:val="right"/>
        </w:pPr>
        <w:r>
          <w:fldChar w:fldCharType="begin"/>
        </w:r>
        <w:r>
          <w:instrText xml:space="preserve"> PAGE   \* MERGEFORMAT </w:instrText>
        </w:r>
        <w:r>
          <w:fldChar w:fldCharType="separate"/>
        </w:r>
        <w:r w:rsidR="00540026">
          <w:rPr>
            <w:noProof/>
          </w:rPr>
          <w:t>1</w:t>
        </w:r>
        <w:r>
          <w:rPr>
            <w:noProof/>
          </w:rPr>
          <w:fldChar w:fldCharType="end"/>
        </w:r>
      </w:p>
    </w:sdtContent>
  </w:sdt>
  <w:p w:rsidR="000B40C8" w:rsidRDefault="000B40C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C74" w:rsidRDefault="000B3C74" w:rsidP="00607B1E">
      <w:pPr>
        <w:spacing w:after="0" w:line="240" w:lineRule="auto"/>
      </w:pPr>
      <w:r>
        <w:separator/>
      </w:r>
    </w:p>
  </w:footnote>
  <w:footnote w:type="continuationSeparator" w:id="0">
    <w:p w:rsidR="000B3C74" w:rsidRDefault="000B3C74" w:rsidP="00607B1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151565922"/>
      <w:docPartObj>
        <w:docPartGallery w:val="Watermarks"/>
        <w:docPartUnique/>
      </w:docPartObj>
    </w:sdtPr>
    <w:sdtEndPr/>
    <w:sdtContent>
      <w:p w:rsidR="000B40C8" w:rsidRDefault="00540026">
        <w:pPr>
          <w:pStyle w:val="Header"/>
        </w:pPr>
        <w:r>
          <w:rPr>
            <w:noProof/>
            <w:lang w:eastAsia="zh-TW"/>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5E44"/>
    <w:multiLevelType w:val="hybridMultilevel"/>
    <w:tmpl w:val="9F0863F6"/>
    <w:lvl w:ilvl="0" w:tplc="0409000F">
      <w:start w:val="1"/>
      <w:numFmt w:val="decimal"/>
      <w:lvlText w:val="%1."/>
      <w:lvlJc w:val="left"/>
      <w:pPr>
        <w:ind w:left="720" w:hanging="360"/>
      </w:pPr>
      <w:rPr>
        <w:rFonts w:hint="default"/>
      </w:rPr>
    </w:lvl>
    <w:lvl w:ilvl="1" w:tplc="3594ECF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A7D96"/>
    <w:multiLevelType w:val="hybridMultilevel"/>
    <w:tmpl w:val="B39AB9BA"/>
    <w:lvl w:ilvl="0" w:tplc="BFF80EC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8B87B9A"/>
    <w:multiLevelType w:val="hybridMultilevel"/>
    <w:tmpl w:val="DE947C82"/>
    <w:lvl w:ilvl="0" w:tplc="6FCEA1A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6356788"/>
    <w:multiLevelType w:val="hybridMultilevel"/>
    <w:tmpl w:val="49E69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AFB0A3C"/>
    <w:multiLevelType w:val="hybridMultilevel"/>
    <w:tmpl w:val="BB0C5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535013D"/>
    <w:multiLevelType w:val="hybridMultilevel"/>
    <w:tmpl w:val="3D344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4B65B30"/>
    <w:multiLevelType w:val="hybridMultilevel"/>
    <w:tmpl w:val="3D06A2D2"/>
    <w:lvl w:ilvl="0" w:tplc="0214F1E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727"/>
    <w:rsid w:val="00003ECB"/>
    <w:rsid w:val="0001044F"/>
    <w:rsid w:val="00033551"/>
    <w:rsid w:val="00041727"/>
    <w:rsid w:val="00070329"/>
    <w:rsid w:val="000B3C74"/>
    <w:rsid w:val="000B40C8"/>
    <w:rsid w:val="000D0AAC"/>
    <w:rsid w:val="00102DA9"/>
    <w:rsid w:val="001043B5"/>
    <w:rsid w:val="00115AB5"/>
    <w:rsid w:val="0013157F"/>
    <w:rsid w:val="00155520"/>
    <w:rsid w:val="00192AC1"/>
    <w:rsid w:val="001961B6"/>
    <w:rsid w:val="001E2099"/>
    <w:rsid w:val="00257D46"/>
    <w:rsid w:val="00261D77"/>
    <w:rsid w:val="00277B75"/>
    <w:rsid w:val="00291A77"/>
    <w:rsid w:val="002D5649"/>
    <w:rsid w:val="003368C1"/>
    <w:rsid w:val="00375A55"/>
    <w:rsid w:val="00382CB6"/>
    <w:rsid w:val="003C26CA"/>
    <w:rsid w:val="004067E4"/>
    <w:rsid w:val="00407D15"/>
    <w:rsid w:val="00453547"/>
    <w:rsid w:val="004A6C4B"/>
    <w:rsid w:val="004D6341"/>
    <w:rsid w:val="004F3AC8"/>
    <w:rsid w:val="0052369A"/>
    <w:rsid w:val="005366BB"/>
    <w:rsid w:val="00540026"/>
    <w:rsid w:val="00566E9D"/>
    <w:rsid w:val="00573CD0"/>
    <w:rsid w:val="005A3CCE"/>
    <w:rsid w:val="00607B1E"/>
    <w:rsid w:val="00635F04"/>
    <w:rsid w:val="006A3216"/>
    <w:rsid w:val="006B297C"/>
    <w:rsid w:val="006D6DD7"/>
    <w:rsid w:val="006F7E2F"/>
    <w:rsid w:val="007216C5"/>
    <w:rsid w:val="00770891"/>
    <w:rsid w:val="00796163"/>
    <w:rsid w:val="007F08A6"/>
    <w:rsid w:val="007F6D15"/>
    <w:rsid w:val="00841809"/>
    <w:rsid w:val="008429CA"/>
    <w:rsid w:val="00904DA7"/>
    <w:rsid w:val="0090776A"/>
    <w:rsid w:val="00912BD4"/>
    <w:rsid w:val="00951DA1"/>
    <w:rsid w:val="0099009C"/>
    <w:rsid w:val="009C1A36"/>
    <w:rsid w:val="00A022AF"/>
    <w:rsid w:val="00A03AB8"/>
    <w:rsid w:val="00A10188"/>
    <w:rsid w:val="00A87F8A"/>
    <w:rsid w:val="00AB6EEB"/>
    <w:rsid w:val="00B36C0E"/>
    <w:rsid w:val="00B773D5"/>
    <w:rsid w:val="00B86050"/>
    <w:rsid w:val="00BA20F6"/>
    <w:rsid w:val="00BC4F4A"/>
    <w:rsid w:val="00BE6FC2"/>
    <w:rsid w:val="00BF65CD"/>
    <w:rsid w:val="00CD02DF"/>
    <w:rsid w:val="00CD5556"/>
    <w:rsid w:val="00CD5F24"/>
    <w:rsid w:val="00D406B1"/>
    <w:rsid w:val="00D723CD"/>
    <w:rsid w:val="00D73A23"/>
    <w:rsid w:val="00DA2527"/>
    <w:rsid w:val="00DC5D2D"/>
    <w:rsid w:val="00EB62F3"/>
    <w:rsid w:val="00ED7AE6"/>
    <w:rsid w:val="00F15C23"/>
    <w:rsid w:val="00F9328D"/>
    <w:rsid w:val="00FF1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F4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B1E"/>
    <w:pPr>
      <w:ind w:left="720"/>
    </w:pPr>
  </w:style>
  <w:style w:type="character" w:styleId="Hyperlink">
    <w:name w:val="Hyperlink"/>
    <w:basedOn w:val="DefaultParagraphFont"/>
    <w:uiPriority w:val="99"/>
    <w:rsid w:val="00607B1E"/>
    <w:rPr>
      <w:color w:val="0000FF"/>
      <w:u w:val="single"/>
    </w:rPr>
  </w:style>
  <w:style w:type="paragraph" w:styleId="FootnoteText">
    <w:name w:val="footnote text"/>
    <w:basedOn w:val="Normal"/>
    <w:link w:val="FootnoteTextChar"/>
    <w:uiPriority w:val="99"/>
    <w:semiHidden/>
    <w:unhideWhenUsed/>
    <w:rsid w:val="00607B1E"/>
    <w:rPr>
      <w:sz w:val="20"/>
      <w:szCs w:val="20"/>
    </w:rPr>
  </w:style>
  <w:style w:type="character" w:customStyle="1" w:styleId="FootnoteTextChar">
    <w:name w:val="Footnote Text Char"/>
    <w:basedOn w:val="DefaultParagraphFont"/>
    <w:link w:val="FootnoteText"/>
    <w:uiPriority w:val="99"/>
    <w:semiHidden/>
    <w:rsid w:val="00607B1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07B1E"/>
    <w:rPr>
      <w:vertAlign w:val="superscript"/>
    </w:rPr>
  </w:style>
  <w:style w:type="paragraph" w:styleId="BalloonText">
    <w:name w:val="Balloon Text"/>
    <w:basedOn w:val="Normal"/>
    <w:link w:val="BalloonTextChar"/>
    <w:uiPriority w:val="99"/>
    <w:semiHidden/>
    <w:unhideWhenUsed/>
    <w:rsid w:val="00990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09C"/>
    <w:rPr>
      <w:rFonts w:ascii="Tahoma" w:hAnsi="Tahoma" w:cs="Tahoma"/>
      <w:sz w:val="16"/>
      <w:szCs w:val="16"/>
    </w:rPr>
  </w:style>
  <w:style w:type="character" w:styleId="CommentReference">
    <w:name w:val="annotation reference"/>
    <w:basedOn w:val="DefaultParagraphFont"/>
    <w:uiPriority w:val="99"/>
    <w:semiHidden/>
    <w:unhideWhenUsed/>
    <w:rsid w:val="0099009C"/>
    <w:rPr>
      <w:sz w:val="16"/>
      <w:szCs w:val="16"/>
    </w:rPr>
  </w:style>
  <w:style w:type="paragraph" w:styleId="CommentText">
    <w:name w:val="annotation text"/>
    <w:basedOn w:val="Normal"/>
    <w:link w:val="CommentTextChar"/>
    <w:uiPriority w:val="99"/>
    <w:semiHidden/>
    <w:unhideWhenUsed/>
    <w:rsid w:val="0099009C"/>
    <w:rPr>
      <w:sz w:val="20"/>
      <w:szCs w:val="20"/>
    </w:rPr>
  </w:style>
  <w:style w:type="character" w:customStyle="1" w:styleId="CommentTextChar">
    <w:name w:val="Comment Text Char"/>
    <w:basedOn w:val="DefaultParagraphFont"/>
    <w:link w:val="CommentText"/>
    <w:uiPriority w:val="99"/>
    <w:semiHidden/>
    <w:rsid w:val="0099009C"/>
  </w:style>
  <w:style w:type="paragraph" w:styleId="CommentSubject">
    <w:name w:val="annotation subject"/>
    <w:basedOn w:val="CommentText"/>
    <w:next w:val="CommentText"/>
    <w:link w:val="CommentSubjectChar"/>
    <w:uiPriority w:val="99"/>
    <w:semiHidden/>
    <w:unhideWhenUsed/>
    <w:rsid w:val="0099009C"/>
    <w:rPr>
      <w:b/>
      <w:bCs/>
    </w:rPr>
  </w:style>
  <w:style w:type="character" w:customStyle="1" w:styleId="CommentSubjectChar">
    <w:name w:val="Comment Subject Char"/>
    <w:basedOn w:val="CommentTextChar"/>
    <w:link w:val="CommentSubject"/>
    <w:uiPriority w:val="99"/>
    <w:semiHidden/>
    <w:rsid w:val="0099009C"/>
    <w:rPr>
      <w:b/>
      <w:bCs/>
    </w:rPr>
  </w:style>
  <w:style w:type="table" w:styleId="TableGrid">
    <w:name w:val="Table Grid"/>
    <w:basedOn w:val="TableNormal"/>
    <w:uiPriority w:val="59"/>
    <w:rsid w:val="00D723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4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0C8"/>
    <w:rPr>
      <w:sz w:val="22"/>
      <w:szCs w:val="22"/>
    </w:rPr>
  </w:style>
  <w:style w:type="paragraph" w:styleId="Footer">
    <w:name w:val="footer"/>
    <w:basedOn w:val="Normal"/>
    <w:link w:val="FooterChar"/>
    <w:uiPriority w:val="99"/>
    <w:unhideWhenUsed/>
    <w:rsid w:val="000B4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0C8"/>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F4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B1E"/>
    <w:pPr>
      <w:ind w:left="720"/>
    </w:pPr>
  </w:style>
  <w:style w:type="character" w:styleId="Hyperlink">
    <w:name w:val="Hyperlink"/>
    <w:basedOn w:val="DefaultParagraphFont"/>
    <w:uiPriority w:val="99"/>
    <w:rsid w:val="00607B1E"/>
    <w:rPr>
      <w:color w:val="0000FF"/>
      <w:u w:val="single"/>
    </w:rPr>
  </w:style>
  <w:style w:type="paragraph" w:styleId="FootnoteText">
    <w:name w:val="footnote text"/>
    <w:basedOn w:val="Normal"/>
    <w:link w:val="FootnoteTextChar"/>
    <w:uiPriority w:val="99"/>
    <w:semiHidden/>
    <w:unhideWhenUsed/>
    <w:rsid w:val="00607B1E"/>
    <w:rPr>
      <w:sz w:val="20"/>
      <w:szCs w:val="20"/>
    </w:rPr>
  </w:style>
  <w:style w:type="character" w:customStyle="1" w:styleId="FootnoteTextChar">
    <w:name w:val="Footnote Text Char"/>
    <w:basedOn w:val="DefaultParagraphFont"/>
    <w:link w:val="FootnoteText"/>
    <w:uiPriority w:val="99"/>
    <w:semiHidden/>
    <w:rsid w:val="00607B1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07B1E"/>
    <w:rPr>
      <w:vertAlign w:val="superscript"/>
    </w:rPr>
  </w:style>
  <w:style w:type="paragraph" w:styleId="BalloonText">
    <w:name w:val="Balloon Text"/>
    <w:basedOn w:val="Normal"/>
    <w:link w:val="BalloonTextChar"/>
    <w:uiPriority w:val="99"/>
    <w:semiHidden/>
    <w:unhideWhenUsed/>
    <w:rsid w:val="00990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09C"/>
    <w:rPr>
      <w:rFonts w:ascii="Tahoma" w:hAnsi="Tahoma" w:cs="Tahoma"/>
      <w:sz w:val="16"/>
      <w:szCs w:val="16"/>
    </w:rPr>
  </w:style>
  <w:style w:type="character" w:styleId="CommentReference">
    <w:name w:val="annotation reference"/>
    <w:basedOn w:val="DefaultParagraphFont"/>
    <w:uiPriority w:val="99"/>
    <w:semiHidden/>
    <w:unhideWhenUsed/>
    <w:rsid w:val="0099009C"/>
    <w:rPr>
      <w:sz w:val="16"/>
      <w:szCs w:val="16"/>
    </w:rPr>
  </w:style>
  <w:style w:type="paragraph" w:styleId="CommentText">
    <w:name w:val="annotation text"/>
    <w:basedOn w:val="Normal"/>
    <w:link w:val="CommentTextChar"/>
    <w:uiPriority w:val="99"/>
    <w:semiHidden/>
    <w:unhideWhenUsed/>
    <w:rsid w:val="0099009C"/>
    <w:rPr>
      <w:sz w:val="20"/>
      <w:szCs w:val="20"/>
    </w:rPr>
  </w:style>
  <w:style w:type="character" w:customStyle="1" w:styleId="CommentTextChar">
    <w:name w:val="Comment Text Char"/>
    <w:basedOn w:val="DefaultParagraphFont"/>
    <w:link w:val="CommentText"/>
    <w:uiPriority w:val="99"/>
    <w:semiHidden/>
    <w:rsid w:val="0099009C"/>
  </w:style>
  <w:style w:type="paragraph" w:styleId="CommentSubject">
    <w:name w:val="annotation subject"/>
    <w:basedOn w:val="CommentText"/>
    <w:next w:val="CommentText"/>
    <w:link w:val="CommentSubjectChar"/>
    <w:uiPriority w:val="99"/>
    <w:semiHidden/>
    <w:unhideWhenUsed/>
    <w:rsid w:val="0099009C"/>
    <w:rPr>
      <w:b/>
      <w:bCs/>
    </w:rPr>
  </w:style>
  <w:style w:type="character" w:customStyle="1" w:styleId="CommentSubjectChar">
    <w:name w:val="Comment Subject Char"/>
    <w:basedOn w:val="CommentTextChar"/>
    <w:link w:val="CommentSubject"/>
    <w:uiPriority w:val="99"/>
    <w:semiHidden/>
    <w:rsid w:val="0099009C"/>
    <w:rPr>
      <w:b/>
      <w:bCs/>
    </w:rPr>
  </w:style>
  <w:style w:type="table" w:styleId="TableGrid">
    <w:name w:val="Table Grid"/>
    <w:basedOn w:val="TableNormal"/>
    <w:uiPriority w:val="59"/>
    <w:rsid w:val="00D723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4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0C8"/>
    <w:rPr>
      <w:sz w:val="22"/>
      <w:szCs w:val="22"/>
    </w:rPr>
  </w:style>
  <w:style w:type="paragraph" w:styleId="Footer">
    <w:name w:val="footer"/>
    <w:basedOn w:val="Normal"/>
    <w:link w:val="FooterChar"/>
    <w:uiPriority w:val="99"/>
    <w:unhideWhenUsed/>
    <w:rsid w:val="000B4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0C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4530</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5314</CharactersWithSpaces>
  <SharedDoc>false</SharedDoc>
  <HLinks>
    <vt:vector size="12" baseType="variant">
      <vt:variant>
        <vt:i4>6488127</vt:i4>
      </vt:variant>
      <vt:variant>
        <vt:i4>3</vt:i4>
      </vt:variant>
      <vt:variant>
        <vt:i4>0</vt:i4>
      </vt:variant>
      <vt:variant>
        <vt:i4>5</vt:i4>
      </vt:variant>
      <vt:variant>
        <vt:lpwstr>http://www.oregon.gov/oha/OHPR/Pages/sim/index.aspx</vt:lpwstr>
      </vt:variant>
      <vt:variant>
        <vt:lpwstr/>
      </vt:variant>
      <vt:variant>
        <vt:i4>1638405</vt:i4>
      </vt:variant>
      <vt:variant>
        <vt:i4>0</vt:i4>
      </vt:variant>
      <vt:variant>
        <vt:i4>0</vt:i4>
      </vt:variant>
      <vt:variant>
        <vt:i4>5</vt:i4>
      </vt:variant>
      <vt:variant>
        <vt:lpwstr>http://innovation.cms.gov/initiatives/State-Innovations-Model-Testing/index.html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BIDDLECOM Cara M</dc:creator>
  <cp:keywords/>
  <dc:description/>
  <cp:lastModifiedBy>Erin Mowlds</cp:lastModifiedBy>
  <cp:revision>2</cp:revision>
  <dcterms:created xsi:type="dcterms:W3CDTF">2015-06-12T21:28:00Z</dcterms:created>
  <dcterms:modified xsi:type="dcterms:W3CDTF">2015-06-12T21:28:00Z</dcterms:modified>
</cp:coreProperties>
</file>