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F2" w:rsidRPr="00411508" w:rsidRDefault="007A3EF2" w:rsidP="007A3EF2">
      <w:pPr>
        <w:pStyle w:val="Arialbodycopy"/>
        <w:rPr>
          <w:b/>
          <w:sz w:val="24"/>
        </w:rPr>
      </w:pPr>
      <w:r>
        <w:rPr>
          <w:b/>
          <w:sz w:val="24"/>
        </w:rPr>
        <w:t>Modernization of Public Health</w:t>
      </w:r>
    </w:p>
    <w:p w:rsidR="007A3EF2" w:rsidRDefault="007A3EF2" w:rsidP="007A3EF2">
      <w:pPr>
        <w:pStyle w:val="Arialbodycopy"/>
        <w:rPr>
          <w:sz w:val="24"/>
        </w:rPr>
      </w:pPr>
    </w:p>
    <w:p w:rsidR="007A3EF2" w:rsidRDefault="007A3EF2" w:rsidP="007A3EF2">
      <w:pPr>
        <w:pStyle w:val="Arialbodycopy"/>
        <w:rPr>
          <w:sz w:val="24"/>
        </w:rPr>
      </w:pPr>
      <w:r>
        <w:rPr>
          <w:sz w:val="24"/>
        </w:rPr>
        <w:t>August 2015</w:t>
      </w:r>
    </w:p>
    <w:p w:rsidR="007A3EF2" w:rsidRDefault="007A3EF2" w:rsidP="007A3EF2">
      <w:pPr>
        <w:pStyle w:val="Arialbodycopy"/>
        <w:rPr>
          <w:sz w:val="24"/>
        </w:rPr>
      </w:pPr>
    </w:p>
    <w:p w:rsidR="007A3EF2" w:rsidRPr="00D56A68" w:rsidRDefault="007A3EF2" w:rsidP="007A3EF2">
      <w:pPr>
        <w:pStyle w:val="Arialbodycopy"/>
        <w:rPr>
          <w:sz w:val="24"/>
        </w:rPr>
      </w:pPr>
      <w:proofErr w:type="gramStart"/>
      <w:r w:rsidRPr="00D56A68">
        <w:rPr>
          <w:b/>
          <w:sz w:val="24"/>
          <w:u w:val="single"/>
        </w:rPr>
        <w:t>Issue.</w:t>
      </w:r>
      <w:proofErr w:type="gramEnd"/>
      <w:r w:rsidRPr="00D56A68">
        <w:rPr>
          <w:sz w:val="24"/>
        </w:rPr>
        <w:t xml:space="preserve">  Foundational Capability</w:t>
      </w:r>
      <w:r w:rsidR="00EC6D76">
        <w:rPr>
          <w:sz w:val="24"/>
        </w:rPr>
        <w:t xml:space="preserve"> or Foundational Program Name</w:t>
      </w:r>
    </w:p>
    <w:p w:rsidR="007A3EF2" w:rsidRPr="00D56A68" w:rsidRDefault="00EC6D76" w:rsidP="007A3EF2">
      <w:pPr>
        <w:pStyle w:val="Arialbodycopy"/>
        <w:rPr>
          <w:b/>
          <w:sz w:val="24"/>
        </w:rPr>
      </w:pPr>
      <w:r>
        <w:rPr>
          <w:sz w:val="24"/>
        </w:rPr>
        <w:t>[Insert Language from Task Force Report]</w:t>
      </w:r>
    </w:p>
    <w:p w:rsidR="007A3EF2" w:rsidRDefault="007A3EF2" w:rsidP="007A3EF2">
      <w:pPr>
        <w:pStyle w:val="Arialbodycopy"/>
        <w:rPr>
          <w:sz w:val="24"/>
        </w:rPr>
      </w:pPr>
    </w:p>
    <w:p w:rsidR="007A3EF2" w:rsidRPr="00807247" w:rsidRDefault="007A3EF2" w:rsidP="007A3EF2">
      <w:pPr>
        <w:pStyle w:val="Arialbodycopy"/>
        <w:rPr>
          <w:sz w:val="24"/>
        </w:rPr>
      </w:pPr>
      <w:proofErr w:type="gramStart"/>
      <w:r w:rsidRPr="00807247">
        <w:rPr>
          <w:b/>
          <w:sz w:val="24"/>
        </w:rPr>
        <w:t>Vision</w:t>
      </w:r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</w:t>
      </w:r>
      <w:proofErr w:type="gramStart"/>
      <w:r w:rsidR="00EC6D76">
        <w:rPr>
          <w:sz w:val="24"/>
        </w:rPr>
        <w:t>Brief Vision Statement Regarding the Foundational Element.</w:t>
      </w:r>
      <w:proofErr w:type="gramEnd"/>
    </w:p>
    <w:p w:rsidR="007A3EF2" w:rsidRPr="00751747" w:rsidRDefault="007A3EF2" w:rsidP="007A3EF2">
      <w:pPr>
        <w:pStyle w:val="Arialbodycopy"/>
        <w:rPr>
          <w:b/>
          <w:sz w:val="24"/>
        </w:rPr>
      </w:pPr>
    </w:p>
    <w:p w:rsidR="007A3EF2" w:rsidRPr="00D56A68" w:rsidRDefault="007A3EF2" w:rsidP="007A3EF2">
      <w:pPr>
        <w:pStyle w:val="Arialbodycopy"/>
        <w:rPr>
          <w:sz w:val="24"/>
        </w:rPr>
      </w:pPr>
      <w:proofErr w:type="gramStart"/>
      <w:r w:rsidRPr="00D56A68">
        <w:rPr>
          <w:b/>
          <w:sz w:val="24"/>
          <w:u w:val="single"/>
        </w:rPr>
        <w:t>Assumptions.</w:t>
      </w:r>
      <w:proofErr w:type="gramEnd"/>
      <w:r w:rsidRPr="00D56A68">
        <w:rPr>
          <w:sz w:val="24"/>
        </w:rPr>
        <w:t xml:space="preserve"> In order to define and measure the </w:t>
      </w:r>
      <w:r w:rsidR="00EC6D76">
        <w:rPr>
          <w:sz w:val="24"/>
        </w:rPr>
        <w:t>[FOUNDATIONAL CAPABILITY]</w:t>
      </w:r>
      <w:r w:rsidRPr="00D56A68">
        <w:rPr>
          <w:sz w:val="24"/>
        </w:rPr>
        <w:t>, workgroup members will:</w:t>
      </w:r>
    </w:p>
    <w:p w:rsidR="007A3EF2" w:rsidRPr="00D56A68" w:rsidRDefault="007A3EF2" w:rsidP="00B21623">
      <w:pPr>
        <w:pStyle w:val="Arialbodycopy"/>
        <w:numPr>
          <w:ilvl w:val="0"/>
          <w:numId w:val="34"/>
        </w:numPr>
        <w:ind w:left="360"/>
        <w:rPr>
          <w:sz w:val="24"/>
        </w:rPr>
      </w:pPr>
      <w:r w:rsidRPr="00D56A68">
        <w:rPr>
          <w:sz w:val="24"/>
        </w:rPr>
        <w:t>Utilize peer-reviewed literature and leading public health guidance documents to the extent possible;</w:t>
      </w:r>
    </w:p>
    <w:p w:rsidR="007A3EF2" w:rsidRPr="00D56A68" w:rsidRDefault="007A3EF2" w:rsidP="00B21623">
      <w:pPr>
        <w:pStyle w:val="Arialbodycopy"/>
        <w:numPr>
          <w:ilvl w:val="0"/>
          <w:numId w:val="34"/>
        </w:numPr>
        <w:ind w:left="360"/>
        <w:rPr>
          <w:sz w:val="24"/>
        </w:rPr>
      </w:pPr>
      <w:r w:rsidRPr="00D56A68">
        <w:rPr>
          <w:sz w:val="24"/>
        </w:rPr>
        <w:t>When peer-reviewed literature is not available, utilize processes and definitions from other states that have undertaken a similar body of work (i.e., Washington State’s definitions of the Foundational Capabilities and Programs for Public Health);</w:t>
      </w:r>
    </w:p>
    <w:p w:rsidR="007A3EF2" w:rsidRPr="00D56A68" w:rsidRDefault="007A3EF2" w:rsidP="00B21623">
      <w:pPr>
        <w:pStyle w:val="Arialbodycopy"/>
        <w:numPr>
          <w:ilvl w:val="0"/>
          <w:numId w:val="34"/>
        </w:numPr>
        <w:ind w:left="360"/>
        <w:rPr>
          <w:sz w:val="24"/>
        </w:rPr>
      </w:pPr>
      <w:r w:rsidRPr="00D56A68">
        <w:rPr>
          <w:sz w:val="24"/>
        </w:rPr>
        <w:t>Align with other health-related priorities in Oregon and nationally (i.e., Oregon’s Measurement Strategy; Healthy People 2020);</w:t>
      </w:r>
    </w:p>
    <w:p w:rsidR="007A3EF2" w:rsidRPr="00D56A68" w:rsidRDefault="007A3EF2" w:rsidP="00B21623">
      <w:pPr>
        <w:pStyle w:val="Arialbodycopy"/>
        <w:numPr>
          <w:ilvl w:val="0"/>
          <w:numId w:val="34"/>
        </w:numPr>
        <w:ind w:left="360"/>
        <w:rPr>
          <w:sz w:val="24"/>
        </w:rPr>
      </w:pPr>
      <w:r w:rsidRPr="00D56A68">
        <w:rPr>
          <w:sz w:val="24"/>
        </w:rPr>
        <w:t>Utilize the most current epidemiology for the state of Oregon</w:t>
      </w:r>
    </w:p>
    <w:p w:rsidR="007A3EF2" w:rsidRPr="00D56A68" w:rsidRDefault="007A3EF2" w:rsidP="00B21623">
      <w:pPr>
        <w:pStyle w:val="Arialbodycopy"/>
        <w:numPr>
          <w:ilvl w:val="0"/>
          <w:numId w:val="34"/>
        </w:numPr>
        <w:ind w:left="360"/>
        <w:rPr>
          <w:sz w:val="24"/>
        </w:rPr>
      </w:pPr>
      <w:r w:rsidRPr="00D56A68">
        <w:rPr>
          <w:sz w:val="24"/>
        </w:rPr>
        <w:t>Utilize a consensus-based process to come to common agreements.</w:t>
      </w:r>
    </w:p>
    <w:p w:rsidR="007A3EF2" w:rsidRPr="00D56A68" w:rsidRDefault="007A3EF2" w:rsidP="007A3EF2">
      <w:pPr>
        <w:pStyle w:val="Arialbodycopy"/>
        <w:rPr>
          <w:b/>
          <w:sz w:val="24"/>
          <w:u w:val="single"/>
        </w:rPr>
      </w:pPr>
    </w:p>
    <w:p w:rsidR="007A3EF2" w:rsidRPr="00D56A68" w:rsidRDefault="007A3EF2" w:rsidP="007A3EF2">
      <w:pPr>
        <w:pStyle w:val="Arialbodycopy"/>
        <w:rPr>
          <w:sz w:val="24"/>
        </w:rPr>
      </w:pPr>
      <w:proofErr w:type="gramStart"/>
      <w:r w:rsidRPr="00D56A68">
        <w:rPr>
          <w:b/>
          <w:sz w:val="24"/>
        </w:rPr>
        <w:t>Legislative Definition.</w:t>
      </w:r>
      <w:proofErr w:type="gramEnd"/>
      <w:r w:rsidRPr="00D56A68">
        <w:t xml:space="preserve"> </w:t>
      </w:r>
      <w:r w:rsidRPr="00D56A68">
        <w:rPr>
          <w:sz w:val="24"/>
        </w:rPr>
        <w:t xml:space="preserve">HB 3100 defines </w:t>
      </w:r>
      <w:r w:rsidR="00EC6D76">
        <w:rPr>
          <w:sz w:val="24"/>
        </w:rPr>
        <w:t>[FOUNDATIONAL CAPABILITY]</w:t>
      </w:r>
      <w:r w:rsidRPr="00D56A68">
        <w:rPr>
          <w:sz w:val="24"/>
        </w:rPr>
        <w:t xml:space="preserve"> as the knowledge, skills and abilities to:</w:t>
      </w:r>
    </w:p>
    <w:p w:rsidR="007A3EF2" w:rsidRPr="00EC6D76" w:rsidRDefault="00EC6D76" w:rsidP="00EC6D76">
      <w:pPr>
        <w:pStyle w:val="Arialbodycopy"/>
        <w:numPr>
          <w:ilvl w:val="0"/>
          <w:numId w:val="36"/>
        </w:numPr>
        <w:ind w:left="360"/>
        <w:rPr>
          <w:b/>
          <w:sz w:val="24"/>
          <w:u w:val="single"/>
        </w:rPr>
      </w:pPr>
      <w:r>
        <w:rPr>
          <w:sz w:val="24"/>
        </w:rPr>
        <w:t>Insert legislative definition from HB 3100</w:t>
      </w:r>
    </w:p>
    <w:p w:rsidR="00EC6D76" w:rsidRPr="00EC6D76" w:rsidRDefault="00EC6D76" w:rsidP="00EC6D76">
      <w:pPr>
        <w:pStyle w:val="Arialbodycopy"/>
        <w:numPr>
          <w:ilvl w:val="0"/>
          <w:numId w:val="36"/>
        </w:numPr>
        <w:ind w:left="360"/>
        <w:rPr>
          <w:b/>
          <w:sz w:val="24"/>
          <w:u w:val="single"/>
        </w:rPr>
      </w:pPr>
      <w:r>
        <w:rPr>
          <w:sz w:val="24"/>
        </w:rPr>
        <w:t>Insert legislative definition from HB 3100</w:t>
      </w:r>
    </w:p>
    <w:p w:rsidR="00EC6D76" w:rsidRDefault="00EC6D76" w:rsidP="007A3EF2">
      <w:pPr>
        <w:pStyle w:val="Arialbodycopy"/>
        <w:rPr>
          <w:b/>
          <w:sz w:val="24"/>
          <w:u w:val="single"/>
        </w:rPr>
      </w:pPr>
    </w:p>
    <w:p w:rsidR="007A3EF2" w:rsidRDefault="00C0610D" w:rsidP="007A3EF2">
      <w:pPr>
        <w:pStyle w:val="Arialbodycopy"/>
        <w:rPr>
          <w:sz w:val="24"/>
        </w:rPr>
      </w:pPr>
      <w:proofErr w:type="gramStart"/>
      <w:r>
        <w:rPr>
          <w:b/>
          <w:sz w:val="24"/>
          <w:u w:val="single"/>
        </w:rPr>
        <w:t>Core System Functions</w:t>
      </w:r>
      <w:r w:rsidR="007A3EF2" w:rsidRPr="00D56A68">
        <w:rPr>
          <w:b/>
          <w:sz w:val="24"/>
          <w:u w:val="single"/>
        </w:rPr>
        <w:t>.</w:t>
      </w:r>
      <w:proofErr w:type="gramEnd"/>
      <w:r w:rsidR="007A3EF2" w:rsidRPr="00C0610D">
        <w:rPr>
          <w:b/>
          <w:sz w:val="24"/>
        </w:rPr>
        <w:t xml:space="preserve"> </w:t>
      </w:r>
      <w:r w:rsidR="007A3EF2" w:rsidRPr="00D56A68">
        <w:rPr>
          <w:sz w:val="24"/>
        </w:rPr>
        <w:t>Based on a review of relevant literature, governmental public health at a minimum shall</w:t>
      </w:r>
      <w:r w:rsidR="007A3EF2">
        <w:rPr>
          <w:sz w:val="24"/>
        </w:rPr>
        <w:t xml:space="preserve"> have the ability to</w:t>
      </w:r>
      <w:r w:rsidR="007A3EF2" w:rsidRPr="00D56A68">
        <w:rPr>
          <w:sz w:val="24"/>
        </w:rPr>
        <w:t>:</w:t>
      </w:r>
    </w:p>
    <w:p w:rsidR="00EC6D76" w:rsidRPr="00D56A68" w:rsidRDefault="00EC6D76" w:rsidP="00EC6D76">
      <w:pPr>
        <w:pStyle w:val="Arialbodycopy"/>
        <w:numPr>
          <w:ilvl w:val="0"/>
          <w:numId w:val="38"/>
        </w:numPr>
        <w:rPr>
          <w:sz w:val="24"/>
        </w:rPr>
      </w:pPr>
      <w:r>
        <w:rPr>
          <w:sz w:val="24"/>
        </w:rPr>
        <w:t>Insert lit review results with references</w:t>
      </w:r>
    </w:p>
    <w:p w:rsidR="007A3EF2" w:rsidRDefault="007A3EF2" w:rsidP="007A3EF2">
      <w:pPr>
        <w:pStyle w:val="Arialbodycopy"/>
        <w:ind w:left="270"/>
        <w:rPr>
          <w:sz w:val="24"/>
        </w:rPr>
      </w:pPr>
    </w:p>
    <w:p w:rsidR="007A3EF2" w:rsidRPr="00A61A09" w:rsidRDefault="007A3EF2" w:rsidP="007A3EF2">
      <w:pPr>
        <w:pStyle w:val="Arialbodycopy"/>
        <w:rPr>
          <w:b/>
          <w:sz w:val="24"/>
          <w:u w:val="single"/>
        </w:rPr>
      </w:pPr>
    </w:p>
    <w:p w:rsidR="007A3EF2" w:rsidRPr="00D56A68" w:rsidRDefault="007A3EF2" w:rsidP="007A3EF2">
      <w:pPr>
        <w:pStyle w:val="Arialbodycopy"/>
        <w:rPr>
          <w:b/>
          <w:sz w:val="24"/>
          <w:u w:val="single"/>
        </w:rPr>
      </w:pPr>
      <w:proofErr w:type="gramStart"/>
      <w:r w:rsidRPr="00D56A68">
        <w:rPr>
          <w:b/>
          <w:sz w:val="24"/>
          <w:u w:val="single"/>
        </w:rPr>
        <w:t>State Public Health Role.</w:t>
      </w:r>
      <w:proofErr w:type="gramEnd"/>
    </w:p>
    <w:p w:rsidR="007A3EF2" w:rsidRDefault="007A3EF2" w:rsidP="007A3EF2">
      <w:pPr>
        <w:pStyle w:val="Arialbodycopy"/>
        <w:rPr>
          <w:sz w:val="24"/>
        </w:rPr>
      </w:pPr>
      <w:r w:rsidRPr="00D56A68">
        <w:rPr>
          <w:sz w:val="24"/>
        </w:rPr>
        <w:t>The OHA Public Health Division shall:</w:t>
      </w:r>
    </w:p>
    <w:p w:rsidR="007A3EF2" w:rsidRDefault="007A3EF2" w:rsidP="007A3EF2">
      <w:pPr>
        <w:pStyle w:val="Arialbodycopy"/>
        <w:rPr>
          <w:sz w:val="24"/>
        </w:rPr>
      </w:pPr>
    </w:p>
    <w:p w:rsidR="00EC6D76" w:rsidRDefault="00EC6D76" w:rsidP="007A3EF2">
      <w:pPr>
        <w:pStyle w:val="Arialbodycopy"/>
        <w:rPr>
          <w:sz w:val="24"/>
        </w:rPr>
      </w:pPr>
      <w:r>
        <w:rPr>
          <w:sz w:val="24"/>
        </w:rPr>
        <w:t>[Insert State role here]</w:t>
      </w:r>
    </w:p>
    <w:p w:rsidR="00C037D6" w:rsidRDefault="00C037D6" w:rsidP="007A3EF2">
      <w:pPr>
        <w:pStyle w:val="Arialbodycopy"/>
        <w:rPr>
          <w:sz w:val="24"/>
        </w:rPr>
      </w:pPr>
    </w:p>
    <w:p w:rsidR="00C037D6" w:rsidRDefault="00C037D6" w:rsidP="00C037D6">
      <w:pPr>
        <w:pStyle w:val="Arialbodycopy"/>
        <w:ind w:firstLine="360"/>
        <w:rPr>
          <w:sz w:val="24"/>
          <w:u w:val="single"/>
        </w:rPr>
      </w:pPr>
      <w:r w:rsidRPr="00C037D6">
        <w:rPr>
          <w:sz w:val="24"/>
          <w:u w:val="single"/>
        </w:rPr>
        <w:t xml:space="preserve">Core </w:t>
      </w:r>
      <w:r>
        <w:rPr>
          <w:sz w:val="24"/>
          <w:u w:val="single"/>
        </w:rPr>
        <w:t xml:space="preserve">State </w:t>
      </w:r>
      <w:r w:rsidRPr="00C037D6">
        <w:rPr>
          <w:sz w:val="24"/>
          <w:u w:val="single"/>
        </w:rPr>
        <w:t>Activities/Deliverables</w:t>
      </w:r>
    </w:p>
    <w:p w:rsidR="00C037D6" w:rsidRPr="00C037D6" w:rsidRDefault="00C037D6" w:rsidP="00C037D6">
      <w:pPr>
        <w:pStyle w:val="Arialbodycopy"/>
        <w:numPr>
          <w:ilvl w:val="0"/>
          <w:numId w:val="39"/>
        </w:numPr>
        <w:rPr>
          <w:sz w:val="24"/>
        </w:rPr>
      </w:pPr>
      <w:r w:rsidRPr="00C037D6">
        <w:rPr>
          <w:sz w:val="24"/>
        </w:rPr>
        <w:t>Include state specific activities/deliverables</w:t>
      </w:r>
    </w:p>
    <w:p w:rsidR="00EC6D76" w:rsidRDefault="00EC6D76" w:rsidP="007A3EF2">
      <w:pPr>
        <w:pStyle w:val="Arialbodycopy"/>
        <w:rPr>
          <w:sz w:val="24"/>
        </w:rPr>
      </w:pPr>
    </w:p>
    <w:p w:rsidR="007A3EF2" w:rsidRPr="00A911BC" w:rsidRDefault="007A3EF2" w:rsidP="007A3EF2">
      <w:pPr>
        <w:pStyle w:val="Arialbodycopy"/>
        <w:ind w:firstLine="360"/>
        <w:rPr>
          <w:sz w:val="24"/>
          <w:u w:val="single"/>
        </w:rPr>
      </w:pPr>
      <w:r w:rsidRPr="00A911BC">
        <w:rPr>
          <w:sz w:val="24"/>
          <w:u w:val="single"/>
        </w:rPr>
        <w:t>Core State Tools/Resources</w:t>
      </w:r>
    </w:p>
    <w:p w:rsidR="007A3EF2" w:rsidRDefault="00EC6D76" w:rsidP="00EC6D76">
      <w:pPr>
        <w:pStyle w:val="Arialbodycopy"/>
        <w:numPr>
          <w:ilvl w:val="0"/>
          <w:numId w:val="3"/>
        </w:numPr>
        <w:rPr>
          <w:sz w:val="24"/>
        </w:rPr>
      </w:pPr>
      <w:r>
        <w:rPr>
          <w:sz w:val="24"/>
        </w:rPr>
        <w:t>Include state specific tools/resources</w:t>
      </w:r>
    </w:p>
    <w:p w:rsidR="00EC6D76" w:rsidRDefault="00EC6D76" w:rsidP="00EC6D76">
      <w:pPr>
        <w:pStyle w:val="Arialbodycopy"/>
        <w:ind w:left="720"/>
        <w:rPr>
          <w:sz w:val="24"/>
        </w:rPr>
      </w:pPr>
    </w:p>
    <w:p w:rsidR="007A3EF2" w:rsidRPr="00A911BC" w:rsidRDefault="007A3EF2" w:rsidP="007A3EF2">
      <w:pPr>
        <w:pStyle w:val="Arialbodycopy"/>
        <w:ind w:firstLine="360"/>
        <w:rPr>
          <w:sz w:val="24"/>
          <w:u w:val="single"/>
        </w:rPr>
      </w:pPr>
      <w:r w:rsidRPr="00A911BC">
        <w:rPr>
          <w:sz w:val="24"/>
          <w:u w:val="single"/>
        </w:rPr>
        <w:t>Core State Personnel</w:t>
      </w:r>
    </w:p>
    <w:p w:rsidR="007A3EF2" w:rsidRDefault="007A3EF2" w:rsidP="007A3EF2">
      <w:pPr>
        <w:pStyle w:val="Arialbodycopy"/>
        <w:numPr>
          <w:ilvl w:val="0"/>
          <w:numId w:val="6"/>
        </w:numPr>
        <w:rPr>
          <w:sz w:val="24"/>
        </w:rPr>
      </w:pPr>
      <w:r w:rsidRPr="00111AD4">
        <w:rPr>
          <w:sz w:val="24"/>
        </w:rPr>
        <w:t xml:space="preserve">Establish X.X FTE position </w:t>
      </w:r>
    </w:p>
    <w:p w:rsidR="007A3EF2" w:rsidRDefault="00EC6D76" w:rsidP="00607209">
      <w:pPr>
        <w:pStyle w:val="Arialbodycopy"/>
        <w:numPr>
          <w:ilvl w:val="1"/>
          <w:numId w:val="14"/>
        </w:numPr>
        <w:ind w:left="1080"/>
        <w:rPr>
          <w:sz w:val="24"/>
        </w:rPr>
      </w:pPr>
      <w:r>
        <w:rPr>
          <w:sz w:val="24"/>
        </w:rPr>
        <w:t>duties</w:t>
      </w:r>
    </w:p>
    <w:p w:rsidR="007A3EF2" w:rsidRDefault="00EC6D76" w:rsidP="00607209">
      <w:pPr>
        <w:pStyle w:val="Arialbodycopy"/>
        <w:numPr>
          <w:ilvl w:val="1"/>
          <w:numId w:val="14"/>
        </w:numPr>
        <w:ind w:left="1080"/>
        <w:rPr>
          <w:sz w:val="24"/>
        </w:rPr>
      </w:pPr>
      <w:r>
        <w:rPr>
          <w:sz w:val="24"/>
        </w:rPr>
        <w:t>other factors</w:t>
      </w:r>
    </w:p>
    <w:p w:rsidR="007A3EF2" w:rsidRPr="007A4F7D" w:rsidRDefault="007A3EF2" w:rsidP="007A3EF2">
      <w:pPr>
        <w:pStyle w:val="Arialbodycopy"/>
        <w:rPr>
          <w:sz w:val="24"/>
        </w:rPr>
      </w:pPr>
    </w:p>
    <w:p w:rsidR="007A3EF2" w:rsidRDefault="007A3EF2" w:rsidP="007A3EF2">
      <w:pPr>
        <w:pStyle w:val="Arialbodycopy"/>
        <w:rPr>
          <w:sz w:val="24"/>
        </w:rPr>
      </w:pPr>
      <w:proofErr w:type="gramStart"/>
      <w:r w:rsidRPr="00A61A09">
        <w:rPr>
          <w:b/>
          <w:sz w:val="24"/>
          <w:u w:val="single"/>
        </w:rPr>
        <w:t>Local Public Health Role</w:t>
      </w:r>
      <w:r>
        <w:rPr>
          <w:b/>
          <w:sz w:val="24"/>
          <w:u w:val="single"/>
        </w:rPr>
        <w:t>.</w:t>
      </w:r>
      <w:proofErr w:type="gramEnd"/>
    </w:p>
    <w:p w:rsidR="007A3EF2" w:rsidRDefault="007A3EF2" w:rsidP="007A3EF2">
      <w:pPr>
        <w:pStyle w:val="Arialbodycopy"/>
        <w:rPr>
          <w:sz w:val="24"/>
        </w:rPr>
      </w:pPr>
      <w:r>
        <w:rPr>
          <w:sz w:val="24"/>
        </w:rPr>
        <w:t>Local jurisdictions shall:</w:t>
      </w:r>
    </w:p>
    <w:p w:rsidR="007A3EF2" w:rsidRDefault="00EC6D76" w:rsidP="007A3EF2">
      <w:pPr>
        <w:pStyle w:val="Arialbodycopy"/>
        <w:rPr>
          <w:sz w:val="24"/>
        </w:rPr>
      </w:pPr>
      <w:r>
        <w:rPr>
          <w:sz w:val="24"/>
        </w:rPr>
        <w:t>[Insert Local role here]</w:t>
      </w:r>
    </w:p>
    <w:p w:rsidR="00C037D6" w:rsidRDefault="00C037D6" w:rsidP="007A3EF2">
      <w:pPr>
        <w:pStyle w:val="Arialbodycopy"/>
        <w:rPr>
          <w:sz w:val="24"/>
        </w:rPr>
      </w:pPr>
    </w:p>
    <w:p w:rsidR="00C037D6" w:rsidRDefault="00C037D6" w:rsidP="00C037D6">
      <w:pPr>
        <w:pStyle w:val="Arialbodycopy"/>
        <w:ind w:firstLine="360"/>
        <w:rPr>
          <w:sz w:val="24"/>
          <w:u w:val="single"/>
        </w:rPr>
      </w:pPr>
      <w:r w:rsidRPr="00C037D6">
        <w:rPr>
          <w:sz w:val="24"/>
          <w:u w:val="single"/>
        </w:rPr>
        <w:t xml:space="preserve">Core </w:t>
      </w:r>
      <w:r>
        <w:rPr>
          <w:sz w:val="24"/>
          <w:u w:val="single"/>
        </w:rPr>
        <w:t xml:space="preserve">Local </w:t>
      </w:r>
      <w:r w:rsidRPr="00C037D6">
        <w:rPr>
          <w:sz w:val="24"/>
          <w:u w:val="single"/>
        </w:rPr>
        <w:t>Activities/Deliverables</w:t>
      </w:r>
    </w:p>
    <w:p w:rsidR="00C037D6" w:rsidRPr="00C037D6" w:rsidRDefault="00C037D6" w:rsidP="00C037D6">
      <w:pPr>
        <w:pStyle w:val="Arialbodycopy"/>
        <w:numPr>
          <w:ilvl w:val="0"/>
          <w:numId w:val="40"/>
        </w:numPr>
        <w:rPr>
          <w:sz w:val="24"/>
        </w:rPr>
      </w:pPr>
      <w:r w:rsidRPr="00C037D6">
        <w:rPr>
          <w:sz w:val="24"/>
        </w:rPr>
        <w:t xml:space="preserve">Include </w:t>
      </w:r>
      <w:r>
        <w:rPr>
          <w:sz w:val="24"/>
        </w:rPr>
        <w:t>local</w:t>
      </w:r>
      <w:r w:rsidRPr="00C037D6">
        <w:rPr>
          <w:sz w:val="24"/>
        </w:rPr>
        <w:t xml:space="preserve"> specific activities/deliverables</w:t>
      </w:r>
    </w:p>
    <w:p w:rsidR="007A3EF2" w:rsidRDefault="007A3EF2" w:rsidP="007A3EF2">
      <w:pPr>
        <w:pStyle w:val="Arialbodycopy"/>
        <w:rPr>
          <w:sz w:val="24"/>
        </w:rPr>
      </w:pPr>
    </w:p>
    <w:p w:rsidR="007A3EF2" w:rsidRPr="00A911BC" w:rsidRDefault="007A3EF2" w:rsidP="00C037D6">
      <w:pPr>
        <w:pStyle w:val="Arialbodycopy"/>
        <w:ind w:left="720" w:hanging="360"/>
        <w:rPr>
          <w:sz w:val="24"/>
          <w:u w:val="single"/>
        </w:rPr>
      </w:pPr>
      <w:r w:rsidRPr="00A911BC">
        <w:rPr>
          <w:sz w:val="24"/>
          <w:u w:val="single"/>
        </w:rPr>
        <w:t xml:space="preserve">Core </w:t>
      </w:r>
      <w:r>
        <w:rPr>
          <w:sz w:val="24"/>
          <w:u w:val="single"/>
        </w:rPr>
        <w:t>Local</w:t>
      </w:r>
      <w:r w:rsidRPr="00A911BC">
        <w:rPr>
          <w:sz w:val="24"/>
          <w:u w:val="single"/>
        </w:rPr>
        <w:t xml:space="preserve"> Tools/Resources</w:t>
      </w:r>
    </w:p>
    <w:p w:rsidR="007A3EF2" w:rsidRDefault="00EC6D76" w:rsidP="00C0610D">
      <w:pPr>
        <w:pStyle w:val="Arialbodycopy"/>
        <w:numPr>
          <w:ilvl w:val="0"/>
          <w:numId w:val="29"/>
        </w:numPr>
        <w:rPr>
          <w:sz w:val="24"/>
        </w:rPr>
      </w:pPr>
      <w:r>
        <w:rPr>
          <w:sz w:val="24"/>
        </w:rPr>
        <w:t>Include local specific tools/resources</w:t>
      </w:r>
    </w:p>
    <w:p w:rsidR="007A3EF2" w:rsidRDefault="007A3EF2" w:rsidP="007A3EF2">
      <w:pPr>
        <w:pStyle w:val="Arialbodycopy"/>
        <w:rPr>
          <w:sz w:val="24"/>
        </w:rPr>
      </w:pPr>
    </w:p>
    <w:p w:rsidR="007A3EF2" w:rsidRPr="00A911BC" w:rsidRDefault="007A3EF2" w:rsidP="00C037D6">
      <w:pPr>
        <w:pStyle w:val="Arialbodycopy"/>
        <w:ind w:left="720" w:hanging="360"/>
        <w:rPr>
          <w:sz w:val="24"/>
          <w:u w:val="single"/>
        </w:rPr>
      </w:pPr>
      <w:r w:rsidRPr="00A911BC">
        <w:rPr>
          <w:sz w:val="24"/>
          <w:u w:val="single"/>
        </w:rPr>
        <w:t xml:space="preserve">Core </w:t>
      </w:r>
      <w:r>
        <w:rPr>
          <w:sz w:val="24"/>
          <w:u w:val="single"/>
        </w:rPr>
        <w:t>Local</w:t>
      </w:r>
      <w:r w:rsidRPr="00A911BC">
        <w:rPr>
          <w:sz w:val="24"/>
          <w:u w:val="single"/>
        </w:rPr>
        <w:t xml:space="preserve"> Personnel</w:t>
      </w:r>
    </w:p>
    <w:p w:rsidR="007A3EF2" w:rsidRDefault="007A3EF2" w:rsidP="00C0610D">
      <w:pPr>
        <w:pStyle w:val="Arialbodycopy"/>
        <w:numPr>
          <w:ilvl w:val="0"/>
          <w:numId w:val="30"/>
        </w:numPr>
        <w:rPr>
          <w:sz w:val="24"/>
        </w:rPr>
      </w:pPr>
      <w:r w:rsidRPr="00111AD4">
        <w:rPr>
          <w:sz w:val="24"/>
        </w:rPr>
        <w:t xml:space="preserve">Establish X.X FTE Policy </w:t>
      </w:r>
      <w:r>
        <w:rPr>
          <w:sz w:val="24"/>
        </w:rPr>
        <w:t>staff</w:t>
      </w:r>
      <w:r w:rsidRPr="00111AD4">
        <w:rPr>
          <w:sz w:val="24"/>
        </w:rPr>
        <w:t xml:space="preserve"> </w:t>
      </w:r>
      <w:r>
        <w:rPr>
          <w:sz w:val="24"/>
        </w:rPr>
        <w:t xml:space="preserve">for every XXX,XXX people, </w:t>
      </w:r>
    </w:p>
    <w:p w:rsidR="00EC6D76" w:rsidRDefault="00EC6D76" w:rsidP="00607209">
      <w:pPr>
        <w:pStyle w:val="Arialbodycopy"/>
        <w:numPr>
          <w:ilvl w:val="1"/>
          <w:numId w:val="31"/>
        </w:numPr>
        <w:ind w:left="1080"/>
        <w:rPr>
          <w:sz w:val="24"/>
        </w:rPr>
      </w:pPr>
      <w:r>
        <w:rPr>
          <w:sz w:val="24"/>
        </w:rPr>
        <w:t>Duties</w:t>
      </w:r>
    </w:p>
    <w:p w:rsidR="007A3EF2" w:rsidRDefault="00EC6D76" w:rsidP="00EC6D76">
      <w:pPr>
        <w:pStyle w:val="Arialbodycopy"/>
        <w:numPr>
          <w:ilvl w:val="1"/>
          <w:numId w:val="31"/>
        </w:numPr>
        <w:ind w:left="1080"/>
        <w:rPr>
          <w:sz w:val="24"/>
        </w:rPr>
      </w:pPr>
      <w:r>
        <w:rPr>
          <w:sz w:val="24"/>
        </w:rPr>
        <w:t>Other factors</w:t>
      </w:r>
    </w:p>
    <w:p w:rsidR="007A3EF2" w:rsidRPr="00F921C1" w:rsidRDefault="007A3EF2" w:rsidP="007A3EF2">
      <w:pPr>
        <w:pStyle w:val="Arialbodycopy"/>
        <w:rPr>
          <w:b/>
          <w:sz w:val="24"/>
          <w:u w:val="single"/>
        </w:rPr>
      </w:pPr>
    </w:p>
    <w:p w:rsidR="007A3EF2" w:rsidRPr="00D56A68" w:rsidRDefault="007A3EF2" w:rsidP="007A3EF2">
      <w:pPr>
        <w:pStyle w:val="Arialbodycopy"/>
        <w:rPr>
          <w:sz w:val="24"/>
          <w:highlight w:val="magenta"/>
        </w:rPr>
      </w:pPr>
      <w:proofErr w:type="gramStart"/>
      <w:r w:rsidRPr="00111AD4">
        <w:rPr>
          <w:b/>
          <w:sz w:val="24"/>
          <w:u w:val="single"/>
        </w:rPr>
        <w:t>Proposed Measures.</w:t>
      </w:r>
      <w:proofErr w:type="gramEnd"/>
      <w:r w:rsidRPr="00111AD4">
        <w:rPr>
          <w:sz w:val="24"/>
        </w:rPr>
        <w:t xml:space="preserve"> Measures which will assess the effectiveness of a health department in providing the </w:t>
      </w:r>
      <w:r w:rsidR="00EC6D76">
        <w:rPr>
          <w:sz w:val="24"/>
        </w:rPr>
        <w:t>[FOUNDATIONAL CAPABLITY]</w:t>
      </w:r>
      <w:r w:rsidRPr="00111AD4">
        <w:rPr>
          <w:sz w:val="24"/>
        </w:rPr>
        <w:t xml:space="preserve"> include the following:</w:t>
      </w:r>
    </w:p>
    <w:p w:rsidR="00EC6D76" w:rsidRDefault="00EC6D76" w:rsidP="00C0610D">
      <w:pPr>
        <w:pStyle w:val="Arialbodycopy"/>
        <w:numPr>
          <w:ilvl w:val="1"/>
          <w:numId w:val="33"/>
        </w:numPr>
        <w:ind w:left="720"/>
        <w:rPr>
          <w:sz w:val="24"/>
        </w:rPr>
      </w:pPr>
      <w:r>
        <w:rPr>
          <w:sz w:val="24"/>
        </w:rPr>
        <w:t>Include possible system measures here</w:t>
      </w:r>
    </w:p>
    <w:p w:rsidR="007A3EF2" w:rsidRDefault="007A3EF2" w:rsidP="007A3EF2">
      <w:pPr>
        <w:pStyle w:val="Arialbodycopy"/>
        <w:rPr>
          <w:sz w:val="24"/>
        </w:rPr>
      </w:pPr>
    </w:p>
    <w:p w:rsidR="007A3EF2" w:rsidRPr="00B23C5D" w:rsidRDefault="007A3EF2" w:rsidP="007A3EF2">
      <w:pPr>
        <w:pStyle w:val="Arialbodycopy"/>
      </w:pPr>
    </w:p>
    <w:p w:rsidR="00E22B40" w:rsidRDefault="00E22B40"/>
    <w:sectPr w:rsidR="00E22B40" w:rsidSect="001A4A5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86" w:rsidRDefault="00244286" w:rsidP="007A3EF2">
      <w:r>
        <w:separator/>
      </w:r>
    </w:p>
  </w:endnote>
  <w:endnote w:type="continuationSeparator" w:id="0">
    <w:p w:rsidR="00244286" w:rsidRDefault="00244286" w:rsidP="007A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469550"/>
      <w:docPartObj>
        <w:docPartGallery w:val="Page Numbers (Bottom of Page)"/>
        <w:docPartUnique/>
      </w:docPartObj>
    </w:sdtPr>
    <w:sdtEndPr/>
    <w:sdtContent>
      <w:p w:rsidR="00564BA1" w:rsidRDefault="007D61C1">
        <w:pPr>
          <w:pStyle w:val="Footer"/>
          <w:jc w:val="right"/>
        </w:pPr>
        <w:r>
          <w:fldChar w:fldCharType="begin"/>
        </w:r>
        <w:r w:rsidR="006C4883">
          <w:instrText xml:space="preserve"> PAGE   \* MERGEFORMAT </w:instrText>
        </w:r>
        <w:r>
          <w:fldChar w:fldCharType="separate"/>
        </w:r>
        <w:r w:rsidR="004D3F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BA1" w:rsidRDefault="00564B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469549"/>
      <w:docPartObj>
        <w:docPartGallery w:val="Page Numbers (Bottom of Page)"/>
        <w:docPartUnique/>
      </w:docPartObj>
    </w:sdtPr>
    <w:sdtEndPr/>
    <w:sdtContent>
      <w:p w:rsidR="00564BA1" w:rsidRDefault="007D61C1">
        <w:pPr>
          <w:pStyle w:val="Footer"/>
          <w:jc w:val="right"/>
        </w:pPr>
        <w:r>
          <w:fldChar w:fldCharType="begin"/>
        </w:r>
        <w:r w:rsidR="006C4883">
          <w:instrText xml:space="preserve"> PAGE   \* MERGEFORMAT </w:instrText>
        </w:r>
        <w:r>
          <w:fldChar w:fldCharType="separate"/>
        </w:r>
        <w:r w:rsidR="004D3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4BA1" w:rsidRPr="005B4CE9" w:rsidRDefault="00244286">
    <w:pPr>
      <w:pStyle w:val="Footer"/>
      <w:rPr>
        <w:sz w:val="18"/>
        <w:szCs w:val="18"/>
      </w:rPr>
    </w:pPr>
    <w:r>
      <w:fldChar w:fldCharType="begin"/>
    </w:r>
    <w:r>
      <w:instrText xml:space="preserve"> FILENAME  \* Lower  \* MERGEFORMAT </w:instrText>
    </w:r>
    <w:r>
      <w:fldChar w:fldCharType="separate"/>
    </w:r>
    <w:r w:rsidR="005B4CE9" w:rsidRPr="005B4CE9">
      <w:rPr>
        <w:noProof/>
        <w:sz w:val="18"/>
        <w:szCs w:val="18"/>
      </w:rPr>
      <w:t>modernization policy and planning definition 6.15.15.docx</w:t>
    </w:r>
    <w:r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86" w:rsidRDefault="00244286" w:rsidP="007A3EF2">
      <w:r>
        <w:separator/>
      </w:r>
    </w:p>
  </w:footnote>
  <w:footnote w:type="continuationSeparator" w:id="0">
    <w:p w:rsidR="00244286" w:rsidRDefault="00244286" w:rsidP="007A3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A1" w:rsidRDefault="002442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603594" o:spid="_x0000_s2051" type="#_x0000_t136" style="position:absolute;margin-left:0;margin-top:0;width:435.05pt;height:17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A1" w:rsidRDefault="002442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603595" o:spid="_x0000_s2052" type="#_x0000_t136" style="position:absolute;margin-left:0;margin-top:0;width:435.05pt;height:174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  <w:w w:val="1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3" type="#_x0000_t202" style="position:absolute;margin-left:-54pt;margin-top:0;width:54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" filled="f" stroked="f">
          <v:textbox>
            <w:txbxContent>
              <w:p w:rsidR="00564BA1" w:rsidRDefault="00564BA1" w:rsidP="00222D75">
                <w:pPr>
                  <w:pStyle w:val="Headerpage2andbeyond"/>
                </w:pPr>
              </w:p>
            </w:txbxContent>
          </v:textbox>
          <w10:wrap type="squar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A1" w:rsidRDefault="002442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603593" o:spid="_x0000_s2050" type="#_x0000_t136" style="position:absolute;margin-left:0;margin-top:0;width:435.05pt;height:17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8DB"/>
    <w:multiLevelType w:val="hybridMultilevel"/>
    <w:tmpl w:val="0EDEB7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5368"/>
    <w:multiLevelType w:val="hybridMultilevel"/>
    <w:tmpl w:val="52447D10"/>
    <w:lvl w:ilvl="0" w:tplc="8A52CFEE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33958"/>
    <w:multiLevelType w:val="hybridMultilevel"/>
    <w:tmpl w:val="361ACD8E"/>
    <w:lvl w:ilvl="0" w:tplc="A34AD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22280"/>
    <w:multiLevelType w:val="hybridMultilevel"/>
    <w:tmpl w:val="794E30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3359B"/>
    <w:multiLevelType w:val="hybridMultilevel"/>
    <w:tmpl w:val="508C76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E208B"/>
    <w:multiLevelType w:val="hybridMultilevel"/>
    <w:tmpl w:val="3F46B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B3555"/>
    <w:multiLevelType w:val="hybridMultilevel"/>
    <w:tmpl w:val="94B8DC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F788D"/>
    <w:multiLevelType w:val="hybridMultilevel"/>
    <w:tmpl w:val="2DA8F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96010"/>
    <w:multiLevelType w:val="hybridMultilevel"/>
    <w:tmpl w:val="0728C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02225"/>
    <w:multiLevelType w:val="hybridMultilevel"/>
    <w:tmpl w:val="7E4A83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A474A"/>
    <w:multiLevelType w:val="hybridMultilevel"/>
    <w:tmpl w:val="480208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F2300"/>
    <w:multiLevelType w:val="hybridMultilevel"/>
    <w:tmpl w:val="F23440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B1E60"/>
    <w:multiLevelType w:val="hybridMultilevel"/>
    <w:tmpl w:val="FEFE040E"/>
    <w:lvl w:ilvl="0" w:tplc="780A7F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92B9E"/>
    <w:multiLevelType w:val="hybridMultilevel"/>
    <w:tmpl w:val="02B2E0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715B0"/>
    <w:multiLevelType w:val="hybridMultilevel"/>
    <w:tmpl w:val="62A604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46227"/>
    <w:multiLevelType w:val="hybridMultilevel"/>
    <w:tmpl w:val="94FC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54018"/>
    <w:multiLevelType w:val="hybridMultilevel"/>
    <w:tmpl w:val="224654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71F7C"/>
    <w:multiLevelType w:val="hybridMultilevel"/>
    <w:tmpl w:val="90626E30"/>
    <w:lvl w:ilvl="0" w:tplc="780A7F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86C8C"/>
    <w:multiLevelType w:val="hybridMultilevel"/>
    <w:tmpl w:val="EA8A3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665A0"/>
    <w:multiLevelType w:val="hybridMultilevel"/>
    <w:tmpl w:val="6CC8A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97DCB"/>
    <w:multiLevelType w:val="hybridMultilevel"/>
    <w:tmpl w:val="723A8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104DF"/>
    <w:multiLevelType w:val="hybridMultilevel"/>
    <w:tmpl w:val="2AB0FE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33004"/>
    <w:multiLevelType w:val="hybridMultilevel"/>
    <w:tmpl w:val="C6D43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57E43"/>
    <w:multiLevelType w:val="hybridMultilevel"/>
    <w:tmpl w:val="58201C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124D9"/>
    <w:multiLevelType w:val="hybridMultilevel"/>
    <w:tmpl w:val="59D00A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20129C"/>
    <w:multiLevelType w:val="hybridMultilevel"/>
    <w:tmpl w:val="B66E2478"/>
    <w:lvl w:ilvl="0" w:tplc="ACEA30C4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90037"/>
    <w:multiLevelType w:val="hybridMultilevel"/>
    <w:tmpl w:val="F3DCE7CE"/>
    <w:lvl w:ilvl="0" w:tplc="8A52CF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E518C"/>
    <w:multiLevelType w:val="hybridMultilevel"/>
    <w:tmpl w:val="D1484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F330DA"/>
    <w:multiLevelType w:val="hybridMultilevel"/>
    <w:tmpl w:val="8CBE0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EE306B"/>
    <w:multiLevelType w:val="hybridMultilevel"/>
    <w:tmpl w:val="5928B69C"/>
    <w:lvl w:ilvl="0" w:tplc="ACEA30C4">
      <w:start w:val="1"/>
      <w:numFmt w:val="upp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A77F8"/>
    <w:multiLevelType w:val="hybridMultilevel"/>
    <w:tmpl w:val="EE282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44BAD"/>
    <w:multiLevelType w:val="hybridMultilevel"/>
    <w:tmpl w:val="D8F01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95403"/>
    <w:multiLevelType w:val="hybridMultilevel"/>
    <w:tmpl w:val="988A5652"/>
    <w:lvl w:ilvl="0" w:tplc="780A7F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C0EBB"/>
    <w:multiLevelType w:val="hybridMultilevel"/>
    <w:tmpl w:val="4AEA76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57B3A"/>
    <w:multiLevelType w:val="hybridMultilevel"/>
    <w:tmpl w:val="BA2847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A3F84"/>
    <w:multiLevelType w:val="hybridMultilevel"/>
    <w:tmpl w:val="AA8C2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1A4C74"/>
    <w:multiLevelType w:val="hybridMultilevel"/>
    <w:tmpl w:val="795A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2C5B57"/>
    <w:multiLevelType w:val="hybridMultilevel"/>
    <w:tmpl w:val="D0700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695BE0"/>
    <w:multiLevelType w:val="hybridMultilevel"/>
    <w:tmpl w:val="E39C88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6E1A24"/>
    <w:multiLevelType w:val="hybridMultilevel"/>
    <w:tmpl w:val="2EA60328"/>
    <w:lvl w:ilvl="0" w:tplc="ADBA6A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34"/>
  </w:num>
  <w:num w:numId="4">
    <w:abstractNumId w:val="6"/>
  </w:num>
  <w:num w:numId="5">
    <w:abstractNumId w:val="15"/>
  </w:num>
  <w:num w:numId="6">
    <w:abstractNumId w:val="17"/>
  </w:num>
  <w:num w:numId="7">
    <w:abstractNumId w:val="19"/>
  </w:num>
  <w:num w:numId="8">
    <w:abstractNumId w:val="13"/>
  </w:num>
  <w:num w:numId="9">
    <w:abstractNumId w:val="5"/>
  </w:num>
  <w:num w:numId="10">
    <w:abstractNumId w:val="25"/>
  </w:num>
  <w:num w:numId="11">
    <w:abstractNumId w:val="28"/>
  </w:num>
  <w:num w:numId="12">
    <w:abstractNumId w:val="14"/>
  </w:num>
  <w:num w:numId="13">
    <w:abstractNumId w:val="29"/>
  </w:num>
  <w:num w:numId="14">
    <w:abstractNumId w:val="12"/>
  </w:num>
  <w:num w:numId="15">
    <w:abstractNumId w:val="32"/>
  </w:num>
  <w:num w:numId="16">
    <w:abstractNumId w:val="1"/>
  </w:num>
  <w:num w:numId="17">
    <w:abstractNumId w:val="3"/>
  </w:num>
  <w:num w:numId="18">
    <w:abstractNumId w:val="8"/>
  </w:num>
  <w:num w:numId="19">
    <w:abstractNumId w:val="26"/>
  </w:num>
  <w:num w:numId="20">
    <w:abstractNumId w:val="16"/>
  </w:num>
  <w:num w:numId="21">
    <w:abstractNumId w:val="38"/>
  </w:num>
  <w:num w:numId="22">
    <w:abstractNumId w:val="35"/>
  </w:num>
  <w:num w:numId="23">
    <w:abstractNumId w:val="37"/>
  </w:num>
  <w:num w:numId="24">
    <w:abstractNumId w:val="33"/>
  </w:num>
  <w:num w:numId="25">
    <w:abstractNumId w:val="11"/>
  </w:num>
  <w:num w:numId="26">
    <w:abstractNumId w:val="9"/>
  </w:num>
  <w:num w:numId="27">
    <w:abstractNumId w:val="0"/>
  </w:num>
  <w:num w:numId="28">
    <w:abstractNumId w:val="10"/>
  </w:num>
  <w:num w:numId="29">
    <w:abstractNumId w:val="21"/>
  </w:num>
  <w:num w:numId="30">
    <w:abstractNumId w:val="20"/>
  </w:num>
  <w:num w:numId="31">
    <w:abstractNumId w:val="4"/>
  </w:num>
  <w:num w:numId="32">
    <w:abstractNumId w:val="23"/>
  </w:num>
  <w:num w:numId="33">
    <w:abstractNumId w:val="7"/>
  </w:num>
  <w:num w:numId="34">
    <w:abstractNumId w:val="31"/>
  </w:num>
  <w:num w:numId="35">
    <w:abstractNumId w:val="24"/>
  </w:num>
  <w:num w:numId="36">
    <w:abstractNumId w:val="18"/>
  </w:num>
  <w:num w:numId="37">
    <w:abstractNumId w:val="30"/>
  </w:num>
  <w:num w:numId="38">
    <w:abstractNumId w:val="27"/>
  </w:num>
  <w:num w:numId="39">
    <w:abstractNumId w:val="39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EF2"/>
    <w:rsid w:val="00040CD4"/>
    <w:rsid w:val="00077E9C"/>
    <w:rsid w:val="001A4A5F"/>
    <w:rsid w:val="00222D75"/>
    <w:rsid w:val="00244286"/>
    <w:rsid w:val="003959BF"/>
    <w:rsid w:val="004D3F0D"/>
    <w:rsid w:val="005636A3"/>
    <w:rsid w:val="00564BA1"/>
    <w:rsid w:val="005B4CE9"/>
    <w:rsid w:val="00607209"/>
    <w:rsid w:val="006C4883"/>
    <w:rsid w:val="006C79CD"/>
    <w:rsid w:val="007A3EF2"/>
    <w:rsid w:val="007D61C1"/>
    <w:rsid w:val="00B21623"/>
    <w:rsid w:val="00C037D6"/>
    <w:rsid w:val="00C0610D"/>
    <w:rsid w:val="00DA102E"/>
    <w:rsid w:val="00E2250D"/>
    <w:rsid w:val="00E22B40"/>
    <w:rsid w:val="00EC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F2"/>
    <w:pPr>
      <w:spacing w:after="0" w:line="240" w:lineRule="auto"/>
    </w:pPr>
    <w:rPr>
      <w:rFonts w:ascii="Arial" w:eastAsia="Times New Roman" w:hAnsi="Arial" w:cs="Times New Roman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3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3EF2"/>
    <w:rPr>
      <w:rFonts w:ascii="Arial" w:eastAsia="Times New Roman" w:hAnsi="Arial" w:cs="Times New Roman"/>
      <w:w w:val="90"/>
      <w:sz w:val="24"/>
      <w:szCs w:val="24"/>
    </w:rPr>
  </w:style>
  <w:style w:type="paragraph" w:styleId="Footer">
    <w:name w:val="footer"/>
    <w:link w:val="FooterChar"/>
    <w:uiPriority w:val="99"/>
    <w:rsid w:val="007A3EF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w w:val="90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A3EF2"/>
    <w:rPr>
      <w:rFonts w:ascii="Arial" w:eastAsia="Times New Roman" w:hAnsi="Arial" w:cs="Times New Roman"/>
      <w:w w:val="90"/>
      <w:sz w:val="20"/>
      <w:szCs w:val="24"/>
    </w:rPr>
  </w:style>
  <w:style w:type="paragraph" w:customStyle="1" w:styleId="Arialbodycopy">
    <w:name w:val="Arial body copy"/>
    <w:aliases w:val="14 pt"/>
    <w:link w:val="ArialbodycopyChar"/>
    <w:qFormat/>
    <w:rsid w:val="007A3E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w w:val="90"/>
      <w:sz w:val="28"/>
      <w:szCs w:val="24"/>
    </w:rPr>
  </w:style>
  <w:style w:type="character" w:customStyle="1" w:styleId="ArialbodycopyChar">
    <w:name w:val="Arial body copy Char"/>
    <w:aliases w:val="14 pt Char"/>
    <w:link w:val="Arialbodycopy"/>
    <w:rsid w:val="007A3EF2"/>
    <w:rPr>
      <w:rFonts w:ascii="Arial" w:eastAsia="Times New Roman" w:hAnsi="Arial" w:cs="Times New Roman"/>
      <w:w w:val="90"/>
      <w:sz w:val="28"/>
      <w:szCs w:val="24"/>
    </w:rPr>
  </w:style>
  <w:style w:type="paragraph" w:customStyle="1" w:styleId="Headerpage2andbeyond">
    <w:name w:val="Header page 2 and beyond"/>
    <w:qFormat/>
    <w:rsid w:val="007A3EF2"/>
    <w:pPr>
      <w:spacing w:after="0" w:line="240" w:lineRule="auto"/>
    </w:pPr>
    <w:rPr>
      <w:rFonts w:ascii="Arial" w:eastAsia="Times New Roman" w:hAnsi="Arial" w:cs="Times New Roman"/>
      <w:color w:val="005595"/>
      <w:w w:val="90"/>
      <w:sz w:val="24"/>
      <w:szCs w:val="24"/>
    </w:rPr>
  </w:style>
  <w:style w:type="paragraph" w:styleId="FootnoteText">
    <w:name w:val="footnote text"/>
    <w:basedOn w:val="Normal"/>
    <w:link w:val="FootnoteTextChar"/>
    <w:rsid w:val="007A3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3EF2"/>
    <w:rPr>
      <w:rFonts w:ascii="Arial" w:eastAsia="Times New Roman" w:hAnsi="Arial" w:cs="Times New Roman"/>
      <w:w w:val="90"/>
      <w:sz w:val="20"/>
      <w:szCs w:val="20"/>
    </w:rPr>
  </w:style>
  <w:style w:type="character" w:styleId="FootnoteReference">
    <w:name w:val="footnote reference"/>
    <w:basedOn w:val="DefaultParagraphFont"/>
    <w:rsid w:val="007A3EF2"/>
    <w:rPr>
      <w:vertAlign w:val="superscript"/>
    </w:rPr>
  </w:style>
  <w:style w:type="character" w:styleId="Hyperlink">
    <w:name w:val="Hyperlink"/>
    <w:basedOn w:val="DefaultParagraphFont"/>
    <w:rsid w:val="007A3EF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B4C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E9"/>
    <w:rPr>
      <w:rFonts w:ascii="Tahoma" w:eastAsia="Times New Roman" w:hAnsi="Tahoma" w:cs="Tahoma"/>
      <w:w w:val="9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F2"/>
    <w:pPr>
      <w:spacing w:after="0" w:line="240" w:lineRule="auto"/>
    </w:pPr>
    <w:rPr>
      <w:rFonts w:ascii="Arial" w:eastAsia="Times New Roman" w:hAnsi="Arial" w:cs="Times New Roman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3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3EF2"/>
    <w:rPr>
      <w:rFonts w:ascii="Arial" w:eastAsia="Times New Roman" w:hAnsi="Arial" w:cs="Times New Roman"/>
      <w:w w:val="90"/>
      <w:sz w:val="24"/>
      <w:szCs w:val="24"/>
    </w:rPr>
  </w:style>
  <w:style w:type="paragraph" w:styleId="Footer">
    <w:name w:val="footer"/>
    <w:link w:val="FooterChar"/>
    <w:uiPriority w:val="99"/>
    <w:rsid w:val="007A3EF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w w:val="90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A3EF2"/>
    <w:rPr>
      <w:rFonts w:ascii="Arial" w:eastAsia="Times New Roman" w:hAnsi="Arial" w:cs="Times New Roman"/>
      <w:w w:val="90"/>
      <w:sz w:val="20"/>
      <w:szCs w:val="24"/>
    </w:rPr>
  </w:style>
  <w:style w:type="paragraph" w:customStyle="1" w:styleId="Arialbodycopy">
    <w:name w:val="Arial body copy"/>
    <w:aliases w:val="14 pt"/>
    <w:link w:val="ArialbodycopyChar"/>
    <w:qFormat/>
    <w:rsid w:val="007A3E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w w:val="90"/>
      <w:sz w:val="28"/>
      <w:szCs w:val="24"/>
    </w:rPr>
  </w:style>
  <w:style w:type="character" w:customStyle="1" w:styleId="ArialbodycopyChar">
    <w:name w:val="Arial body copy Char"/>
    <w:aliases w:val="14 pt Char"/>
    <w:link w:val="Arialbodycopy"/>
    <w:rsid w:val="007A3EF2"/>
    <w:rPr>
      <w:rFonts w:ascii="Arial" w:eastAsia="Times New Roman" w:hAnsi="Arial" w:cs="Times New Roman"/>
      <w:w w:val="90"/>
      <w:sz w:val="28"/>
      <w:szCs w:val="24"/>
    </w:rPr>
  </w:style>
  <w:style w:type="paragraph" w:customStyle="1" w:styleId="Headerpage2andbeyond">
    <w:name w:val="Header page 2 and beyond"/>
    <w:qFormat/>
    <w:rsid w:val="007A3EF2"/>
    <w:pPr>
      <w:spacing w:after="0" w:line="240" w:lineRule="auto"/>
    </w:pPr>
    <w:rPr>
      <w:rFonts w:ascii="Arial" w:eastAsia="Times New Roman" w:hAnsi="Arial" w:cs="Times New Roman"/>
      <w:color w:val="005595"/>
      <w:w w:val="90"/>
      <w:sz w:val="24"/>
      <w:szCs w:val="24"/>
    </w:rPr>
  </w:style>
  <w:style w:type="paragraph" w:styleId="FootnoteText">
    <w:name w:val="footnote text"/>
    <w:basedOn w:val="Normal"/>
    <w:link w:val="FootnoteTextChar"/>
    <w:rsid w:val="007A3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3EF2"/>
    <w:rPr>
      <w:rFonts w:ascii="Arial" w:eastAsia="Times New Roman" w:hAnsi="Arial" w:cs="Times New Roman"/>
      <w:w w:val="90"/>
      <w:sz w:val="20"/>
      <w:szCs w:val="20"/>
    </w:rPr>
  </w:style>
  <w:style w:type="character" w:styleId="FootnoteReference">
    <w:name w:val="footnote reference"/>
    <w:basedOn w:val="DefaultParagraphFont"/>
    <w:rsid w:val="007A3EF2"/>
    <w:rPr>
      <w:vertAlign w:val="superscript"/>
    </w:rPr>
  </w:style>
  <w:style w:type="character" w:styleId="Hyperlink">
    <w:name w:val="Hyperlink"/>
    <w:basedOn w:val="DefaultParagraphFont"/>
    <w:rsid w:val="007A3EF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B4C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E9"/>
    <w:rPr>
      <w:rFonts w:ascii="Tahoma" w:eastAsia="Times New Roman" w:hAnsi="Tahoma" w:cs="Tahoma"/>
      <w:w w:val="9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06CD-686A-4016-B0E8-A240C3F2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or0162587</dc:creator>
  <cp:keywords/>
  <dc:description/>
  <cp:lastModifiedBy>or0162587</cp:lastModifiedBy>
  <cp:revision>3</cp:revision>
  <dcterms:created xsi:type="dcterms:W3CDTF">2015-06-16T19:20:00Z</dcterms:created>
  <dcterms:modified xsi:type="dcterms:W3CDTF">2015-06-17T19:36:00Z</dcterms:modified>
</cp:coreProperties>
</file>